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73E7D" w:rsidRDefault="000A7622" w:rsidP="000A7622">
      <w:pPr>
        <w:pStyle w:val="Default"/>
        <w:rPr>
          <w:rFonts w:asciiTheme="minorHAnsi" w:hAnsiTheme="minorHAnsi" w:cstheme="minorHAnsi"/>
          <w:sz w:val="22"/>
          <w:szCs w:val="22"/>
        </w:rPr>
      </w:pPr>
    </w:p>
    <w:p w14:paraId="2538F7F5" w14:textId="77777777" w:rsidR="000A7622" w:rsidRPr="00C73E7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73E7D">
        <w:rPr>
          <w:rFonts w:cstheme="minorHAnsi"/>
          <w:b/>
          <w:bCs/>
          <w:color w:val="316192"/>
          <w:sz w:val="28"/>
          <w:szCs w:val="26"/>
        </w:rPr>
        <w:t>Marquette University</w:t>
      </w:r>
    </w:p>
    <w:p w14:paraId="158D4B9F" w14:textId="77777777" w:rsidR="000A7622" w:rsidRPr="00C73E7D" w:rsidRDefault="000A7622" w:rsidP="00D14423">
      <w:pPr>
        <w:autoSpaceDE w:val="0"/>
        <w:autoSpaceDN w:val="0"/>
        <w:adjustRightInd w:val="0"/>
        <w:rPr>
          <w:rFonts w:cstheme="minorHAnsi"/>
          <w:b/>
          <w:bCs/>
          <w:color w:val="316192"/>
          <w:sz w:val="40"/>
          <w:szCs w:val="36"/>
        </w:rPr>
      </w:pPr>
      <w:r w:rsidRPr="00C73E7D">
        <w:rPr>
          <w:rFonts w:cstheme="minorHAnsi"/>
          <w:b/>
          <w:bCs/>
          <w:color w:val="316192"/>
          <w:sz w:val="40"/>
          <w:szCs w:val="36"/>
        </w:rPr>
        <w:t>e-Publications@Marquette</w:t>
      </w:r>
    </w:p>
    <w:p w14:paraId="689ACF87" w14:textId="77777777" w:rsidR="000A7622" w:rsidRPr="00C73E7D" w:rsidRDefault="000A7622" w:rsidP="00D14423">
      <w:pPr>
        <w:autoSpaceDE w:val="0"/>
        <w:autoSpaceDN w:val="0"/>
        <w:adjustRightInd w:val="0"/>
        <w:rPr>
          <w:rFonts w:cstheme="minorHAnsi"/>
          <w:b/>
          <w:bCs/>
          <w:i/>
          <w:iCs/>
        </w:rPr>
      </w:pPr>
    </w:p>
    <w:p w14:paraId="161853CC" w14:textId="449898E8" w:rsidR="000A7622" w:rsidRPr="00C73E7D" w:rsidRDefault="00923611" w:rsidP="00D14423">
      <w:pPr>
        <w:autoSpaceDE w:val="0"/>
        <w:autoSpaceDN w:val="0"/>
        <w:adjustRightInd w:val="0"/>
        <w:rPr>
          <w:rFonts w:cstheme="minorHAnsi"/>
          <w:b/>
          <w:bCs/>
          <w:i/>
          <w:iCs/>
          <w:sz w:val="32"/>
          <w:szCs w:val="32"/>
        </w:rPr>
      </w:pPr>
      <w:r w:rsidRPr="00C73E7D">
        <w:rPr>
          <w:rFonts w:cstheme="minorHAnsi"/>
          <w:b/>
          <w:bCs/>
          <w:i/>
          <w:iCs/>
          <w:sz w:val="32"/>
          <w:szCs w:val="32"/>
        </w:rPr>
        <w:t xml:space="preserve">Nursing </w:t>
      </w:r>
      <w:r w:rsidR="000A7622" w:rsidRPr="00C73E7D">
        <w:rPr>
          <w:rFonts w:cstheme="minorHAnsi"/>
          <w:b/>
          <w:bCs/>
          <w:i/>
          <w:iCs/>
          <w:sz w:val="32"/>
          <w:szCs w:val="32"/>
        </w:rPr>
        <w:t>Faculty Research and Publications/</w:t>
      </w:r>
      <w:r w:rsidR="009732A9" w:rsidRPr="00C73E7D">
        <w:rPr>
          <w:rFonts w:cstheme="minorHAnsi"/>
          <w:b/>
          <w:bCs/>
          <w:i/>
          <w:iCs/>
          <w:sz w:val="32"/>
          <w:szCs w:val="32"/>
        </w:rPr>
        <w:t xml:space="preserve">College of </w:t>
      </w:r>
      <w:r w:rsidRPr="00C73E7D">
        <w:rPr>
          <w:rFonts w:cstheme="minorHAnsi"/>
          <w:b/>
          <w:bCs/>
          <w:i/>
          <w:iCs/>
          <w:sz w:val="32"/>
          <w:szCs w:val="32"/>
        </w:rPr>
        <w:t>Nursing</w:t>
      </w:r>
    </w:p>
    <w:bookmarkEnd w:id="0"/>
    <w:p w14:paraId="3E538636" w14:textId="77777777" w:rsidR="000A7622" w:rsidRPr="00C73E7D" w:rsidRDefault="000A7622" w:rsidP="00D14423">
      <w:pPr>
        <w:jc w:val="center"/>
        <w:rPr>
          <w:rFonts w:cstheme="minorHAnsi"/>
          <w:b/>
          <w:bCs/>
          <w:i/>
          <w:iCs/>
        </w:rPr>
      </w:pPr>
    </w:p>
    <w:p w14:paraId="25509BF0" w14:textId="7083482C" w:rsidR="000A7622" w:rsidRPr="00C73E7D" w:rsidRDefault="000A7622" w:rsidP="00D14423">
      <w:pPr>
        <w:jc w:val="center"/>
        <w:rPr>
          <w:rFonts w:cstheme="minorHAnsi"/>
          <w:sz w:val="24"/>
          <w:szCs w:val="24"/>
        </w:rPr>
      </w:pPr>
      <w:r w:rsidRPr="00C73E7D">
        <w:rPr>
          <w:rFonts w:cstheme="minorHAnsi"/>
          <w:b/>
          <w:bCs/>
          <w:i/>
          <w:iCs/>
          <w:sz w:val="24"/>
          <w:szCs w:val="24"/>
        </w:rPr>
        <w:t xml:space="preserve">This paper is NOT THE PUBLISHED VERSION; </w:t>
      </w:r>
      <w:r w:rsidRPr="00C73E7D">
        <w:rPr>
          <w:rFonts w:cstheme="minorHAnsi"/>
          <w:b/>
          <w:bCs/>
          <w:sz w:val="24"/>
          <w:szCs w:val="24"/>
        </w:rPr>
        <w:t xml:space="preserve">but the author’s final, peer-reviewed manuscript. </w:t>
      </w:r>
      <w:r w:rsidRPr="00C73E7D">
        <w:rPr>
          <w:rFonts w:cstheme="minorHAnsi"/>
          <w:sz w:val="24"/>
          <w:szCs w:val="24"/>
        </w:rPr>
        <w:t xml:space="preserve">The published version may be accessed by following the link in </w:t>
      </w:r>
      <w:r w:rsidR="00587FB1" w:rsidRPr="00C73E7D">
        <w:rPr>
          <w:rFonts w:cstheme="minorHAnsi"/>
          <w:sz w:val="24"/>
          <w:szCs w:val="24"/>
        </w:rPr>
        <w:t>the</w:t>
      </w:r>
      <w:r w:rsidRPr="00C73E7D">
        <w:rPr>
          <w:rFonts w:cstheme="minorHAnsi"/>
          <w:sz w:val="24"/>
          <w:szCs w:val="24"/>
        </w:rPr>
        <w:t xml:space="preserve"> citation below.</w:t>
      </w:r>
    </w:p>
    <w:p w14:paraId="207B0342" w14:textId="77777777" w:rsidR="000A7622" w:rsidRPr="00C73E7D" w:rsidRDefault="000A7622" w:rsidP="00D14423">
      <w:pPr>
        <w:jc w:val="center"/>
        <w:rPr>
          <w:rFonts w:cstheme="minorHAnsi"/>
          <w:sz w:val="24"/>
          <w:szCs w:val="24"/>
        </w:rPr>
      </w:pPr>
    </w:p>
    <w:p w14:paraId="2A38AFE1" w14:textId="1D4A81AE" w:rsidR="000A7622" w:rsidRPr="00C73E7D" w:rsidRDefault="00821A3D" w:rsidP="00D14423">
      <w:pPr>
        <w:rPr>
          <w:rFonts w:cstheme="minorHAnsi"/>
          <w:sz w:val="24"/>
          <w:szCs w:val="24"/>
        </w:rPr>
      </w:pPr>
      <w:bookmarkStart w:id="2" w:name="_GoBack"/>
      <w:r w:rsidRPr="00C73E7D">
        <w:rPr>
          <w:rFonts w:cstheme="minorHAnsi"/>
          <w:i/>
          <w:sz w:val="24"/>
          <w:szCs w:val="24"/>
          <w:lang w:val="fr-FR"/>
        </w:rPr>
        <w:t>Nursing Forum</w:t>
      </w:r>
      <w:r w:rsidR="000A7622" w:rsidRPr="00C73E7D">
        <w:rPr>
          <w:rFonts w:cstheme="minorHAnsi"/>
          <w:sz w:val="24"/>
          <w:szCs w:val="24"/>
          <w:lang w:val="fr-FR"/>
        </w:rPr>
        <w:t xml:space="preserve">, Vol. </w:t>
      </w:r>
      <w:r w:rsidRPr="00C73E7D">
        <w:rPr>
          <w:rFonts w:cstheme="minorHAnsi"/>
          <w:sz w:val="24"/>
          <w:szCs w:val="24"/>
          <w:lang w:val="fr-FR"/>
        </w:rPr>
        <w:t>54</w:t>
      </w:r>
      <w:r w:rsidR="000A7622" w:rsidRPr="00C73E7D">
        <w:rPr>
          <w:rFonts w:cstheme="minorHAnsi"/>
          <w:sz w:val="24"/>
          <w:szCs w:val="24"/>
          <w:lang w:val="fr-FR"/>
        </w:rPr>
        <w:t xml:space="preserve">, No. </w:t>
      </w:r>
      <w:r w:rsidR="00923611" w:rsidRPr="00C73E7D">
        <w:rPr>
          <w:rFonts w:cstheme="minorHAnsi"/>
          <w:sz w:val="24"/>
          <w:szCs w:val="24"/>
          <w:lang w:val="fr-FR"/>
        </w:rPr>
        <w:t>1</w:t>
      </w:r>
      <w:r w:rsidR="000A7622" w:rsidRPr="00C73E7D">
        <w:rPr>
          <w:rFonts w:cstheme="minorHAnsi"/>
          <w:sz w:val="24"/>
          <w:szCs w:val="24"/>
          <w:lang w:val="fr-FR"/>
        </w:rPr>
        <w:t xml:space="preserve"> (</w:t>
      </w:r>
      <w:proofErr w:type="spellStart"/>
      <w:r w:rsidR="00923611" w:rsidRPr="00C73E7D">
        <w:rPr>
          <w:rFonts w:cstheme="minorHAnsi"/>
          <w:sz w:val="24"/>
          <w:szCs w:val="24"/>
          <w:lang w:val="fr-FR"/>
        </w:rPr>
        <w:t>January</w:t>
      </w:r>
      <w:proofErr w:type="spellEnd"/>
      <w:r w:rsidR="00923611" w:rsidRPr="00C73E7D">
        <w:rPr>
          <w:rFonts w:cstheme="minorHAnsi"/>
          <w:sz w:val="24"/>
          <w:szCs w:val="24"/>
          <w:lang w:val="fr-FR"/>
        </w:rPr>
        <w:t>/March 2019</w:t>
      </w:r>
      <w:proofErr w:type="gramStart"/>
      <w:r w:rsidR="000A7622" w:rsidRPr="00C73E7D">
        <w:rPr>
          <w:rFonts w:cstheme="minorHAnsi"/>
          <w:sz w:val="24"/>
          <w:szCs w:val="24"/>
          <w:lang w:val="fr-FR"/>
        </w:rPr>
        <w:t>):</w:t>
      </w:r>
      <w:proofErr w:type="gramEnd"/>
      <w:r w:rsidR="000A7622" w:rsidRPr="00C73E7D">
        <w:rPr>
          <w:rFonts w:cstheme="minorHAnsi"/>
          <w:sz w:val="24"/>
          <w:szCs w:val="24"/>
          <w:lang w:val="fr-FR"/>
        </w:rPr>
        <w:t xml:space="preserve"> </w:t>
      </w:r>
      <w:r w:rsidR="00923611" w:rsidRPr="00C73E7D">
        <w:rPr>
          <w:rFonts w:cstheme="minorHAnsi"/>
          <w:sz w:val="24"/>
          <w:szCs w:val="24"/>
          <w:lang w:val="fr-FR"/>
        </w:rPr>
        <w:t>38</w:t>
      </w:r>
      <w:r w:rsidR="000A7622" w:rsidRPr="00C73E7D">
        <w:rPr>
          <w:rFonts w:cstheme="minorHAnsi"/>
          <w:sz w:val="24"/>
          <w:szCs w:val="24"/>
          <w:lang w:val="fr-FR"/>
        </w:rPr>
        <w:t>-</w:t>
      </w:r>
      <w:r w:rsidR="00923611" w:rsidRPr="00C73E7D">
        <w:rPr>
          <w:rFonts w:cstheme="minorHAnsi"/>
          <w:sz w:val="24"/>
          <w:szCs w:val="24"/>
          <w:lang w:val="fr-FR"/>
        </w:rPr>
        <w:t>44</w:t>
      </w:r>
      <w:r w:rsidR="000A7622" w:rsidRPr="00C73E7D">
        <w:rPr>
          <w:rFonts w:cstheme="minorHAnsi"/>
          <w:sz w:val="24"/>
          <w:szCs w:val="24"/>
          <w:lang w:val="fr-FR"/>
        </w:rPr>
        <w:t xml:space="preserve">. </w:t>
      </w:r>
      <w:hyperlink r:id="rId8" w:history="1">
        <w:r w:rsidR="000A7622" w:rsidRPr="00C73E7D">
          <w:rPr>
            <w:rFonts w:cstheme="minorHAnsi"/>
            <w:color w:val="0563C1" w:themeColor="hyperlink"/>
            <w:sz w:val="24"/>
            <w:szCs w:val="24"/>
            <w:u w:val="single"/>
            <w:lang w:val="fr-FR"/>
          </w:rPr>
          <w:t>DOI</w:t>
        </w:r>
      </w:hyperlink>
      <w:r w:rsidR="000A7622" w:rsidRPr="00C73E7D">
        <w:rPr>
          <w:rFonts w:cstheme="minorHAnsi"/>
          <w:sz w:val="24"/>
          <w:szCs w:val="24"/>
          <w:lang w:val="fr-FR"/>
        </w:rPr>
        <w:t xml:space="preserve">. </w:t>
      </w:r>
      <w:r w:rsidR="000A7622" w:rsidRPr="00C73E7D">
        <w:rPr>
          <w:rFonts w:cstheme="minorHAnsi"/>
          <w:sz w:val="24"/>
          <w:szCs w:val="24"/>
        </w:rPr>
        <w:t xml:space="preserve">This article is © </w:t>
      </w:r>
      <w:r w:rsidR="00923611" w:rsidRPr="00C73E7D">
        <w:rPr>
          <w:rFonts w:cstheme="minorHAnsi"/>
          <w:sz w:val="24"/>
          <w:szCs w:val="24"/>
        </w:rPr>
        <w:t>Wiley</w:t>
      </w:r>
      <w:r w:rsidR="000A7622" w:rsidRPr="00C73E7D">
        <w:rPr>
          <w:rFonts w:cstheme="minorHAnsi"/>
          <w:sz w:val="24"/>
          <w:szCs w:val="24"/>
        </w:rPr>
        <w:t xml:space="preserve"> </w:t>
      </w:r>
      <w:bookmarkEnd w:id="2"/>
      <w:r w:rsidR="000A7622" w:rsidRPr="00C73E7D">
        <w:rPr>
          <w:rFonts w:cstheme="minorHAnsi"/>
          <w:sz w:val="24"/>
          <w:szCs w:val="24"/>
        </w:rPr>
        <w:t xml:space="preserve">and permission has been granted for this version to appear in </w:t>
      </w:r>
      <w:hyperlink r:id="rId9" w:history="1">
        <w:r w:rsidR="000A7622" w:rsidRPr="00C73E7D">
          <w:rPr>
            <w:rFonts w:cstheme="minorHAnsi"/>
            <w:color w:val="0563C1" w:themeColor="hyperlink"/>
            <w:sz w:val="24"/>
            <w:szCs w:val="24"/>
            <w:u w:val="single"/>
          </w:rPr>
          <w:t>e-Publications@Marquette</w:t>
        </w:r>
      </w:hyperlink>
      <w:r w:rsidR="000A7622" w:rsidRPr="00C73E7D">
        <w:rPr>
          <w:rFonts w:cstheme="minorHAnsi"/>
          <w:sz w:val="24"/>
          <w:szCs w:val="24"/>
        </w:rPr>
        <w:t xml:space="preserve">. </w:t>
      </w:r>
      <w:r w:rsidR="00923611" w:rsidRPr="00C73E7D">
        <w:rPr>
          <w:rFonts w:cstheme="minorHAnsi"/>
          <w:sz w:val="24"/>
          <w:szCs w:val="24"/>
        </w:rPr>
        <w:t>Wiley</w:t>
      </w:r>
      <w:r w:rsidR="000A7622" w:rsidRPr="00C73E7D">
        <w:rPr>
          <w:rFonts w:cstheme="minorHAnsi"/>
          <w:sz w:val="24"/>
          <w:szCs w:val="24"/>
        </w:rPr>
        <w:t xml:space="preserve"> does not grant permission for this article to be further copied/distributed or hosted elsewhere without the express permission from </w:t>
      </w:r>
      <w:r w:rsidR="00923611" w:rsidRPr="00C73E7D">
        <w:rPr>
          <w:rFonts w:cstheme="minorHAnsi"/>
          <w:sz w:val="24"/>
          <w:szCs w:val="24"/>
        </w:rPr>
        <w:t>Wiley</w:t>
      </w:r>
      <w:r w:rsidR="000A7622" w:rsidRPr="00C73E7D">
        <w:rPr>
          <w:rFonts w:cstheme="minorHAnsi"/>
          <w:sz w:val="24"/>
          <w:szCs w:val="24"/>
        </w:rPr>
        <w:t xml:space="preserve">. </w:t>
      </w:r>
    </w:p>
    <w:bookmarkEnd w:id="1"/>
    <w:p w14:paraId="668BF09D" w14:textId="77777777" w:rsidR="00EB6443" w:rsidRPr="00C73E7D" w:rsidRDefault="00EB6443" w:rsidP="00EB6443">
      <w:pPr>
        <w:pStyle w:val="Title"/>
        <w:rPr>
          <w:rFonts w:asciiTheme="minorHAnsi" w:hAnsiTheme="minorHAnsi" w:cstheme="minorHAnsi"/>
        </w:rPr>
      </w:pPr>
    </w:p>
    <w:p w14:paraId="094A8E19" w14:textId="3B7E9E93" w:rsidR="00EB6443" w:rsidRDefault="00EB6443" w:rsidP="00EB6443">
      <w:pPr>
        <w:pStyle w:val="Title"/>
        <w:rPr>
          <w:rFonts w:asciiTheme="minorHAnsi" w:hAnsiTheme="minorHAnsi" w:cstheme="minorHAnsi"/>
        </w:rPr>
      </w:pPr>
      <w:r w:rsidRPr="00C73E7D">
        <w:rPr>
          <w:rFonts w:asciiTheme="minorHAnsi" w:hAnsiTheme="minorHAnsi" w:cstheme="minorHAnsi"/>
        </w:rPr>
        <w:t>Health policy engagement among graduate nursing students in the United States</w:t>
      </w:r>
    </w:p>
    <w:p w14:paraId="03965389" w14:textId="77777777" w:rsidR="00C73E7D" w:rsidRPr="00C73E7D" w:rsidRDefault="00C73E7D" w:rsidP="00C73E7D"/>
    <w:p w14:paraId="18023972" w14:textId="1BC918A0" w:rsidR="008C3712" w:rsidRPr="00C73E7D" w:rsidRDefault="008C3712" w:rsidP="00A84B41">
      <w:pPr>
        <w:pStyle w:val="NoSpacing"/>
        <w:spacing w:line="259" w:lineRule="auto"/>
        <w:rPr>
          <w:rFonts w:cstheme="minorHAnsi"/>
          <w:sz w:val="32"/>
          <w:szCs w:val="32"/>
        </w:rPr>
      </w:pPr>
      <w:r w:rsidRPr="00C73E7D">
        <w:rPr>
          <w:rFonts w:cstheme="minorHAnsi"/>
          <w:sz w:val="32"/>
          <w:szCs w:val="32"/>
        </w:rPr>
        <w:t>Pamela B. de Cordova</w:t>
      </w:r>
    </w:p>
    <w:p w14:paraId="28627CB1" w14:textId="5A0C0E4D" w:rsidR="008C3712" w:rsidRPr="00C73E7D" w:rsidRDefault="00A418D2" w:rsidP="00A84B41">
      <w:pPr>
        <w:pStyle w:val="NoSpacing"/>
        <w:spacing w:line="259" w:lineRule="auto"/>
        <w:rPr>
          <w:rFonts w:cstheme="minorHAnsi"/>
        </w:rPr>
      </w:pPr>
      <w:r w:rsidRPr="00C73E7D">
        <w:rPr>
          <w:rFonts w:cstheme="minorHAnsi"/>
        </w:rPr>
        <w:t>Division of Nursing Science, Rutgers, The State University of New Jersey, School of Nursing, Newark, New Jersey</w:t>
      </w:r>
    </w:p>
    <w:p w14:paraId="65566791" w14:textId="1A7862D5" w:rsidR="008C3712" w:rsidRPr="00C73E7D" w:rsidRDefault="008C3712" w:rsidP="00A84B41">
      <w:pPr>
        <w:pStyle w:val="NoSpacing"/>
        <w:spacing w:line="259" w:lineRule="auto"/>
        <w:rPr>
          <w:rFonts w:cstheme="minorHAnsi"/>
          <w:sz w:val="32"/>
          <w:szCs w:val="32"/>
        </w:rPr>
      </w:pPr>
      <w:r w:rsidRPr="00C73E7D">
        <w:rPr>
          <w:rFonts w:cstheme="minorHAnsi"/>
          <w:sz w:val="32"/>
          <w:szCs w:val="32"/>
        </w:rPr>
        <w:t xml:space="preserve">Mary Beth Wilson </w:t>
      </w:r>
      <w:proofErr w:type="spellStart"/>
      <w:r w:rsidRPr="00C73E7D">
        <w:rPr>
          <w:rFonts w:cstheme="minorHAnsi"/>
          <w:sz w:val="32"/>
          <w:szCs w:val="32"/>
        </w:rPr>
        <w:t>Steck</w:t>
      </w:r>
      <w:proofErr w:type="spellEnd"/>
    </w:p>
    <w:p w14:paraId="3ED01AA4" w14:textId="61E22F64" w:rsidR="008C3712" w:rsidRPr="00C73E7D" w:rsidRDefault="000862E1" w:rsidP="00A84B41">
      <w:pPr>
        <w:pStyle w:val="NoSpacing"/>
        <w:spacing w:line="259" w:lineRule="auto"/>
        <w:rPr>
          <w:rFonts w:cstheme="minorHAnsi"/>
        </w:rPr>
      </w:pPr>
      <w:r w:rsidRPr="00C73E7D">
        <w:rPr>
          <w:rFonts w:cstheme="minorHAnsi"/>
        </w:rPr>
        <w:t>School of Nursing, Clemson University, College of Behavioral, Social and Health Sciences, Clemson University, South Carolina</w:t>
      </w:r>
    </w:p>
    <w:p w14:paraId="509ACDCF" w14:textId="369B6246" w:rsidR="008C3712" w:rsidRPr="00C73E7D" w:rsidRDefault="008C3712" w:rsidP="00A84B41">
      <w:pPr>
        <w:pStyle w:val="NoSpacing"/>
        <w:spacing w:line="259" w:lineRule="auto"/>
        <w:rPr>
          <w:rFonts w:cstheme="minorHAnsi"/>
          <w:sz w:val="32"/>
          <w:szCs w:val="32"/>
        </w:rPr>
      </w:pPr>
      <w:r w:rsidRPr="00C73E7D">
        <w:rPr>
          <w:rFonts w:cstheme="minorHAnsi"/>
          <w:sz w:val="32"/>
          <w:szCs w:val="32"/>
        </w:rPr>
        <w:t xml:space="preserve">Amber </w:t>
      </w:r>
      <w:proofErr w:type="spellStart"/>
      <w:r w:rsidRPr="00C73E7D">
        <w:rPr>
          <w:rFonts w:cstheme="minorHAnsi"/>
          <w:sz w:val="32"/>
          <w:szCs w:val="32"/>
        </w:rPr>
        <w:t>Vermeesch</w:t>
      </w:r>
      <w:proofErr w:type="spellEnd"/>
    </w:p>
    <w:p w14:paraId="5DD65BEF" w14:textId="1F66B653" w:rsidR="008C3712" w:rsidRPr="00C73E7D" w:rsidRDefault="00821867" w:rsidP="00A84B41">
      <w:pPr>
        <w:pStyle w:val="NoSpacing"/>
        <w:spacing w:line="259" w:lineRule="auto"/>
        <w:rPr>
          <w:rFonts w:cstheme="minorHAnsi"/>
        </w:rPr>
      </w:pPr>
      <w:r w:rsidRPr="00C73E7D">
        <w:rPr>
          <w:rFonts w:cstheme="minorHAnsi"/>
        </w:rPr>
        <w:t>University of Portland, School of Nursing, Portland, Oregon</w:t>
      </w:r>
    </w:p>
    <w:p w14:paraId="0391C295" w14:textId="1EDB757B" w:rsidR="008C3712" w:rsidRPr="00C73E7D" w:rsidRDefault="008C3712" w:rsidP="00A84B41">
      <w:pPr>
        <w:pStyle w:val="NoSpacing"/>
        <w:spacing w:line="259" w:lineRule="auto"/>
        <w:rPr>
          <w:rFonts w:cstheme="minorHAnsi"/>
          <w:sz w:val="32"/>
          <w:szCs w:val="32"/>
        </w:rPr>
      </w:pPr>
      <w:r w:rsidRPr="00C73E7D">
        <w:rPr>
          <w:rFonts w:cstheme="minorHAnsi"/>
          <w:sz w:val="32"/>
          <w:szCs w:val="32"/>
        </w:rPr>
        <w:t>Natacha Pierre</w:t>
      </w:r>
    </w:p>
    <w:p w14:paraId="09E2910B" w14:textId="502D2520" w:rsidR="008C3712" w:rsidRPr="00C73E7D" w:rsidRDefault="00356E6A" w:rsidP="00A84B41">
      <w:pPr>
        <w:pStyle w:val="NoSpacing"/>
        <w:spacing w:line="259" w:lineRule="auto"/>
        <w:rPr>
          <w:rFonts w:cstheme="minorHAnsi"/>
        </w:rPr>
      </w:pPr>
      <w:r w:rsidRPr="00C73E7D">
        <w:rPr>
          <w:rFonts w:cstheme="minorHAnsi"/>
        </w:rPr>
        <w:t>University of Illinois‐Chicago, College of Nursing, Chicago, Illinois</w:t>
      </w:r>
    </w:p>
    <w:p w14:paraId="53E30E57" w14:textId="2390915C" w:rsidR="008C3712" w:rsidRPr="00C73E7D" w:rsidRDefault="008C3712" w:rsidP="00A84B41">
      <w:pPr>
        <w:pStyle w:val="NoSpacing"/>
        <w:spacing w:line="259" w:lineRule="auto"/>
        <w:rPr>
          <w:rFonts w:cstheme="minorHAnsi"/>
          <w:sz w:val="32"/>
          <w:szCs w:val="32"/>
        </w:rPr>
      </w:pPr>
      <w:r w:rsidRPr="00C73E7D">
        <w:rPr>
          <w:rFonts w:cstheme="minorHAnsi"/>
          <w:sz w:val="32"/>
          <w:szCs w:val="32"/>
        </w:rPr>
        <w:t>Audra Rankin</w:t>
      </w:r>
    </w:p>
    <w:p w14:paraId="48A9F40D" w14:textId="6BBF8BEF" w:rsidR="008C3712" w:rsidRPr="00C73E7D" w:rsidRDefault="00E936A4" w:rsidP="00A84B41">
      <w:pPr>
        <w:pStyle w:val="NoSpacing"/>
        <w:spacing w:line="259" w:lineRule="auto"/>
        <w:rPr>
          <w:rFonts w:cstheme="minorHAnsi"/>
        </w:rPr>
      </w:pPr>
      <w:r w:rsidRPr="00C73E7D">
        <w:rPr>
          <w:rFonts w:cstheme="minorHAnsi"/>
        </w:rPr>
        <w:t>Johns Hopkins School of Nursing, Baltimore, Maryland</w:t>
      </w:r>
    </w:p>
    <w:p w14:paraId="3B046566" w14:textId="39FE8021" w:rsidR="008C3712" w:rsidRPr="00C73E7D" w:rsidRDefault="008C3712" w:rsidP="00A84B41">
      <w:pPr>
        <w:pStyle w:val="NoSpacing"/>
        <w:spacing w:line="259" w:lineRule="auto"/>
        <w:rPr>
          <w:rFonts w:cstheme="minorHAnsi"/>
          <w:sz w:val="32"/>
          <w:szCs w:val="32"/>
        </w:rPr>
      </w:pPr>
      <w:r w:rsidRPr="00C73E7D">
        <w:rPr>
          <w:rFonts w:cstheme="minorHAnsi"/>
          <w:sz w:val="32"/>
          <w:szCs w:val="32"/>
        </w:rPr>
        <w:t>Jennifer M. Ohlendorf</w:t>
      </w:r>
    </w:p>
    <w:p w14:paraId="32B2C941" w14:textId="46C2AB83" w:rsidR="008C3712" w:rsidRPr="00C73E7D" w:rsidRDefault="00001565" w:rsidP="00A84B41">
      <w:pPr>
        <w:pStyle w:val="NoSpacing"/>
        <w:spacing w:line="259" w:lineRule="auto"/>
        <w:rPr>
          <w:rFonts w:cstheme="minorHAnsi"/>
        </w:rPr>
      </w:pPr>
      <w:r w:rsidRPr="00C73E7D">
        <w:rPr>
          <w:rFonts w:cstheme="minorHAnsi"/>
        </w:rPr>
        <w:t>Marquette University College of Nursing, Milwaukee, Wisconsin</w:t>
      </w:r>
    </w:p>
    <w:p w14:paraId="0FDF9C3B" w14:textId="03B5C312" w:rsidR="008C3712" w:rsidRPr="00C73E7D" w:rsidRDefault="008C3712" w:rsidP="00A84B41">
      <w:pPr>
        <w:pStyle w:val="NoSpacing"/>
        <w:spacing w:line="259" w:lineRule="auto"/>
        <w:rPr>
          <w:rFonts w:cstheme="minorHAnsi"/>
          <w:sz w:val="32"/>
          <w:szCs w:val="32"/>
        </w:rPr>
      </w:pPr>
      <w:r w:rsidRPr="00C73E7D">
        <w:rPr>
          <w:rFonts w:cstheme="minorHAnsi"/>
          <w:sz w:val="32"/>
          <w:szCs w:val="32"/>
        </w:rPr>
        <w:t>Sherry Lawrence</w:t>
      </w:r>
    </w:p>
    <w:p w14:paraId="10794034" w14:textId="48882AE2" w:rsidR="008C3712" w:rsidRPr="00C73E7D" w:rsidRDefault="00A05228" w:rsidP="00A84B41">
      <w:pPr>
        <w:pStyle w:val="NoSpacing"/>
        <w:spacing w:line="259" w:lineRule="auto"/>
        <w:rPr>
          <w:rFonts w:cstheme="minorHAnsi"/>
        </w:rPr>
      </w:pPr>
      <w:r w:rsidRPr="00C73E7D">
        <w:rPr>
          <w:rFonts w:cstheme="minorHAnsi"/>
        </w:rPr>
        <w:t>Adult Health Department, University of South Alabama, College of Nursing, Mobile, Alabama</w:t>
      </w:r>
    </w:p>
    <w:p w14:paraId="5BC0075B" w14:textId="4DB933AE" w:rsidR="000A7622" w:rsidRPr="00C73E7D" w:rsidRDefault="008C3712" w:rsidP="00A84B41">
      <w:pPr>
        <w:pStyle w:val="NoSpacing"/>
        <w:spacing w:line="259" w:lineRule="auto"/>
        <w:rPr>
          <w:rFonts w:cstheme="minorHAnsi"/>
          <w:sz w:val="32"/>
          <w:szCs w:val="32"/>
        </w:rPr>
      </w:pPr>
      <w:r w:rsidRPr="00C73E7D">
        <w:rPr>
          <w:rFonts w:cstheme="minorHAnsi"/>
          <w:sz w:val="32"/>
          <w:szCs w:val="32"/>
        </w:rPr>
        <w:lastRenderedPageBreak/>
        <w:t xml:space="preserve">Anne </w:t>
      </w:r>
      <w:proofErr w:type="spellStart"/>
      <w:r w:rsidRPr="00C73E7D">
        <w:rPr>
          <w:rFonts w:cstheme="minorHAnsi"/>
          <w:sz w:val="32"/>
          <w:szCs w:val="32"/>
        </w:rPr>
        <w:t>Derouin</w:t>
      </w:r>
      <w:proofErr w:type="spellEnd"/>
    </w:p>
    <w:p w14:paraId="18343EEE" w14:textId="7DF9495C" w:rsidR="00A05228" w:rsidRPr="00C73E7D" w:rsidRDefault="00A84B41" w:rsidP="00A84B41">
      <w:pPr>
        <w:pStyle w:val="NoSpacing"/>
        <w:spacing w:line="259" w:lineRule="auto"/>
        <w:rPr>
          <w:rFonts w:cstheme="minorHAnsi"/>
        </w:rPr>
      </w:pPr>
      <w:r w:rsidRPr="00C73E7D">
        <w:rPr>
          <w:rFonts w:cstheme="minorHAnsi"/>
        </w:rPr>
        <w:t>Maternal Child Division, Duke University School of Nursing, Durham, North Carolina</w:t>
      </w:r>
    </w:p>
    <w:p w14:paraId="4CD154DF" w14:textId="77777777" w:rsidR="00E205C1" w:rsidRPr="00C73E7D" w:rsidRDefault="00E205C1" w:rsidP="00587FB1">
      <w:pPr>
        <w:pStyle w:val="Heading1"/>
        <w:rPr>
          <w:rFonts w:asciiTheme="minorHAnsi" w:hAnsiTheme="minorHAnsi" w:cstheme="minorHAnsi"/>
        </w:rPr>
      </w:pPr>
      <w:r w:rsidRPr="00C73E7D">
        <w:rPr>
          <w:rFonts w:asciiTheme="minorHAnsi" w:hAnsiTheme="minorHAnsi" w:cstheme="minorHAnsi"/>
        </w:rPr>
        <w:t>Abstract</w:t>
      </w:r>
    </w:p>
    <w:p w14:paraId="15B1CFBF" w14:textId="77777777" w:rsidR="00E205C1" w:rsidRPr="00C73E7D" w:rsidRDefault="00E205C1" w:rsidP="00587FB1">
      <w:pPr>
        <w:pStyle w:val="Heading2"/>
        <w:rPr>
          <w:rFonts w:asciiTheme="minorHAnsi" w:hAnsiTheme="minorHAnsi" w:cstheme="minorHAnsi"/>
        </w:rPr>
      </w:pPr>
      <w:r w:rsidRPr="00C73E7D">
        <w:rPr>
          <w:rFonts w:asciiTheme="minorHAnsi" w:hAnsiTheme="minorHAnsi" w:cstheme="minorHAnsi"/>
        </w:rPr>
        <w:t>Aim</w:t>
      </w:r>
    </w:p>
    <w:p w14:paraId="617B98F8" w14:textId="77777777" w:rsidR="00E205C1" w:rsidRPr="00C73E7D" w:rsidRDefault="00E205C1" w:rsidP="00587FB1">
      <w:pPr>
        <w:rPr>
          <w:rFonts w:cstheme="minorHAnsi"/>
        </w:rPr>
      </w:pPr>
      <w:r w:rsidRPr="00C73E7D">
        <w:rPr>
          <w:rFonts w:cstheme="minorHAnsi"/>
        </w:rPr>
        <w:t>The aim was to understand how health policy education is currently being delivered in the United States’ graduate nursing programs.</w:t>
      </w:r>
    </w:p>
    <w:p w14:paraId="5DA83FFA" w14:textId="77777777" w:rsidR="00E205C1" w:rsidRPr="00C73E7D" w:rsidRDefault="00E205C1" w:rsidP="00587FB1">
      <w:pPr>
        <w:pStyle w:val="Heading2"/>
        <w:rPr>
          <w:rFonts w:asciiTheme="minorHAnsi" w:hAnsiTheme="minorHAnsi" w:cstheme="minorHAnsi"/>
        </w:rPr>
      </w:pPr>
      <w:r w:rsidRPr="00C73E7D">
        <w:rPr>
          <w:rFonts w:asciiTheme="minorHAnsi" w:hAnsiTheme="minorHAnsi" w:cstheme="minorHAnsi"/>
        </w:rPr>
        <w:t>Methods</w:t>
      </w:r>
    </w:p>
    <w:p w14:paraId="1AAB4A84" w14:textId="77777777" w:rsidR="00E205C1" w:rsidRPr="00C73E7D" w:rsidRDefault="00E205C1" w:rsidP="00587FB1">
      <w:pPr>
        <w:rPr>
          <w:rFonts w:cstheme="minorHAnsi"/>
        </w:rPr>
      </w:pPr>
      <w:r w:rsidRPr="00C73E7D">
        <w:rPr>
          <w:rFonts w:cstheme="minorHAnsi"/>
        </w:rPr>
        <w:t>This exploratory cross‐sectional design used an anonymous online survey to target graduate nursing students attending American Association of College of Nursing (AACN) member institutions.</w:t>
      </w:r>
    </w:p>
    <w:p w14:paraId="3856649F" w14:textId="77777777" w:rsidR="00E205C1" w:rsidRPr="00C73E7D" w:rsidRDefault="00E205C1" w:rsidP="00587FB1">
      <w:pPr>
        <w:pStyle w:val="Heading2"/>
        <w:rPr>
          <w:rFonts w:asciiTheme="minorHAnsi" w:hAnsiTheme="minorHAnsi" w:cstheme="minorHAnsi"/>
        </w:rPr>
      </w:pPr>
      <w:r w:rsidRPr="00C73E7D">
        <w:rPr>
          <w:rFonts w:asciiTheme="minorHAnsi" w:hAnsiTheme="minorHAnsi" w:cstheme="minorHAnsi"/>
        </w:rPr>
        <w:t>Results</w:t>
      </w:r>
    </w:p>
    <w:p w14:paraId="655F0A37" w14:textId="77777777" w:rsidR="00E205C1" w:rsidRPr="00C73E7D" w:rsidRDefault="00E205C1" w:rsidP="00587FB1">
      <w:pPr>
        <w:rPr>
          <w:rFonts w:cstheme="minorHAnsi"/>
        </w:rPr>
      </w:pPr>
      <w:r w:rsidRPr="00C73E7D">
        <w:rPr>
          <w:rFonts w:cstheme="minorHAnsi"/>
        </w:rPr>
        <w:t>Over 75% of the sample (</w:t>
      </w:r>
      <w:r w:rsidRPr="00C73E7D">
        <w:rPr>
          <w:rFonts w:cstheme="minorHAnsi"/>
          <w:i/>
          <w:iCs/>
        </w:rPr>
        <w:t>n</w:t>
      </w:r>
      <w:r w:rsidRPr="00C73E7D">
        <w:rPr>
          <w:rFonts w:cstheme="minorHAnsi"/>
        </w:rPr>
        <w:t> = 140) reported taking a dedicated health policy course and 71.5% ( </w:t>
      </w:r>
      <w:r w:rsidRPr="00C73E7D">
        <w:rPr>
          <w:rFonts w:cstheme="minorHAnsi"/>
          <w:i/>
          <w:iCs/>
        </w:rPr>
        <w:t>n</w:t>
      </w:r>
      <w:r w:rsidRPr="00C73E7D">
        <w:rPr>
          <w:rFonts w:cstheme="minorHAnsi"/>
        </w:rPr>
        <w:t> = 131) of the sample responded that a health policy course was required and an equal distribution among master’s and doctoral students. There was no significant difference between type of graduate degree sought and the requirement to take a health policy course ( </w:t>
      </w:r>
      <w:r w:rsidRPr="00C73E7D">
        <w:rPr>
          <w:rFonts w:cstheme="minorHAnsi"/>
          <w:i/>
          <w:iCs/>
        </w:rPr>
        <w:t>P</w:t>
      </w:r>
      <w:r w:rsidRPr="00C73E7D">
        <w:rPr>
          <w:rFonts w:cstheme="minorHAnsi"/>
        </w:rPr>
        <w:t> = 0.37). For students involved in health policy, there was a greater proportion of master’s students involved at the state level, than doctorate of nursing practice (DNP) or PhD students ( </w:t>
      </w:r>
      <w:r w:rsidRPr="00C73E7D">
        <w:rPr>
          <w:rFonts w:cstheme="minorHAnsi"/>
          <w:i/>
          <w:iCs/>
        </w:rPr>
        <w:t>P</w:t>
      </w:r>
      <w:r w:rsidRPr="00C73E7D">
        <w:rPr>
          <w:rFonts w:cstheme="minorHAnsi"/>
        </w:rPr>
        <w:t> = 0.04).</w:t>
      </w:r>
    </w:p>
    <w:p w14:paraId="0A17D3C0" w14:textId="77777777" w:rsidR="00E205C1" w:rsidRPr="00C73E7D" w:rsidRDefault="00E205C1" w:rsidP="00587FB1">
      <w:pPr>
        <w:pStyle w:val="Heading2"/>
        <w:rPr>
          <w:rFonts w:asciiTheme="minorHAnsi" w:hAnsiTheme="minorHAnsi" w:cstheme="minorHAnsi"/>
        </w:rPr>
      </w:pPr>
      <w:r w:rsidRPr="00C73E7D">
        <w:rPr>
          <w:rFonts w:asciiTheme="minorHAnsi" w:hAnsiTheme="minorHAnsi" w:cstheme="minorHAnsi"/>
        </w:rPr>
        <w:t>Conclusions</w:t>
      </w:r>
    </w:p>
    <w:p w14:paraId="4F231237" w14:textId="77777777" w:rsidR="00E205C1" w:rsidRPr="00C73E7D" w:rsidRDefault="00E205C1" w:rsidP="00587FB1">
      <w:pPr>
        <w:rPr>
          <w:rFonts w:cstheme="minorHAnsi"/>
        </w:rPr>
      </w:pPr>
      <w:r w:rsidRPr="00C73E7D">
        <w:rPr>
          <w:rFonts w:cstheme="minorHAnsi"/>
        </w:rPr>
        <w:t>Health policy and advocacy education are important aspects of graduate nursing curriculum and have been integrated into curricula. Graduate nursing students at all levels reported that health policy AACN Essential competencies are being included in their program, either as stand‐alone health policy courses or integrated health policy learning activities during matriculation.</w:t>
      </w:r>
    </w:p>
    <w:p w14:paraId="0F7E9AEE" w14:textId="77777777" w:rsidR="00E205C1" w:rsidRPr="00C73E7D" w:rsidRDefault="00E205C1" w:rsidP="00587FB1">
      <w:pPr>
        <w:pStyle w:val="Heading1"/>
        <w:rPr>
          <w:rFonts w:asciiTheme="minorHAnsi" w:hAnsiTheme="minorHAnsi" w:cstheme="minorHAnsi"/>
        </w:rPr>
      </w:pPr>
      <w:r w:rsidRPr="00C73E7D">
        <w:rPr>
          <w:rFonts w:asciiTheme="minorHAnsi" w:hAnsiTheme="minorHAnsi" w:cstheme="minorHAnsi"/>
        </w:rPr>
        <w:t>1 BACKGROUND AND SIGNIFICANCE</w:t>
      </w:r>
    </w:p>
    <w:p w14:paraId="070A52DD" w14:textId="77777777" w:rsidR="00E205C1" w:rsidRPr="00C73E7D" w:rsidRDefault="00E205C1" w:rsidP="00587FB1">
      <w:pPr>
        <w:rPr>
          <w:rFonts w:cstheme="minorHAnsi"/>
        </w:rPr>
      </w:pPr>
      <w:r w:rsidRPr="00C73E7D">
        <w:rPr>
          <w:rFonts w:cstheme="minorHAnsi"/>
        </w:rPr>
        <w:t>Knowledge and application of health policy concepts and advocacy skills are critical among nurses in the United States’ (US) dynamic and rapidly evolving health systems. Nurses have historically valued their ability to influence healthcare. The current political and healthcare climates demand that nurses, be knowledgeable and skilled in their ability to shape health policy at the local, state, national, and international levels. Health policy analysis and advocacy are invaluable skills, especially among graduate nurses, who are in healthcare delivery roles as clinical providers, educators, and researchers.</w:t>
      </w:r>
    </w:p>
    <w:p w14:paraId="321996D1" w14:textId="77777777" w:rsidR="00E205C1" w:rsidRPr="00C73E7D" w:rsidRDefault="00E205C1" w:rsidP="00587FB1">
      <w:pPr>
        <w:rPr>
          <w:rFonts w:cstheme="minorHAnsi"/>
        </w:rPr>
      </w:pPr>
      <w:r w:rsidRPr="00C73E7D">
        <w:rPr>
          <w:rFonts w:cstheme="minorHAnsi"/>
        </w:rPr>
        <w:t>Health policy provisions consist of the decisions, plans, and actions undertaken to achieve specific healthcare goals within a society.</w:t>
      </w:r>
      <w:hyperlink r:id="rId10" w:anchor="nuf12295-bib-0001" w:history="1">
        <w:r w:rsidRPr="00C73E7D">
          <w:rPr>
            <w:rStyle w:val="Hyperlink"/>
            <w:rFonts w:eastAsiaTheme="majorEastAsia" w:cstheme="minorHAnsi"/>
            <w:b/>
            <w:bCs/>
            <w:color w:val="000000"/>
          </w:rPr>
          <w:t>1</w:t>
        </w:r>
      </w:hyperlink>
      <w:r w:rsidRPr="00C73E7D">
        <w:rPr>
          <w:rFonts w:cstheme="minorHAnsi"/>
        </w:rPr>
        <w:t> Historically, Sojourner Truth, Lillian Wald, and Margaret Sanger were nurses who challenged and changed health policy. In today’s environment, nurses must possess a highly developed understanding of how health policies can affect patients and their families. Nurses must lead the way to develop new health policy; to help implement and disseminate new and existing health policy.</w:t>
      </w:r>
      <w:hyperlink r:id="rId11" w:anchor="nuf12295-bib-0002" w:history="1">
        <w:r w:rsidRPr="00C73E7D">
          <w:rPr>
            <w:rStyle w:val="Hyperlink"/>
            <w:rFonts w:eastAsiaTheme="majorEastAsia" w:cstheme="minorHAnsi"/>
            <w:b/>
            <w:bCs/>
            <w:color w:val="000000"/>
          </w:rPr>
          <w:t>2</w:t>
        </w:r>
      </w:hyperlink>
    </w:p>
    <w:p w14:paraId="1ABBA20D" w14:textId="77777777" w:rsidR="00E205C1" w:rsidRPr="00C73E7D" w:rsidRDefault="00E205C1" w:rsidP="00587FB1">
      <w:pPr>
        <w:rPr>
          <w:rFonts w:cstheme="minorHAnsi"/>
        </w:rPr>
      </w:pPr>
      <w:r w:rsidRPr="00C73E7D">
        <w:rPr>
          <w:rFonts w:cstheme="minorHAnsi"/>
        </w:rPr>
        <w:t>Traditionally, nurses have been educated on how to communicate with patients and their families. In the present nursing paradigm, nurses learn how to translate current nursing research findings to the patient’s bedside. This translation not only affects patients and their families, but a need exists that these findings are also translated to policymakers at all levels.</w:t>
      </w:r>
      <w:hyperlink r:id="rId12" w:anchor="nuf12295-bib-0002" w:history="1">
        <w:r w:rsidRPr="00C73E7D">
          <w:rPr>
            <w:rStyle w:val="Hyperlink"/>
            <w:rFonts w:eastAsiaTheme="majorEastAsia" w:cstheme="minorHAnsi"/>
            <w:b/>
            <w:bCs/>
            <w:color w:val="000000"/>
          </w:rPr>
          <w:t>2</w:t>
        </w:r>
      </w:hyperlink>
      <w:r w:rsidRPr="00C73E7D">
        <w:rPr>
          <w:rFonts w:cstheme="minorHAnsi"/>
        </w:rPr>
        <w:t> Nurses must view health policy as something they can shape, rather than something that happens to them.</w:t>
      </w:r>
      <w:hyperlink r:id="rId13" w:anchor="nuf12295-bib-0003" w:history="1">
        <w:r w:rsidRPr="00C73E7D">
          <w:rPr>
            <w:rStyle w:val="Hyperlink"/>
            <w:rFonts w:eastAsiaTheme="majorEastAsia" w:cstheme="minorHAnsi"/>
            <w:b/>
            <w:bCs/>
            <w:color w:val="000000"/>
          </w:rPr>
          <w:t>3</w:t>
        </w:r>
      </w:hyperlink>
      <w:r w:rsidRPr="00C73E7D">
        <w:rPr>
          <w:rFonts w:cstheme="minorHAnsi"/>
        </w:rPr>
        <w:t> Therefore, there is a need to describe how nurses at the graduate level are currently being educated to analyze existing health policy as well as advocate for future health policy.</w:t>
      </w:r>
    </w:p>
    <w:p w14:paraId="2B448332" w14:textId="77777777" w:rsidR="00E205C1" w:rsidRPr="00C73E7D" w:rsidRDefault="00E205C1" w:rsidP="00587FB1">
      <w:pPr>
        <w:rPr>
          <w:rFonts w:cstheme="minorHAnsi"/>
        </w:rPr>
      </w:pPr>
      <w:r w:rsidRPr="00C73E7D">
        <w:rPr>
          <w:rFonts w:cstheme="minorHAnsi"/>
        </w:rPr>
        <w:t>Recommendations from professional nursing organizations, including the American Association of Colleges of Nursing (AACN), have provided guidance on how to engage nurses in health policy endeavors. In 1996, AACN’s </w:t>
      </w:r>
      <w:r w:rsidRPr="00C73E7D">
        <w:rPr>
          <w:rFonts w:cstheme="minorHAnsi"/>
          <w:i/>
          <w:iCs/>
        </w:rPr>
        <w:t>The Essentials of Master’s Education in Nursing (updated in 2011)</w:t>
      </w:r>
      <w:r w:rsidRPr="00C73E7D">
        <w:rPr>
          <w:rFonts w:cstheme="minorHAnsi"/>
        </w:rPr>
        <w:t> established that health policy education be integrated into all master’s nursing programs.</w:t>
      </w:r>
      <w:hyperlink r:id="rId14" w:anchor="nuf12295-bib-0004" w:history="1">
        <w:r w:rsidRPr="00C73E7D">
          <w:rPr>
            <w:rStyle w:val="Hyperlink"/>
            <w:rFonts w:eastAsiaTheme="majorEastAsia" w:cstheme="minorHAnsi"/>
            <w:b/>
            <w:bCs/>
            <w:color w:val="000000"/>
          </w:rPr>
          <w:t>4</w:t>
        </w:r>
      </w:hyperlink>
      <w:r w:rsidRPr="00C73E7D">
        <w:rPr>
          <w:rFonts w:cstheme="minorHAnsi"/>
        </w:rPr>
        <w:t> In 2006, </w:t>
      </w:r>
      <w:r w:rsidRPr="00C73E7D">
        <w:rPr>
          <w:rFonts w:cstheme="minorHAnsi"/>
          <w:i/>
          <w:iCs/>
        </w:rPr>
        <w:t>The Essentials of Doctoral Education of Advanced Nursing Practice</w:t>
      </w:r>
      <w:r w:rsidRPr="00C73E7D">
        <w:rPr>
          <w:rFonts w:cstheme="minorHAnsi"/>
        </w:rPr>
        <w:t>was established. These essentials currently serve as a health policy education templates for both master’s and doctoral nursing programs in the United States.</w:t>
      </w:r>
      <w:hyperlink r:id="rId15" w:anchor="nuf12295-bib-0005" w:history="1">
        <w:r w:rsidRPr="00C73E7D">
          <w:rPr>
            <w:rStyle w:val="Hyperlink"/>
            <w:rFonts w:eastAsiaTheme="majorEastAsia" w:cstheme="minorHAnsi"/>
            <w:b/>
            <w:bCs/>
            <w:color w:val="000000"/>
          </w:rPr>
          <w:t>5</w:t>
        </w:r>
      </w:hyperlink>
      <w:r w:rsidRPr="00C73E7D">
        <w:rPr>
          <w:rFonts w:cstheme="minorHAnsi"/>
        </w:rPr>
        <w:t>, </w:t>
      </w:r>
      <w:hyperlink r:id="rId16" w:anchor="nuf12295-bib-0006" w:history="1">
        <w:r w:rsidRPr="00C73E7D">
          <w:rPr>
            <w:rStyle w:val="Hyperlink"/>
            <w:rFonts w:eastAsiaTheme="majorEastAsia" w:cstheme="minorHAnsi"/>
            <w:b/>
            <w:bCs/>
            <w:color w:val="000000"/>
          </w:rPr>
          <w:t>6</w:t>
        </w:r>
      </w:hyperlink>
    </w:p>
    <w:p w14:paraId="7E69F106" w14:textId="77777777" w:rsidR="00E205C1" w:rsidRPr="00C73E7D" w:rsidRDefault="00E205C1" w:rsidP="00587FB1">
      <w:pPr>
        <w:rPr>
          <w:rFonts w:cstheme="minorHAnsi"/>
        </w:rPr>
      </w:pPr>
      <w:r w:rsidRPr="00C73E7D">
        <w:rPr>
          <w:rFonts w:cstheme="minorHAnsi"/>
        </w:rPr>
        <w:t>In </w:t>
      </w:r>
      <w:r w:rsidRPr="00C73E7D">
        <w:rPr>
          <w:rFonts w:cstheme="minorHAnsi"/>
          <w:i/>
          <w:iCs/>
        </w:rPr>
        <w:t>The Essentials of Master ’s Education,</w:t>
      </w:r>
      <w:r w:rsidRPr="00C73E7D">
        <w:rPr>
          <w:rFonts w:cstheme="minorHAnsi"/>
        </w:rPr>
        <w:t> Essential VI delineates competencies for health policy engagement, defined as knowledge and skills which “shape healthcare systems, influence social determinants of health, and therefore determines accessibility, accountability, and affordability of health care.”</w:t>
      </w:r>
      <w:hyperlink r:id="rId17" w:anchor="nuf12295-bib-0004" w:history="1">
        <w:r w:rsidRPr="00C73E7D">
          <w:rPr>
            <w:rStyle w:val="Hyperlink"/>
            <w:rFonts w:eastAsiaTheme="majorEastAsia" w:cstheme="minorHAnsi"/>
            <w:b/>
            <w:bCs/>
            <w:color w:val="000000"/>
          </w:rPr>
          <w:t>4</w:t>
        </w:r>
      </w:hyperlink>
      <w:r w:rsidRPr="00C73E7D">
        <w:rPr>
          <w:rFonts w:cstheme="minorHAnsi"/>
          <w:vertAlign w:val="superscript"/>
        </w:rPr>
        <w:t>(p. 21)</w:t>
      </w:r>
      <w:r w:rsidRPr="00C73E7D">
        <w:rPr>
          <w:rFonts w:cstheme="minorHAnsi"/>
        </w:rPr>
        <w:t> Additionally, master’s‐prepared nurses should “actively analyze healthcare policies, participate in the development and examine the effect of policy implications that impact both nurses and patients.”</w:t>
      </w:r>
      <w:hyperlink r:id="rId18" w:anchor="nuf12295-bib-0006" w:history="1">
        <w:r w:rsidRPr="00C73E7D">
          <w:rPr>
            <w:rStyle w:val="Hyperlink"/>
            <w:rFonts w:eastAsiaTheme="majorEastAsia" w:cstheme="minorHAnsi"/>
            <w:b/>
            <w:bCs/>
            <w:color w:val="000000"/>
          </w:rPr>
          <w:t>6</w:t>
        </w:r>
      </w:hyperlink>
      <w:r w:rsidRPr="00C73E7D">
        <w:rPr>
          <w:rFonts w:cstheme="minorHAnsi"/>
        </w:rPr>
        <w:t> Consequently, the graduate nurse should be able to demonstrate the skills needed to influence development of new health policy or provide alternatives to existing health policy in the healthcare arena. Despite recommendations that current health policy essentials be integrated into existing master’s and doctoral nursing programs, there is little empirical evidence to demonstrate that these essential competencies are being integrated into graduate nursing education.</w:t>
      </w:r>
    </w:p>
    <w:p w14:paraId="4150678B" w14:textId="77777777" w:rsidR="00E205C1" w:rsidRPr="00C73E7D" w:rsidRDefault="00E205C1" w:rsidP="00587FB1">
      <w:pPr>
        <w:rPr>
          <w:rFonts w:cstheme="minorHAnsi"/>
        </w:rPr>
      </w:pPr>
      <w:r w:rsidRPr="00C73E7D">
        <w:rPr>
          <w:rFonts w:cstheme="minorHAnsi"/>
        </w:rPr>
        <w:t>Staebler et al</w:t>
      </w:r>
      <w:hyperlink r:id="rId19" w:anchor="nuf12295-bib-0007" w:history="1">
        <w:r w:rsidRPr="00C73E7D">
          <w:rPr>
            <w:rStyle w:val="Hyperlink"/>
            <w:rFonts w:eastAsiaTheme="majorEastAsia" w:cstheme="minorHAnsi"/>
            <w:b/>
            <w:bCs/>
            <w:color w:val="000000"/>
          </w:rPr>
          <w:t>7</w:t>
        </w:r>
      </w:hyperlink>
      <w:r w:rsidRPr="00C73E7D">
        <w:rPr>
          <w:rFonts w:cstheme="minorHAnsi"/>
        </w:rPr>
        <w:t> sought to describe the faculty perspective regarding whether health policy content and skills were being integrated into nursing curricula. These researchers inquired about content delivery modalities, perceptions, and facilitators, as well as barriers, to integrating health policy into their nursing curricula. Results from that study revealed that most faculty surveyed (70%) have participated in political advocacy, although only 36% had worked in policy development. Only 40% of the faculty in the sample were actively engaged in health policy advocacy at the time of the survey.</w:t>
      </w:r>
    </w:p>
    <w:p w14:paraId="44A11CC8" w14:textId="77777777" w:rsidR="00E205C1" w:rsidRPr="00C73E7D" w:rsidRDefault="00E205C1" w:rsidP="00587FB1">
      <w:pPr>
        <w:rPr>
          <w:rFonts w:cstheme="minorHAnsi"/>
        </w:rPr>
      </w:pPr>
      <w:r w:rsidRPr="00C73E7D">
        <w:rPr>
          <w:rFonts w:cstheme="minorHAnsi"/>
        </w:rPr>
        <w:t>Previous research identified the following barriers to students’ involvement in health policy activities: lack of time, lack of knowledge, and/or lack of interest in performing those activities.</w:t>
      </w:r>
      <w:hyperlink r:id="rId20" w:anchor="nuf12295-bib-0008" w:history="1">
        <w:r w:rsidRPr="00C73E7D">
          <w:rPr>
            <w:rStyle w:val="Hyperlink"/>
            <w:rFonts w:eastAsiaTheme="majorEastAsia" w:cstheme="minorHAnsi"/>
            <w:b/>
            <w:bCs/>
            <w:color w:val="000000"/>
          </w:rPr>
          <w:t>8</w:t>
        </w:r>
      </w:hyperlink>
      <w:r w:rsidRPr="00C73E7D">
        <w:rPr>
          <w:rFonts w:cstheme="minorHAnsi"/>
        </w:rPr>
        <w:t> Faculty has also identified barriers to developing health policy experts, such as lack of desire and opportunities and insufficient financial and administrative support.</w:t>
      </w:r>
      <w:hyperlink r:id="rId21" w:anchor="nuf12295-bib-0007" w:history="1">
        <w:r w:rsidRPr="00C73E7D">
          <w:rPr>
            <w:rStyle w:val="Hyperlink"/>
            <w:rFonts w:eastAsiaTheme="majorEastAsia" w:cstheme="minorHAnsi"/>
            <w:b/>
            <w:bCs/>
            <w:color w:val="000000"/>
          </w:rPr>
          <w:t>7</w:t>
        </w:r>
      </w:hyperlink>
      <w:r w:rsidRPr="00C73E7D">
        <w:rPr>
          <w:rFonts w:cstheme="minorHAnsi"/>
        </w:rPr>
        <w:t> This is an area of concern because there is evidence that faculty’s engagement in health policy activities increases the likelihood that health policy educational content will be disseminated to their students.</w:t>
      </w:r>
      <w:hyperlink r:id="rId22" w:anchor="nuf12295-bib-0009" w:history="1">
        <w:r w:rsidRPr="00C73E7D">
          <w:rPr>
            <w:rStyle w:val="Hyperlink"/>
            <w:rFonts w:eastAsiaTheme="majorEastAsia" w:cstheme="minorHAnsi"/>
            <w:b/>
            <w:bCs/>
            <w:color w:val="000000"/>
          </w:rPr>
          <w:t>9</w:t>
        </w:r>
      </w:hyperlink>
      <w:r w:rsidRPr="00C73E7D">
        <w:rPr>
          <w:rFonts w:cstheme="minorHAnsi"/>
        </w:rPr>
        <w:t>, </w:t>
      </w:r>
      <w:hyperlink r:id="rId23" w:anchor="nuf12295-bib-0010" w:history="1">
        <w:r w:rsidRPr="00C73E7D">
          <w:rPr>
            <w:rStyle w:val="Hyperlink"/>
            <w:rFonts w:eastAsiaTheme="majorEastAsia" w:cstheme="minorHAnsi"/>
            <w:b/>
            <w:bCs/>
            <w:color w:val="000000"/>
          </w:rPr>
          <w:t>10</w:t>
        </w:r>
      </w:hyperlink>
    </w:p>
    <w:p w14:paraId="73DA03F6" w14:textId="77777777" w:rsidR="00E205C1" w:rsidRPr="00C73E7D" w:rsidRDefault="00E205C1" w:rsidP="00587FB1">
      <w:pPr>
        <w:rPr>
          <w:rFonts w:cstheme="minorHAnsi"/>
        </w:rPr>
      </w:pPr>
      <w:r w:rsidRPr="00C73E7D">
        <w:rPr>
          <w:rFonts w:cstheme="minorHAnsi"/>
        </w:rPr>
        <w:t>According to Byrd et al,</w:t>
      </w:r>
      <w:hyperlink r:id="rId24" w:anchor="nuf12295-bib-0010" w:history="1">
        <w:r w:rsidRPr="00C73E7D">
          <w:rPr>
            <w:rStyle w:val="Hyperlink"/>
            <w:rFonts w:eastAsiaTheme="majorEastAsia" w:cstheme="minorHAnsi"/>
            <w:b/>
            <w:bCs/>
            <w:color w:val="000000"/>
          </w:rPr>
          <w:t>10</w:t>
        </w:r>
      </w:hyperlink>
      <w:r w:rsidRPr="00C73E7D">
        <w:rPr>
          <w:rFonts w:cstheme="minorHAnsi"/>
        </w:rPr>
        <w:t> healthcare policy development and core competencies need to be integrated into both undergraduate and graduate health policy courses to increase students’ political astuteness. Political astuteness, defined as the awareness of political knowledge and the action of being politically savvy,</w:t>
      </w:r>
      <w:hyperlink r:id="rId25" w:anchor="nuf12295-bib-0011" w:history="1">
        <w:r w:rsidRPr="00C73E7D">
          <w:rPr>
            <w:rStyle w:val="Hyperlink"/>
            <w:rFonts w:eastAsiaTheme="majorEastAsia" w:cstheme="minorHAnsi"/>
            <w:b/>
            <w:bCs/>
            <w:color w:val="000000"/>
          </w:rPr>
          <w:t>11</w:t>
        </w:r>
      </w:hyperlink>
      <w:r w:rsidRPr="00C73E7D">
        <w:rPr>
          <w:rFonts w:cstheme="minorHAnsi"/>
        </w:rPr>
        <w:t> is important in determining nurses’ level of civic policy knowledge and engagement. Des Jardin</w:t>
      </w:r>
      <w:hyperlink r:id="rId26" w:anchor="nuf12295-bib-0008" w:history="1">
        <w:r w:rsidRPr="00C73E7D">
          <w:rPr>
            <w:rStyle w:val="Hyperlink"/>
            <w:rFonts w:eastAsiaTheme="majorEastAsia" w:cstheme="minorHAnsi"/>
            <w:b/>
            <w:bCs/>
            <w:color w:val="000000"/>
          </w:rPr>
          <w:t>8</w:t>
        </w:r>
      </w:hyperlink>
      <w:r w:rsidRPr="00C73E7D">
        <w:rPr>
          <w:rFonts w:cstheme="minorHAnsi"/>
        </w:rPr>
        <w:t> conducted a pretest and posttest survey of the level of political astuteness for undergraduate and graduate students enrolled in health policy courses. This survey assessed the students’ comfort levels when performing policy assessment and development activities. The research findings revealed that, after taking a health policy course, the percentage of both undergraduate and graduate students who identified as being unaware politically decreased from 49% pretest to 1.3% posttest.</w:t>
      </w:r>
    </w:p>
    <w:p w14:paraId="0DD6F65F" w14:textId="77777777" w:rsidR="00E205C1" w:rsidRPr="00C73E7D" w:rsidRDefault="00E205C1" w:rsidP="00587FB1">
      <w:pPr>
        <w:rPr>
          <w:rFonts w:cstheme="minorHAnsi"/>
        </w:rPr>
      </w:pPr>
      <w:r w:rsidRPr="00C73E7D">
        <w:rPr>
          <w:rFonts w:cstheme="minorHAnsi"/>
        </w:rPr>
        <w:t>In similar research sampling graduate nursing students, Primomo</w:t>
      </w:r>
      <w:hyperlink r:id="rId27" w:anchor="nuf12295-bib-0011" w:history="1">
        <w:r w:rsidRPr="00C73E7D">
          <w:rPr>
            <w:rStyle w:val="Hyperlink"/>
            <w:rFonts w:eastAsiaTheme="majorEastAsia" w:cstheme="minorHAnsi"/>
            <w:b/>
            <w:bCs/>
            <w:color w:val="000000"/>
          </w:rPr>
          <w:t>11</w:t>
        </w:r>
      </w:hyperlink>
      <w:r w:rsidRPr="00C73E7D">
        <w:rPr>
          <w:rFonts w:cstheme="minorHAnsi"/>
        </w:rPr>
        <w:t> found that 20% of students who never took a policy course were unaware politically. However, at the end of the policy course, that unawareness decreased to 7%. These are promising findings; however, it is unknown whether political awareness is sufficient to prepare students who will go on to engage in health policy advocacy in their advanced practice or faculty careers.</w:t>
      </w:r>
    </w:p>
    <w:p w14:paraId="0AB653B0" w14:textId="77777777" w:rsidR="00E205C1" w:rsidRPr="00C73E7D" w:rsidRDefault="00E205C1" w:rsidP="00587FB1">
      <w:pPr>
        <w:rPr>
          <w:rFonts w:cstheme="minorHAnsi"/>
        </w:rPr>
      </w:pPr>
      <w:r w:rsidRPr="00C73E7D">
        <w:rPr>
          <w:rFonts w:cstheme="minorHAnsi"/>
        </w:rPr>
        <w:t>Nursing students at the graduate level are preparing for roles where their skills in health policy advocacy and political engagement are warranted. A need exists to assess their level of political engagement before taking a health policy course. An instrument, such as the Political Astuteness Survey (PAS), is a validated instrument to evaluate students’ baseline health policy knowledge and competencies before taking a health policy course.</w:t>
      </w:r>
      <w:hyperlink r:id="rId28" w:anchor="nuf12295-bib-0011" w:history="1">
        <w:r w:rsidRPr="00C73E7D">
          <w:rPr>
            <w:rStyle w:val="Hyperlink"/>
            <w:rFonts w:eastAsiaTheme="majorEastAsia" w:cstheme="minorHAnsi"/>
            <w:b/>
            <w:bCs/>
            <w:color w:val="000000"/>
          </w:rPr>
          <w:t>11</w:t>
        </w:r>
      </w:hyperlink>
      <w:r w:rsidRPr="00C73E7D">
        <w:rPr>
          <w:rFonts w:cstheme="minorHAnsi"/>
        </w:rPr>
        <w:t> Also, there exists a need to describe graduate nursing students’ engagement while taking a health policy course. Therefore, the overall aim of this descriptive study was to assess how health policy education is being delivered to graduate students in the US’ nursing programs and to determine the graduate students’ level of political involvement. Specific research questions included:</w:t>
      </w:r>
    </w:p>
    <w:p w14:paraId="34360136" w14:textId="7DC86651" w:rsidR="00E205C1" w:rsidRPr="00C73E7D" w:rsidRDefault="00925A3F" w:rsidP="00925A3F">
      <w:pPr>
        <w:pStyle w:val="NoSpacing"/>
        <w:ind w:left="720"/>
      </w:pPr>
      <w:r>
        <w:t xml:space="preserve">1. </w:t>
      </w:r>
      <w:r w:rsidR="00E205C1" w:rsidRPr="00C73E7D">
        <w:t>Are US graduate nursing students taking a stand‐alone policy course in their curriculum?</w:t>
      </w:r>
    </w:p>
    <w:p w14:paraId="266AB54B" w14:textId="65C73532" w:rsidR="00E205C1" w:rsidRPr="00C73E7D" w:rsidRDefault="00E205C1" w:rsidP="00925A3F">
      <w:pPr>
        <w:pStyle w:val="NoSpacing"/>
        <w:ind w:left="720"/>
      </w:pPr>
      <w:r w:rsidRPr="00C73E7D">
        <w:rPr>
          <w:rStyle w:val="number"/>
          <w:rFonts w:cstheme="minorHAnsi"/>
        </w:rPr>
        <w:t>2.</w:t>
      </w:r>
      <w:r w:rsidR="00925A3F">
        <w:rPr>
          <w:rStyle w:val="number"/>
          <w:rFonts w:cstheme="minorHAnsi"/>
        </w:rPr>
        <w:t xml:space="preserve"> </w:t>
      </w:r>
      <w:r w:rsidRPr="00C73E7D">
        <w:t>Is the PAS used to assess students at the beginning of a health policy course?</w:t>
      </w:r>
    </w:p>
    <w:p w14:paraId="019841B2" w14:textId="71BD3E0C" w:rsidR="00E205C1" w:rsidRDefault="00E205C1" w:rsidP="00925A3F">
      <w:pPr>
        <w:pStyle w:val="NoSpacing"/>
        <w:ind w:left="720"/>
      </w:pPr>
      <w:r w:rsidRPr="00C73E7D">
        <w:rPr>
          <w:rStyle w:val="number"/>
          <w:rFonts w:cstheme="minorHAnsi"/>
        </w:rPr>
        <w:t>3.</w:t>
      </w:r>
      <w:r w:rsidR="00925A3F">
        <w:rPr>
          <w:rStyle w:val="number"/>
          <w:rFonts w:cstheme="minorHAnsi"/>
        </w:rPr>
        <w:t xml:space="preserve"> </w:t>
      </w:r>
      <w:r w:rsidRPr="00C73E7D">
        <w:t>What is the level of graduate student involvement with health policy at the local, state, and/or federal level?</w:t>
      </w:r>
    </w:p>
    <w:p w14:paraId="04024288" w14:textId="77777777" w:rsidR="00925A3F" w:rsidRPr="00C73E7D" w:rsidRDefault="00925A3F" w:rsidP="00587FB1">
      <w:pPr>
        <w:rPr>
          <w:rFonts w:cstheme="minorHAnsi"/>
        </w:rPr>
      </w:pPr>
    </w:p>
    <w:p w14:paraId="491CFC51" w14:textId="77777777" w:rsidR="00E205C1" w:rsidRPr="00C73E7D" w:rsidRDefault="00E205C1" w:rsidP="00D3698B">
      <w:pPr>
        <w:pStyle w:val="Heading1"/>
        <w:rPr>
          <w:rFonts w:asciiTheme="minorHAnsi" w:hAnsiTheme="minorHAnsi" w:cstheme="minorHAnsi"/>
        </w:rPr>
      </w:pPr>
      <w:r w:rsidRPr="00C73E7D">
        <w:rPr>
          <w:rFonts w:asciiTheme="minorHAnsi" w:hAnsiTheme="minorHAnsi" w:cstheme="minorHAnsi"/>
        </w:rPr>
        <w:t>2 METHODS</w:t>
      </w:r>
    </w:p>
    <w:p w14:paraId="7808812C" w14:textId="77777777" w:rsidR="00E205C1" w:rsidRPr="00C73E7D" w:rsidRDefault="00E205C1" w:rsidP="00D3698B">
      <w:pPr>
        <w:rPr>
          <w:rFonts w:cstheme="minorHAnsi"/>
        </w:rPr>
      </w:pPr>
      <w:r w:rsidRPr="00C73E7D">
        <w:rPr>
          <w:rFonts w:cstheme="minorHAnsi"/>
        </w:rPr>
        <w:t>This descriptive, cross‐sectional study used an anonymous online survey to target graduate nursing students enrolled in AACN‐member institutions. The online survey was adapted from a previous survey that assessed faculty teaching health policy content.</w:t>
      </w:r>
      <w:hyperlink r:id="rId29" w:anchor="nuf12295-bib-0007" w:history="1">
        <w:r w:rsidRPr="00C73E7D">
          <w:rPr>
            <w:rStyle w:val="Hyperlink"/>
            <w:rFonts w:eastAsiaTheme="majorEastAsia" w:cstheme="minorHAnsi"/>
            <w:b/>
            <w:bCs/>
            <w:color w:val="000000"/>
          </w:rPr>
          <w:t>7</w:t>
        </w:r>
      </w:hyperlink>
      <w:r w:rsidRPr="00C73E7D">
        <w:rPr>
          <w:rFonts w:cstheme="minorHAnsi"/>
        </w:rPr>
        <w:t> Exempt Institutional Review Board approval was obtained from the University of Portland, Project #2017013. Participants were given the link to the online survey, which the authors created using Survey Monkey (</w:t>
      </w:r>
      <w:hyperlink r:id="rId30" w:history="1">
        <w:r w:rsidRPr="00C73E7D">
          <w:rPr>
            <w:rStyle w:val="Hyperlink"/>
            <w:rFonts w:eastAsiaTheme="majorEastAsia" w:cstheme="minorHAnsi"/>
            <w:b/>
            <w:bCs/>
            <w:color w:val="005274"/>
          </w:rPr>
          <w:t>http://www.surveymonkey.com</w:t>
        </w:r>
      </w:hyperlink>
      <w:r w:rsidRPr="00C73E7D">
        <w:rPr>
          <w:rFonts w:cstheme="minorHAnsi"/>
        </w:rPr>
        <w:t>) for 3 weeks in early February 2017. Participants were recruited in various ways. The survey link was distributed via the AACN‐Graduate Nursing Student Academy (GNSA) database to approximately 12 000 graduate nursing students. The survey link was also disseminated through direct emails to graduate nursing program directors and faculty/student bulletins of AACN‐member institutions. During the 3 weeks, the survey was active; Deans and Directors of AACN‐member schools were also sent e‐mail invitations to distribute to their graduate students.</w:t>
      </w:r>
    </w:p>
    <w:p w14:paraId="795060CE" w14:textId="77777777" w:rsidR="00E205C1" w:rsidRPr="00C73E7D" w:rsidRDefault="00E205C1" w:rsidP="00D3698B">
      <w:pPr>
        <w:rPr>
          <w:rFonts w:cstheme="minorHAnsi"/>
        </w:rPr>
      </w:pPr>
      <w:r w:rsidRPr="00C73E7D">
        <w:rPr>
          <w:rFonts w:cstheme="minorHAnsi"/>
        </w:rPr>
        <w:t>The 34‐item online survey consisted of four parts: (a) Demographic data: type of graduate program by clinical specialty, type of academic program, availability, and participation of a health policy course during matriculation, if the course was a requirement, and the delivery format of the course; (b) Policy course: participants rated how they viewed the policy course in their curriculum; (c) Political astuteness: participants indicated whether they completed a validated instrument measuring this political astuteness before or during their health policy course; and (d) Prepolicy and advocacy engagement: participants identified health policy activities they engaged in such as policy analysis, advocacy, educating health policymakers during their program, and also rated their degree of confidence in becoming involved in these activities after graduation. Participants also identified barriers they encountered when engaging in health policy and advocacy activities.</w:t>
      </w:r>
    </w:p>
    <w:p w14:paraId="1B9EA75D" w14:textId="77777777" w:rsidR="00E205C1" w:rsidRPr="00C73E7D" w:rsidRDefault="00E205C1" w:rsidP="00D3698B">
      <w:pPr>
        <w:rPr>
          <w:rFonts w:cstheme="minorHAnsi"/>
        </w:rPr>
      </w:pPr>
      <w:r w:rsidRPr="00C73E7D">
        <w:rPr>
          <w:rFonts w:cstheme="minorHAnsi"/>
        </w:rPr>
        <w:t>Survey responses were assessed for missing data and responses were excluded from the analysis if they had greater than 10% of missing data. Descriptive statistics were used to analyze the demographics whereas bivariate analyses (</w:t>
      </w:r>
      <w:r w:rsidRPr="00C73E7D">
        <w:rPr>
          <w:rFonts w:cstheme="minorHAnsi"/>
          <w:i/>
          <w:iCs/>
        </w:rPr>
        <w:t>χ</w:t>
      </w:r>
      <w:r w:rsidRPr="00C73E7D">
        <w:rPr>
          <w:rFonts w:cstheme="minorHAnsi"/>
          <w:vertAlign w:val="superscript"/>
        </w:rPr>
        <w:t>2</w:t>
      </w:r>
      <w:r w:rsidRPr="00C73E7D">
        <w:rPr>
          <w:rFonts w:cstheme="minorHAnsi"/>
        </w:rPr>
        <w:t> tests using R statistics) were used to evaluate the relationships between type of graduate students and the research questions.</w:t>
      </w:r>
      <w:hyperlink r:id="rId31" w:anchor="nuf12295-bib-0012" w:history="1">
        <w:r w:rsidRPr="00C73E7D">
          <w:rPr>
            <w:rStyle w:val="Hyperlink"/>
            <w:rFonts w:eastAsiaTheme="majorEastAsia" w:cstheme="minorHAnsi"/>
            <w:b/>
            <w:bCs/>
            <w:color w:val="000000"/>
          </w:rPr>
          <w:t>12</w:t>
        </w:r>
      </w:hyperlink>
      <w:r w:rsidRPr="00C73E7D">
        <w:rPr>
          <w:rFonts w:cstheme="minorHAnsi"/>
        </w:rPr>
        <w:t> Ad hoc power analyses were performed using G*Power software, version 3.1 (Statistical Power Analyses for Windows, Heinrich‐Heine_University Dusseldorf, Germany),</w:t>
      </w:r>
      <w:hyperlink r:id="rId32" w:anchor="nuf12295-bib-0013" w:history="1">
        <w:r w:rsidRPr="00C73E7D">
          <w:rPr>
            <w:rStyle w:val="Hyperlink"/>
            <w:rFonts w:eastAsiaTheme="majorEastAsia" w:cstheme="minorHAnsi"/>
            <w:b/>
            <w:bCs/>
            <w:color w:val="000000"/>
          </w:rPr>
          <w:t>13</w:t>
        </w:r>
      </w:hyperlink>
      <w:r w:rsidRPr="00C73E7D">
        <w:rPr>
          <w:rFonts w:cstheme="minorHAnsi"/>
        </w:rPr>
        <w:t>for the planned </w:t>
      </w:r>
      <w:r w:rsidRPr="00C73E7D">
        <w:rPr>
          <w:rFonts w:cstheme="minorHAnsi"/>
          <w:i/>
          <w:iCs/>
        </w:rPr>
        <w:t>χ</w:t>
      </w:r>
      <w:r w:rsidRPr="00C73E7D">
        <w:rPr>
          <w:rFonts w:cstheme="minorHAnsi"/>
        </w:rPr>
        <w:t>2 analyses with 2‐degrees‐of‐freedom, a moderate effect size = 0.3%, and 95% power, resulting in a required sample size of 172.</w:t>
      </w:r>
    </w:p>
    <w:p w14:paraId="30875D3F" w14:textId="77777777" w:rsidR="00E205C1" w:rsidRPr="00C73E7D" w:rsidRDefault="00E205C1" w:rsidP="00D3698B">
      <w:pPr>
        <w:pStyle w:val="Heading1"/>
        <w:rPr>
          <w:rFonts w:asciiTheme="minorHAnsi" w:hAnsiTheme="minorHAnsi" w:cstheme="minorHAnsi"/>
        </w:rPr>
      </w:pPr>
      <w:r w:rsidRPr="00C73E7D">
        <w:rPr>
          <w:rFonts w:asciiTheme="minorHAnsi" w:hAnsiTheme="minorHAnsi" w:cstheme="minorHAnsi"/>
        </w:rPr>
        <w:t>3 RESULTS</w:t>
      </w:r>
    </w:p>
    <w:p w14:paraId="54111825" w14:textId="77777777" w:rsidR="00E205C1" w:rsidRPr="00C73E7D" w:rsidRDefault="00E205C1" w:rsidP="00D3698B">
      <w:pPr>
        <w:rPr>
          <w:rFonts w:cstheme="minorHAnsi"/>
        </w:rPr>
      </w:pPr>
      <w:r w:rsidRPr="00C73E7D">
        <w:rPr>
          <w:rFonts w:cstheme="minorHAnsi"/>
        </w:rPr>
        <w:t>Two hundred and fifty‐one (2.4% response rate) graduate nursing students completed the survey. Approximately 53% (</w:t>
      </w:r>
      <w:r w:rsidRPr="00C73E7D">
        <w:rPr>
          <w:rFonts w:cstheme="minorHAnsi"/>
          <w:i/>
          <w:iCs/>
        </w:rPr>
        <w:t>n</w:t>
      </w:r>
      <w:r w:rsidRPr="00C73E7D">
        <w:rPr>
          <w:rFonts w:cstheme="minorHAnsi"/>
        </w:rPr>
        <w:t> = 134) of the survey’s participants attended a doctoral research university according to the Carnegie Classification of Institutions of Higher Education. More than a half (53.0%) of the survey participants were enrolled as full‐time students. Most of the sample’s participants, 53.4%, were pursuing their master’s degree, while 37.1% indicated they were pursuing their Doctor of Nursing Practice (DNP) degree and 9.6% were enrolled in a Doctor of Philosophy (PhD) program (Table </w:t>
      </w:r>
      <w:hyperlink r:id="rId33" w:anchor="nuf12295-tbl-0001" w:tooltip="Link to table" w:history="1">
        <w:r w:rsidRPr="00C73E7D">
          <w:rPr>
            <w:rStyle w:val="Hyperlink"/>
            <w:rFonts w:eastAsiaTheme="majorEastAsia" w:cstheme="minorHAnsi"/>
            <w:b/>
            <w:bCs/>
            <w:color w:val="005274"/>
          </w:rPr>
          <w:t>1</w:t>
        </w:r>
      </w:hyperlink>
      <w:r w:rsidRPr="00C73E7D">
        <w:rPr>
          <w:rFonts w:cstheme="minorHAnsi"/>
        </w:rPr>
        <w:t>).</w:t>
      </w:r>
    </w:p>
    <w:p w14:paraId="2ED8309D" w14:textId="77777777" w:rsidR="00E205C1" w:rsidRPr="00C73E7D" w:rsidRDefault="00E205C1" w:rsidP="00925A3F">
      <w:pPr>
        <w:pStyle w:val="NoSpacing"/>
      </w:pPr>
      <w:r w:rsidRPr="00C73E7D">
        <w:rPr>
          <w:rStyle w:val="Heading3Char"/>
          <w:rFonts w:asciiTheme="minorHAnsi" w:hAnsiTheme="minorHAnsi" w:cstheme="minorHAnsi"/>
        </w:rPr>
        <w:t>Table 1.</w:t>
      </w:r>
      <w:r w:rsidRPr="00C73E7D">
        <w:rPr>
          <w:rStyle w:val="table-captionlabel"/>
          <w:rFonts w:cstheme="minorHAnsi"/>
          <w:b/>
          <w:bCs/>
        </w:rPr>
        <w:t> </w:t>
      </w:r>
      <w:r w:rsidRPr="00C73E7D">
        <w:t>Student characteristics</w:t>
      </w:r>
    </w:p>
    <w:tbl>
      <w:tblPr>
        <w:tblStyle w:val="TableGrid"/>
        <w:tblW w:w="0" w:type="auto"/>
        <w:tblLook w:val="04A0" w:firstRow="1" w:lastRow="0" w:firstColumn="1" w:lastColumn="0" w:noHBand="0" w:noVBand="1"/>
      </w:tblPr>
      <w:tblGrid>
        <w:gridCol w:w="6449"/>
        <w:gridCol w:w="893"/>
        <w:gridCol w:w="536"/>
      </w:tblGrid>
      <w:tr w:rsidR="00E205C1" w:rsidRPr="00C73E7D" w14:paraId="0DA53BAF" w14:textId="77777777" w:rsidTr="00D3698B">
        <w:tc>
          <w:tcPr>
            <w:tcW w:w="0" w:type="auto"/>
            <w:hideMark/>
          </w:tcPr>
          <w:p w14:paraId="36CDC377" w14:textId="77777777" w:rsidR="00E205C1" w:rsidRPr="00C73E7D" w:rsidRDefault="00E205C1" w:rsidP="00925A3F">
            <w:pPr>
              <w:pStyle w:val="NoSpacing"/>
            </w:pPr>
          </w:p>
        </w:tc>
        <w:tc>
          <w:tcPr>
            <w:tcW w:w="0" w:type="auto"/>
            <w:hideMark/>
          </w:tcPr>
          <w:p w14:paraId="0ED06A33" w14:textId="77777777" w:rsidR="00E205C1" w:rsidRPr="00C73E7D" w:rsidRDefault="00E205C1" w:rsidP="00925A3F">
            <w:pPr>
              <w:pStyle w:val="NoSpacing"/>
              <w:rPr>
                <w:b/>
                <w:bCs/>
                <w:color w:val="000000"/>
                <w:sz w:val="24"/>
                <w:szCs w:val="24"/>
              </w:rPr>
            </w:pPr>
            <w:r w:rsidRPr="00C73E7D">
              <w:rPr>
                <w:b/>
                <w:bCs/>
                <w:i/>
                <w:iCs/>
                <w:color w:val="000000"/>
              </w:rPr>
              <w:t>N</w:t>
            </w:r>
            <w:r w:rsidRPr="00C73E7D">
              <w:rPr>
                <w:b/>
                <w:bCs/>
                <w:color w:val="000000"/>
              </w:rPr>
              <w:t> = 251</w:t>
            </w:r>
          </w:p>
        </w:tc>
        <w:tc>
          <w:tcPr>
            <w:tcW w:w="0" w:type="auto"/>
            <w:hideMark/>
          </w:tcPr>
          <w:p w14:paraId="6C86E251" w14:textId="77777777" w:rsidR="00E205C1" w:rsidRPr="00C73E7D" w:rsidRDefault="00E205C1" w:rsidP="00925A3F">
            <w:pPr>
              <w:pStyle w:val="NoSpacing"/>
              <w:rPr>
                <w:b/>
                <w:bCs/>
                <w:color w:val="000000"/>
              </w:rPr>
            </w:pPr>
            <w:r w:rsidRPr="00C73E7D">
              <w:rPr>
                <w:b/>
                <w:bCs/>
                <w:color w:val="000000"/>
              </w:rPr>
              <w:t>%</w:t>
            </w:r>
          </w:p>
        </w:tc>
      </w:tr>
      <w:tr w:rsidR="00E205C1" w:rsidRPr="00C73E7D" w14:paraId="339DD6D3" w14:textId="77777777" w:rsidTr="00D3698B">
        <w:tc>
          <w:tcPr>
            <w:tcW w:w="0" w:type="auto"/>
            <w:hideMark/>
          </w:tcPr>
          <w:p w14:paraId="16EF5E9A" w14:textId="77777777" w:rsidR="00E205C1" w:rsidRPr="00C73E7D" w:rsidRDefault="00E205C1" w:rsidP="00925A3F">
            <w:pPr>
              <w:pStyle w:val="NoSpacing"/>
              <w:rPr>
                <w:color w:val="000000"/>
                <w:sz w:val="18"/>
                <w:szCs w:val="18"/>
              </w:rPr>
            </w:pPr>
            <w:r w:rsidRPr="00C73E7D">
              <w:rPr>
                <w:color w:val="000000"/>
                <w:sz w:val="18"/>
                <w:szCs w:val="18"/>
              </w:rPr>
              <w:t>Carnegie classification</w:t>
            </w:r>
          </w:p>
        </w:tc>
        <w:tc>
          <w:tcPr>
            <w:tcW w:w="0" w:type="auto"/>
            <w:hideMark/>
          </w:tcPr>
          <w:p w14:paraId="780CEBFF" w14:textId="77777777" w:rsidR="00E205C1" w:rsidRPr="00C73E7D" w:rsidRDefault="00E205C1" w:rsidP="00925A3F">
            <w:pPr>
              <w:pStyle w:val="NoSpacing"/>
              <w:rPr>
                <w:color w:val="000000"/>
                <w:sz w:val="18"/>
                <w:szCs w:val="18"/>
              </w:rPr>
            </w:pPr>
          </w:p>
        </w:tc>
        <w:tc>
          <w:tcPr>
            <w:tcW w:w="0" w:type="auto"/>
            <w:hideMark/>
          </w:tcPr>
          <w:p w14:paraId="22C67C5E" w14:textId="77777777" w:rsidR="00E205C1" w:rsidRPr="00C73E7D" w:rsidRDefault="00E205C1" w:rsidP="00925A3F">
            <w:pPr>
              <w:pStyle w:val="NoSpacing"/>
              <w:rPr>
                <w:sz w:val="20"/>
                <w:szCs w:val="20"/>
              </w:rPr>
            </w:pPr>
          </w:p>
        </w:tc>
      </w:tr>
      <w:tr w:rsidR="00E205C1" w:rsidRPr="00C73E7D" w14:paraId="33308C3A" w14:textId="77777777" w:rsidTr="00D3698B">
        <w:tc>
          <w:tcPr>
            <w:tcW w:w="0" w:type="auto"/>
            <w:hideMark/>
          </w:tcPr>
          <w:p w14:paraId="49472ABA" w14:textId="77777777" w:rsidR="00E205C1" w:rsidRPr="00C73E7D" w:rsidRDefault="00E205C1" w:rsidP="00925A3F">
            <w:pPr>
              <w:pStyle w:val="NoSpacing"/>
              <w:rPr>
                <w:color w:val="000000"/>
                <w:sz w:val="18"/>
                <w:szCs w:val="18"/>
              </w:rPr>
            </w:pPr>
            <w:r w:rsidRPr="00C73E7D">
              <w:rPr>
                <w:color w:val="000000"/>
                <w:sz w:val="18"/>
                <w:szCs w:val="18"/>
              </w:rPr>
              <w:t>Baccalaureate colleges: All divisions</w:t>
            </w:r>
          </w:p>
        </w:tc>
        <w:tc>
          <w:tcPr>
            <w:tcW w:w="0" w:type="auto"/>
            <w:hideMark/>
          </w:tcPr>
          <w:p w14:paraId="4A3F05C0" w14:textId="77777777" w:rsidR="00E205C1" w:rsidRPr="00C73E7D" w:rsidRDefault="00E205C1" w:rsidP="00925A3F">
            <w:pPr>
              <w:pStyle w:val="NoSpacing"/>
              <w:rPr>
                <w:color w:val="000000"/>
                <w:sz w:val="18"/>
                <w:szCs w:val="18"/>
              </w:rPr>
            </w:pPr>
            <w:r w:rsidRPr="00C73E7D">
              <w:rPr>
                <w:color w:val="000000"/>
                <w:sz w:val="18"/>
                <w:szCs w:val="18"/>
              </w:rPr>
              <w:t>3</w:t>
            </w:r>
          </w:p>
        </w:tc>
        <w:tc>
          <w:tcPr>
            <w:tcW w:w="0" w:type="auto"/>
            <w:hideMark/>
          </w:tcPr>
          <w:p w14:paraId="6ECC6AF8" w14:textId="77777777" w:rsidR="00E205C1" w:rsidRPr="00C73E7D" w:rsidRDefault="00E205C1" w:rsidP="00925A3F">
            <w:pPr>
              <w:pStyle w:val="NoSpacing"/>
              <w:rPr>
                <w:color w:val="000000"/>
                <w:sz w:val="18"/>
                <w:szCs w:val="18"/>
              </w:rPr>
            </w:pPr>
            <w:r w:rsidRPr="00C73E7D">
              <w:rPr>
                <w:color w:val="000000"/>
                <w:sz w:val="18"/>
                <w:szCs w:val="18"/>
              </w:rPr>
              <w:t>1.2</w:t>
            </w:r>
          </w:p>
        </w:tc>
      </w:tr>
      <w:tr w:rsidR="00E205C1" w:rsidRPr="00C73E7D" w14:paraId="3E47CB05" w14:textId="77777777" w:rsidTr="00D3698B">
        <w:tc>
          <w:tcPr>
            <w:tcW w:w="0" w:type="auto"/>
            <w:hideMark/>
          </w:tcPr>
          <w:p w14:paraId="688068B5" w14:textId="77777777" w:rsidR="00E205C1" w:rsidRPr="00C73E7D" w:rsidRDefault="00E205C1" w:rsidP="00925A3F">
            <w:pPr>
              <w:pStyle w:val="NoSpacing"/>
              <w:rPr>
                <w:color w:val="000000"/>
                <w:sz w:val="18"/>
                <w:szCs w:val="18"/>
              </w:rPr>
            </w:pPr>
            <w:r w:rsidRPr="00C73E7D">
              <w:rPr>
                <w:color w:val="000000"/>
                <w:sz w:val="18"/>
                <w:szCs w:val="18"/>
              </w:rPr>
              <w:t>Master: Large program</w:t>
            </w:r>
            <w:hyperlink r:id="rId34" w:anchor="nuf12295-tbl1-note-0002_23" w:tooltip="Link to note" w:history="1">
              <w:r w:rsidRPr="00C73E7D">
                <w:rPr>
                  <w:rStyle w:val="Hyperlink"/>
                  <w:rFonts w:cstheme="minorHAnsi"/>
                  <w:color w:val="005274"/>
                  <w:sz w:val="18"/>
                  <w:szCs w:val="18"/>
                </w:rPr>
                <w:t>a</w:t>
              </w:r>
            </w:hyperlink>
          </w:p>
        </w:tc>
        <w:tc>
          <w:tcPr>
            <w:tcW w:w="0" w:type="auto"/>
            <w:hideMark/>
          </w:tcPr>
          <w:p w14:paraId="213DC737" w14:textId="77777777" w:rsidR="00E205C1" w:rsidRPr="00C73E7D" w:rsidRDefault="00E205C1" w:rsidP="00925A3F">
            <w:pPr>
              <w:pStyle w:val="NoSpacing"/>
              <w:rPr>
                <w:color w:val="000000"/>
                <w:sz w:val="18"/>
                <w:szCs w:val="18"/>
              </w:rPr>
            </w:pPr>
            <w:r w:rsidRPr="00C73E7D">
              <w:rPr>
                <w:color w:val="000000"/>
                <w:sz w:val="18"/>
                <w:szCs w:val="18"/>
              </w:rPr>
              <w:t>48</w:t>
            </w:r>
          </w:p>
        </w:tc>
        <w:tc>
          <w:tcPr>
            <w:tcW w:w="0" w:type="auto"/>
            <w:hideMark/>
          </w:tcPr>
          <w:p w14:paraId="5A104C31" w14:textId="77777777" w:rsidR="00E205C1" w:rsidRPr="00C73E7D" w:rsidRDefault="00E205C1" w:rsidP="00925A3F">
            <w:pPr>
              <w:pStyle w:val="NoSpacing"/>
              <w:rPr>
                <w:color w:val="000000"/>
                <w:sz w:val="18"/>
                <w:szCs w:val="18"/>
              </w:rPr>
            </w:pPr>
            <w:r w:rsidRPr="00C73E7D">
              <w:rPr>
                <w:color w:val="000000"/>
                <w:sz w:val="18"/>
                <w:szCs w:val="18"/>
              </w:rPr>
              <w:t>18.3</w:t>
            </w:r>
          </w:p>
        </w:tc>
      </w:tr>
      <w:tr w:rsidR="00E205C1" w:rsidRPr="00C73E7D" w14:paraId="5B32BBAC" w14:textId="77777777" w:rsidTr="00D3698B">
        <w:tc>
          <w:tcPr>
            <w:tcW w:w="0" w:type="auto"/>
            <w:hideMark/>
          </w:tcPr>
          <w:p w14:paraId="634442C6" w14:textId="77777777" w:rsidR="00E205C1" w:rsidRPr="00C73E7D" w:rsidRDefault="00E205C1" w:rsidP="00925A3F">
            <w:pPr>
              <w:pStyle w:val="NoSpacing"/>
              <w:rPr>
                <w:color w:val="000000"/>
                <w:sz w:val="18"/>
                <w:szCs w:val="18"/>
              </w:rPr>
            </w:pPr>
            <w:r w:rsidRPr="00C73E7D">
              <w:rPr>
                <w:color w:val="000000"/>
                <w:sz w:val="18"/>
                <w:szCs w:val="18"/>
              </w:rPr>
              <w:t>Master: Medium program</w:t>
            </w:r>
          </w:p>
        </w:tc>
        <w:tc>
          <w:tcPr>
            <w:tcW w:w="0" w:type="auto"/>
            <w:hideMark/>
          </w:tcPr>
          <w:p w14:paraId="4CC29C77" w14:textId="77777777" w:rsidR="00E205C1" w:rsidRPr="00C73E7D" w:rsidRDefault="00E205C1" w:rsidP="00925A3F">
            <w:pPr>
              <w:pStyle w:val="NoSpacing"/>
              <w:rPr>
                <w:color w:val="000000"/>
                <w:sz w:val="18"/>
                <w:szCs w:val="18"/>
              </w:rPr>
            </w:pPr>
            <w:r w:rsidRPr="00C73E7D">
              <w:rPr>
                <w:color w:val="000000"/>
                <w:sz w:val="18"/>
                <w:szCs w:val="18"/>
              </w:rPr>
              <w:t>26</w:t>
            </w:r>
          </w:p>
        </w:tc>
        <w:tc>
          <w:tcPr>
            <w:tcW w:w="0" w:type="auto"/>
            <w:hideMark/>
          </w:tcPr>
          <w:p w14:paraId="60F968B4" w14:textId="77777777" w:rsidR="00E205C1" w:rsidRPr="00C73E7D" w:rsidRDefault="00E205C1" w:rsidP="00925A3F">
            <w:pPr>
              <w:pStyle w:val="NoSpacing"/>
              <w:rPr>
                <w:color w:val="000000"/>
                <w:sz w:val="18"/>
                <w:szCs w:val="18"/>
              </w:rPr>
            </w:pPr>
            <w:r w:rsidRPr="00C73E7D">
              <w:rPr>
                <w:color w:val="000000"/>
                <w:sz w:val="18"/>
                <w:szCs w:val="18"/>
              </w:rPr>
              <w:t>10.4</w:t>
            </w:r>
          </w:p>
        </w:tc>
      </w:tr>
      <w:tr w:rsidR="00E205C1" w:rsidRPr="00C73E7D" w14:paraId="34060DA4" w14:textId="77777777" w:rsidTr="00D3698B">
        <w:tc>
          <w:tcPr>
            <w:tcW w:w="0" w:type="auto"/>
            <w:hideMark/>
          </w:tcPr>
          <w:p w14:paraId="4456A01B" w14:textId="77777777" w:rsidR="00E205C1" w:rsidRPr="00C73E7D" w:rsidRDefault="00E205C1" w:rsidP="00925A3F">
            <w:pPr>
              <w:pStyle w:val="NoSpacing"/>
              <w:rPr>
                <w:color w:val="000000"/>
                <w:sz w:val="18"/>
                <w:szCs w:val="18"/>
              </w:rPr>
            </w:pPr>
            <w:r w:rsidRPr="00C73E7D">
              <w:rPr>
                <w:color w:val="000000"/>
                <w:sz w:val="18"/>
                <w:szCs w:val="18"/>
              </w:rPr>
              <w:t>Master: Small program</w:t>
            </w:r>
          </w:p>
        </w:tc>
        <w:tc>
          <w:tcPr>
            <w:tcW w:w="0" w:type="auto"/>
            <w:hideMark/>
          </w:tcPr>
          <w:p w14:paraId="4A4917DB" w14:textId="77777777" w:rsidR="00E205C1" w:rsidRPr="00C73E7D" w:rsidRDefault="00E205C1" w:rsidP="00925A3F">
            <w:pPr>
              <w:pStyle w:val="NoSpacing"/>
              <w:rPr>
                <w:color w:val="000000"/>
                <w:sz w:val="18"/>
                <w:szCs w:val="18"/>
              </w:rPr>
            </w:pPr>
            <w:r w:rsidRPr="00C73E7D">
              <w:rPr>
                <w:color w:val="000000"/>
                <w:sz w:val="18"/>
                <w:szCs w:val="18"/>
              </w:rPr>
              <w:t>9</w:t>
            </w:r>
          </w:p>
        </w:tc>
        <w:tc>
          <w:tcPr>
            <w:tcW w:w="0" w:type="auto"/>
            <w:hideMark/>
          </w:tcPr>
          <w:p w14:paraId="7125038C" w14:textId="77777777" w:rsidR="00E205C1" w:rsidRPr="00C73E7D" w:rsidRDefault="00E205C1" w:rsidP="00925A3F">
            <w:pPr>
              <w:pStyle w:val="NoSpacing"/>
              <w:rPr>
                <w:color w:val="000000"/>
                <w:sz w:val="18"/>
                <w:szCs w:val="18"/>
              </w:rPr>
            </w:pPr>
            <w:r w:rsidRPr="00C73E7D">
              <w:rPr>
                <w:color w:val="000000"/>
                <w:sz w:val="18"/>
                <w:szCs w:val="18"/>
              </w:rPr>
              <w:t>3.6</w:t>
            </w:r>
          </w:p>
        </w:tc>
      </w:tr>
      <w:tr w:rsidR="00E205C1" w:rsidRPr="00C73E7D" w14:paraId="4D7BDAFD" w14:textId="77777777" w:rsidTr="00D3698B">
        <w:tc>
          <w:tcPr>
            <w:tcW w:w="0" w:type="auto"/>
            <w:hideMark/>
          </w:tcPr>
          <w:p w14:paraId="6746291D" w14:textId="77777777" w:rsidR="00E205C1" w:rsidRPr="00C73E7D" w:rsidRDefault="00E205C1" w:rsidP="00925A3F">
            <w:pPr>
              <w:pStyle w:val="NoSpacing"/>
              <w:rPr>
                <w:color w:val="000000"/>
                <w:sz w:val="18"/>
                <w:szCs w:val="18"/>
              </w:rPr>
            </w:pPr>
            <w:r w:rsidRPr="00C73E7D">
              <w:rPr>
                <w:color w:val="000000"/>
                <w:sz w:val="18"/>
                <w:szCs w:val="18"/>
              </w:rPr>
              <w:t>Research: Very high activity</w:t>
            </w:r>
          </w:p>
        </w:tc>
        <w:tc>
          <w:tcPr>
            <w:tcW w:w="0" w:type="auto"/>
            <w:hideMark/>
          </w:tcPr>
          <w:p w14:paraId="09A423E4" w14:textId="77777777" w:rsidR="00E205C1" w:rsidRPr="00C73E7D" w:rsidRDefault="00E205C1" w:rsidP="00925A3F">
            <w:pPr>
              <w:pStyle w:val="NoSpacing"/>
              <w:rPr>
                <w:color w:val="000000"/>
                <w:sz w:val="18"/>
                <w:szCs w:val="18"/>
              </w:rPr>
            </w:pPr>
            <w:r w:rsidRPr="00C73E7D">
              <w:rPr>
                <w:color w:val="000000"/>
                <w:sz w:val="18"/>
                <w:szCs w:val="18"/>
              </w:rPr>
              <w:t>16</w:t>
            </w:r>
          </w:p>
        </w:tc>
        <w:tc>
          <w:tcPr>
            <w:tcW w:w="0" w:type="auto"/>
            <w:hideMark/>
          </w:tcPr>
          <w:p w14:paraId="790199F2" w14:textId="77777777" w:rsidR="00E205C1" w:rsidRPr="00C73E7D" w:rsidRDefault="00E205C1" w:rsidP="00925A3F">
            <w:pPr>
              <w:pStyle w:val="NoSpacing"/>
              <w:rPr>
                <w:color w:val="000000"/>
                <w:sz w:val="18"/>
                <w:szCs w:val="18"/>
              </w:rPr>
            </w:pPr>
            <w:r w:rsidRPr="00C73E7D">
              <w:rPr>
                <w:color w:val="000000"/>
                <w:sz w:val="18"/>
                <w:szCs w:val="18"/>
              </w:rPr>
              <w:t>6.4</w:t>
            </w:r>
          </w:p>
        </w:tc>
      </w:tr>
      <w:tr w:rsidR="00E205C1" w:rsidRPr="00C73E7D" w14:paraId="5F40AA7D" w14:textId="77777777" w:rsidTr="00D3698B">
        <w:tc>
          <w:tcPr>
            <w:tcW w:w="0" w:type="auto"/>
            <w:hideMark/>
          </w:tcPr>
          <w:p w14:paraId="238D0257" w14:textId="77777777" w:rsidR="00E205C1" w:rsidRPr="00C73E7D" w:rsidRDefault="00E205C1" w:rsidP="00925A3F">
            <w:pPr>
              <w:pStyle w:val="NoSpacing"/>
              <w:rPr>
                <w:color w:val="000000"/>
                <w:sz w:val="18"/>
                <w:szCs w:val="18"/>
              </w:rPr>
            </w:pPr>
            <w:r w:rsidRPr="00C73E7D">
              <w:rPr>
                <w:color w:val="000000"/>
                <w:sz w:val="18"/>
                <w:szCs w:val="18"/>
              </w:rPr>
              <w:t>Doctoral/research universities</w:t>
            </w:r>
            <w:hyperlink r:id="rId35" w:anchor="nuf12295-tbl1-note-0003_24" w:tooltip="Link to note" w:history="1">
              <w:r w:rsidRPr="00C73E7D">
                <w:rPr>
                  <w:rStyle w:val="Hyperlink"/>
                  <w:rFonts w:cstheme="minorHAnsi"/>
                  <w:color w:val="005274"/>
                  <w:sz w:val="18"/>
                  <w:szCs w:val="18"/>
                </w:rPr>
                <w:t>b</w:t>
              </w:r>
            </w:hyperlink>
          </w:p>
        </w:tc>
        <w:tc>
          <w:tcPr>
            <w:tcW w:w="0" w:type="auto"/>
            <w:hideMark/>
          </w:tcPr>
          <w:p w14:paraId="739F82B1" w14:textId="77777777" w:rsidR="00E205C1" w:rsidRPr="00C73E7D" w:rsidRDefault="00E205C1" w:rsidP="00925A3F">
            <w:pPr>
              <w:pStyle w:val="NoSpacing"/>
              <w:rPr>
                <w:color w:val="000000"/>
                <w:sz w:val="18"/>
                <w:szCs w:val="18"/>
              </w:rPr>
            </w:pPr>
            <w:r w:rsidRPr="00C73E7D">
              <w:rPr>
                <w:color w:val="000000"/>
                <w:sz w:val="18"/>
                <w:szCs w:val="18"/>
              </w:rPr>
              <w:t>134</w:t>
            </w:r>
          </w:p>
        </w:tc>
        <w:tc>
          <w:tcPr>
            <w:tcW w:w="0" w:type="auto"/>
            <w:hideMark/>
          </w:tcPr>
          <w:p w14:paraId="4965BE41" w14:textId="77777777" w:rsidR="00E205C1" w:rsidRPr="00C73E7D" w:rsidRDefault="00E205C1" w:rsidP="00925A3F">
            <w:pPr>
              <w:pStyle w:val="NoSpacing"/>
              <w:rPr>
                <w:color w:val="000000"/>
                <w:sz w:val="18"/>
                <w:szCs w:val="18"/>
              </w:rPr>
            </w:pPr>
            <w:r w:rsidRPr="00C73E7D">
              <w:rPr>
                <w:color w:val="000000"/>
                <w:sz w:val="18"/>
                <w:szCs w:val="18"/>
              </w:rPr>
              <w:t>53.4</w:t>
            </w:r>
          </w:p>
        </w:tc>
      </w:tr>
      <w:tr w:rsidR="00E205C1" w:rsidRPr="00C73E7D" w14:paraId="2D40E89C" w14:textId="77777777" w:rsidTr="00D3698B">
        <w:tc>
          <w:tcPr>
            <w:tcW w:w="0" w:type="auto"/>
            <w:hideMark/>
          </w:tcPr>
          <w:p w14:paraId="4ED9664F" w14:textId="77777777" w:rsidR="00E205C1" w:rsidRPr="00C73E7D" w:rsidRDefault="00E205C1" w:rsidP="00925A3F">
            <w:pPr>
              <w:pStyle w:val="NoSpacing"/>
              <w:rPr>
                <w:color w:val="000000"/>
                <w:sz w:val="18"/>
                <w:szCs w:val="18"/>
              </w:rPr>
            </w:pPr>
            <w:r w:rsidRPr="00C73E7D">
              <w:rPr>
                <w:color w:val="000000"/>
                <w:sz w:val="18"/>
                <w:szCs w:val="18"/>
              </w:rPr>
              <w:t>Other (medical schools/medical centers/health professionals/specialized institutions)</w:t>
            </w:r>
          </w:p>
        </w:tc>
        <w:tc>
          <w:tcPr>
            <w:tcW w:w="0" w:type="auto"/>
            <w:hideMark/>
          </w:tcPr>
          <w:p w14:paraId="0536C9EE" w14:textId="77777777" w:rsidR="00E205C1" w:rsidRPr="00C73E7D" w:rsidRDefault="00E205C1" w:rsidP="00925A3F">
            <w:pPr>
              <w:pStyle w:val="NoSpacing"/>
              <w:rPr>
                <w:color w:val="000000"/>
                <w:sz w:val="18"/>
                <w:szCs w:val="18"/>
              </w:rPr>
            </w:pPr>
            <w:r w:rsidRPr="00C73E7D">
              <w:rPr>
                <w:color w:val="000000"/>
                <w:sz w:val="18"/>
                <w:szCs w:val="18"/>
              </w:rPr>
              <w:t>15</w:t>
            </w:r>
          </w:p>
        </w:tc>
        <w:tc>
          <w:tcPr>
            <w:tcW w:w="0" w:type="auto"/>
            <w:hideMark/>
          </w:tcPr>
          <w:p w14:paraId="21ED7226" w14:textId="77777777" w:rsidR="00E205C1" w:rsidRPr="00C73E7D" w:rsidRDefault="00E205C1" w:rsidP="00925A3F">
            <w:pPr>
              <w:pStyle w:val="NoSpacing"/>
              <w:rPr>
                <w:color w:val="000000"/>
                <w:sz w:val="18"/>
                <w:szCs w:val="18"/>
              </w:rPr>
            </w:pPr>
            <w:r w:rsidRPr="00C73E7D">
              <w:rPr>
                <w:color w:val="000000"/>
                <w:sz w:val="18"/>
                <w:szCs w:val="18"/>
              </w:rPr>
              <w:t>6.0</w:t>
            </w:r>
          </w:p>
        </w:tc>
      </w:tr>
      <w:tr w:rsidR="00E205C1" w:rsidRPr="00C73E7D" w14:paraId="32FFDB33" w14:textId="77777777" w:rsidTr="00D3698B">
        <w:tc>
          <w:tcPr>
            <w:tcW w:w="0" w:type="auto"/>
            <w:hideMark/>
          </w:tcPr>
          <w:p w14:paraId="2E28631E" w14:textId="77777777" w:rsidR="00E205C1" w:rsidRPr="00C73E7D" w:rsidRDefault="00E205C1" w:rsidP="00925A3F">
            <w:pPr>
              <w:pStyle w:val="NoSpacing"/>
              <w:rPr>
                <w:color w:val="000000"/>
                <w:sz w:val="18"/>
                <w:szCs w:val="18"/>
              </w:rPr>
            </w:pPr>
            <w:r w:rsidRPr="00C73E7D">
              <w:rPr>
                <w:color w:val="000000"/>
                <w:sz w:val="18"/>
                <w:szCs w:val="18"/>
              </w:rPr>
              <w:t>Status type</w:t>
            </w:r>
          </w:p>
        </w:tc>
        <w:tc>
          <w:tcPr>
            <w:tcW w:w="0" w:type="auto"/>
            <w:hideMark/>
          </w:tcPr>
          <w:p w14:paraId="5E6F4373" w14:textId="77777777" w:rsidR="00E205C1" w:rsidRPr="00C73E7D" w:rsidRDefault="00E205C1" w:rsidP="00925A3F">
            <w:pPr>
              <w:pStyle w:val="NoSpacing"/>
              <w:rPr>
                <w:color w:val="000000"/>
                <w:sz w:val="18"/>
                <w:szCs w:val="18"/>
              </w:rPr>
            </w:pPr>
          </w:p>
        </w:tc>
        <w:tc>
          <w:tcPr>
            <w:tcW w:w="0" w:type="auto"/>
            <w:hideMark/>
          </w:tcPr>
          <w:p w14:paraId="6D7B6C8A" w14:textId="77777777" w:rsidR="00E205C1" w:rsidRPr="00C73E7D" w:rsidRDefault="00E205C1" w:rsidP="00925A3F">
            <w:pPr>
              <w:pStyle w:val="NoSpacing"/>
              <w:rPr>
                <w:sz w:val="20"/>
                <w:szCs w:val="20"/>
              </w:rPr>
            </w:pPr>
          </w:p>
        </w:tc>
      </w:tr>
      <w:tr w:rsidR="00E205C1" w:rsidRPr="00C73E7D" w14:paraId="08AD9894" w14:textId="77777777" w:rsidTr="00D3698B">
        <w:tc>
          <w:tcPr>
            <w:tcW w:w="0" w:type="auto"/>
            <w:hideMark/>
          </w:tcPr>
          <w:p w14:paraId="1C89111E" w14:textId="77777777" w:rsidR="00E205C1" w:rsidRPr="00C73E7D" w:rsidRDefault="00E205C1" w:rsidP="00925A3F">
            <w:pPr>
              <w:pStyle w:val="NoSpacing"/>
              <w:rPr>
                <w:color w:val="000000"/>
                <w:sz w:val="18"/>
                <w:szCs w:val="18"/>
              </w:rPr>
            </w:pPr>
            <w:r w:rsidRPr="00C73E7D">
              <w:rPr>
                <w:color w:val="000000"/>
                <w:sz w:val="18"/>
                <w:szCs w:val="18"/>
              </w:rPr>
              <w:t>Full time</w:t>
            </w:r>
          </w:p>
        </w:tc>
        <w:tc>
          <w:tcPr>
            <w:tcW w:w="0" w:type="auto"/>
            <w:hideMark/>
          </w:tcPr>
          <w:p w14:paraId="51625A5A" w14:textId="77777777" w:rsidR="00E205C1" w:rsidRPr="00C73E7D" w:rsidRDefault="00E205C1" w:rsidP="00925A3F">
            <w:pPr>
              <w:pStyle w:val="NoSpacing"/>
              <w:rPr>
                <w:color w:val="000000"/>
                <w:sz w:val="18"/>
                <w:szCs w:val="18"/>
              </w:rPr>
            </w:pPr>
            <w:r w:rsidRPr="00C73E7D">
              <w:rPr>
                <w:color w:val="000000"/>
                <w:sz w:val="18"/>
                <w:szCs w:val="18"/>
              </w:rPr>
              <w:t>133</w:t>
            </w:r>
          </w:p>
        </w:tc>
        <w:tc>
          <w:tcPr>
            <w:tcW w:w="0" w:type="auto"/>
            <w:hideMark/>
          </w:tcPr>
          <w:p w14:paraId="45312036" w14:textId="77777777" w:rsidR="00E205C1" w:rsidRPr="00C73E7D" w:rsidRDefault="00E205C1" w:rsidP="00925A3F">
            <w:pPr>
              <w:pStyle w:val="NoSpacing"/>
              <w:rPr>
                <w:color w:val="000000"/>
                <w:sz w:val="18"/>
                <w:szCs w:val="18"/>
              </w:rPr>
            </w:pPr>
            <w:r w:rsidRPr="00C73E7D">
              <w:rPr>
                <w:color w:val="000000"/>
                <w:sz w:val="18"/>
                <w:szCs w:val="18"/>
              </w:rPr>
              <w:t>53.0</w:t>
            </w:r>
          </w:p>
        </w:tc>
      </w:tr>
      <w:tr w:rsidR="00E205C1" w:rsidRPr="00C73E7D" w14:paraId="625E0E45" w14:textId="77777777" w:rsidTr="00D3698B">
        <w:tc>
          <w:tcPr>
            <w:tcW w:w="0" w:type="auto"/>
            <w:hideMark/>
          </w:tcPr>
          <w:p w14:paraId="06C31AE5" w14:textId="77777777" w:rsidR="00E205C1" w:rsidRPr="00C73E7D" w:rsidRDefault="00E205C1" w:rsidP="00925A3F">
            <w:pPr>
              <w:pStyle w:val="NoSpacing"/>
              <w:rPr>
                <w:color w:val="000000"/>
                <w:sz w:val="18"/>
                <w:szCs w:val="18"/>
              </w:rPr>
            </w:pPr>
            <w:r w:rsidRPr="00C73E7D">
              <w:rPr>
                <w:color w:val="000000"/>
                <w:sz w:val="18"/>
                <w:szCs w:val="18"/>
              </w:rPr>
              <w:t>Part time</w:t>
            </w:r>
          </w:p>
        </w:tc>
        <w:tc>
          <w:tcPr>
            <w:tcW w:w="0" w:type="auto"/>
            <w:hideMark/>
          </w:tcPr>
          <w:p w14:paraId="05EB6E5B" w14:textId="77777777" w:rsidR="00E205C1" w:rsidRPr="00C73E7D" w:rsidRDefault="00E205C1" w:rsidP="00925A3F">
            <w:pPr>
              <w:pStyle w:val="NoSpacing"/>
              <w:rPr>
                <w:color w:val="000000"/>
                <w:sz w:val="18"/>
                <w:szCs w:val="18"/>
              </w:rPr>
            </w:pPr>
            <w:r w:rsidRPr="00C73E7D">
              <w:rPr>
                <w:color w:val="000000"/>
                <w:sz w:val="18"/>
                <w:szCs w:val="18"/>
              </w:rPr>
              <w:t>118</w:t>
            </w:r>
          </w:p>
        </w:tc>
        <w:tc>
          <w:tcPr>
            <w:tcW w:w="0" w:type="auto"/>
            <w:hideMark/>
          </w:tcPr>
          <w:p w14:paraId="33F53E26" w14:textId="77777777" w:rsidR="00E205C1" w:rsidRPr="00C73E7D" w:rsidRDefault="00E205C1" w:rsidP="00925A3F">
            <w:pPr>
              <w:pStyle w:val="NoSpacing"/>
              <w:rPr>
                <w:color w:val="000000"/>
                <w:sz w:val="18"/>
                <w:szCs w:val="18"/>
              </w:rPr>
            </w:pPr>
            <w:r w:rsidRPr="00C73E7D">
              <w:rPr>
                <w:color w:val="000000"/>
                <w:sz w:val="18"/>
                <w:szCs w:val="18"/>
              </w:rPr>
              <w:t>47.0</w:t>
            </w:r>
          </w:p>
        </w:tc>
      </w:tr>
      <w:tr w:rsidR="00E205C1" w:rsidRPr="00C73E7D" w14:paraId="1D143DCD" w14:textId="77777777" w:rsidTr="00D3698B">
        <w:tc>
          <w:tcPr>
            <w:tcW w:w="0" w:type="auto"/>
            <w:hideMark/>
          </w:tcPr>
          <w:p w14:paraId="4D565E6F" w14:textId="77777777" w:rsidR="00E205C1" w:rsidRPr="00C73E7D" w:rsidRDefault="00E205C1" w:rsidP="00925A3F">
            <w:pPr>
              <w:pStyle w:val="NoSpacing"/>
              <w:rPr>
                <w:color w:val="000000"/>
                <w:sz w:val="18"/>
                <w:szCs w:val="18"/>
              </w:rPr>
            </w:pPr>
            <w:r w:rsidRPr="00C73E7D">
              <w:rPr>
                <w:color w:val="000000"/>
                <w:sz w:val="18"/>
                <w:szCs w:val="18"/>
              </w:rPr>
              <w:t>Program type</w:t>
            </w:r>
          </w:p>
        </w:tc>
        <w:tc>
          <w:tcPr>
            <w:tcW w:w="0" w:type="auto"/>
            <w:hideMark/>
          </w:tcPr>
          <w:p w14:paraId="05719B59" w14:textId="77777777" w:rsidR="00E205C1" w:rsidRPr="00C73E7D" w:rsidRDefault="00E205C1" w:rsidP="00925A3F">
            <w:pPr>
              <w:pStyle w:val="NoSpacing"/>
              <w:rPr>
                <w:color w:val="000000"/>
                <w:sz w:val="18"/>
                <w:szCs w:val="18"/>
              </w:rPr>
            </w:pPr>
          </w:p>
        </w:tc>
        <w:tc>
          <w:tcPr>
            <w:tcW w:w="0" w:type="auto"/>
            <w:hideMark/>
          </w:tcPr>
          <w:p w14:paraId="726162B2" w14:textId="77777777" w:rsidR="00E205C1" w:rsidRPr="00C73E7D" w:rsidRDefault="00E205C1" w:rsidP="00925A3F">
            <w:pPr>
              <w:pStyle w:val="NoSpacing"/>
              <w:rPr>
                <w:sz w:val="20"/>
                <w:szCs w:val="20"/>
              </w:rPr>
            </w:pPr>
          </w:p>
        </w:tc>
      </w:tr>
      <w:tr w:rsidR="00E205C1" w:rsidRPr="00C73E7D" w14:paraId="05B850B3" w14:textId="77777777" w:rsidTr="00D3698B">
        <w:tc>
          <w:tcPr>
            <w:tcW w:w="0" w:type="auto"/>
            <w:hideMark/>
          </w:tcPr>
          <w:p w14:paraId="2C93B41F" w14:textId="77777777" w:rsidR="00E205C1" w:rsidRPr="00C73E7D" w:rsidRDefault="00E205C1" w:rsidP="00925A3F">
            <w:pPr>
              <w:pStyle w:val="NoSpacing"/>
              <w:rPr>
                <w:color w:val="000000"/>
                <w:sz w:val="18"/>
                <w:szCs w:val="18"/>
              </w:rPr>
            </w:pPr>
            <w:r w:rsidRPr="00C73E7D">
              <w:rPr>
                <w:color w:val="000000"/>
                <w:sz w:val="18"/>
                <w:szCs w:val="18"/>
              </w:rPr>
              <w:t>Master’s</w:t>
            </w:r>
          </w:p>
        </w:tc>
        <w:tc>
          <w:tcPr>
            <w:tcW w:w="0" w:type="auto"/>
            <w:hideMark/>
          </w:tcPr>
          <w:p w14:paraId="3971CA26" w14:textId="77777777" w:rsidR="00E205C1" w:rsidRPr="00C73E7D" w:rsidRDefault="00E205C1" w:rsidP="00925A3F">
            <w:pPr>
              <w:pStyle w:val="NoSpacing"/>
              <w:rPr>
                <w:color w:val="000000"/>
                <w:sz w:val="18"/>
                <w:szCs w:val="18"/>
              </w:rPr>
            </w:pPr>
            <w:r w:rsidRPr="00C73E7D">
              <w:rPr>
                <w:color w:val="000000"/>
                <w:sz w:val="18"/>
                <w:szCs w:val="18"/>
              </w:rPr>
              <w:t>134</w:t>
            </w:r>
          </w:p>
        </w:tc>
        <w:tc>
          <w:tcPr>
            <w:tcW w:w="0" w:type="auto"/>
            <w:hideMark/>
          </w:tcPr>
          <w:p w14:paraId="5D64F92E" w14:textId="77777777" w:rsidR="00E205C1" w:rsidRPr="00C73E7D" w:rsidRDefault="00E205C1" w:rsidP="00925A3F">
            <w:pPr>
              <w:pStyle w:val="NoSpacing"/>
              <w:rPr>
                <w:color w:val="000000"/>
                <w:sz w:val="18"/>
                <w:szCs w:val="18"/>
              </w:rPr>
            </w:pPr>
            <w:r w:rsidRPr="00C73E7D">
              <w:rPr>
                <w:color w:val="000000"/>
                <w:sz w:val="18"/>
                <w:szCs w:val="18"/>
              </w:rPr>
              <w:t>53.4</w:t>
            </w:r>
          </w:p>
        </w:tc>
      </w:tr>
      <w:tr w:rsidR="00E205C1" w:rsidRPr="00C73E7D" w14:paraId="6AFB6259" w14:textId="77777777" w:rsidTr="00D3698B">
        <w:tc>
          <w:tcPr>
            <w:tcW w:w="0" w:type="auto"/>
            <w:hideMark/>
          </w:tcPr>
          <w:p w14:paraId="0AFCA797" w14:textId="77777777" w:rsidR="00E205C1" w:rsidRPr="00C73E7D" w:rsidRDefault="00E205C1" w:rsidP="00925A3F">
            <w:pPr>
              <w:pStyle w:val="NoSpacing"/>
              <w:rPr>
                <w:color w:val="000000"/>
                <w:sz w:val="18"/>
                <w:szCs w:val="18"/>
              </w:rPr>
            </w:pPr>
            <w:r w:rsidRPr="00C73E7D">
              <w:rPr>
                <w:color w:val="000000"/>
                <w:sz w:val="18"/>
                <w:szCs w:val="18"/>
              </w:rPr>
              <w:t>DNP</w:t>
            </w:r>
          </w:p>
        </w:tc>
        <w:tc>
          <w:tcPr>
            <w:tcW w:w="0" w:type="auto"/>
            <w:hideMark/>
          </w:tcPr>
          <w:p w14:paraId="19B6070D" w14:textId="77777777" w:rsidR="00E205C1" w:rsidRPr="00C73E7D" w:rsidRDefault="00E205C1" w:rsidP="00925A3F">
            <w:pPr>
              <w:pStyle w:val="NoSpacing"/>
              <w:rPr>
                <w:color w:val="000000"/>
                <w:sz w:val="18"/>
                <w:szCs w:val="18"/>
              </w:rPr>
            </w:pPr>
            <w:r w:rsidRPr="00C73E7D">
              <w:rPr>
                <w:color w:val="000000"/>
                <w:sz w:val="18"/>
                <w:szCs w:val="18"/>
              </w:rPr>
              <w:t>93</w:t>
            </w:r>
          </w:p>
        </w:tc>
        <w:tc>
          <w:tcPr>
            <w:tcW w:w="0" w:type="auto"/>
            <w:hideMark/>
          </w:tcPr>
          <w:p w14:paraId="7739443A" w14:textId="77777777" w:rsidR="00E205C1" w:rsidRPr="00C73E7D" w:rsidRDefault="00E205C1" w:rsidP="00925A3F">
            <w:pPr>
              <w:pStyle w:val="NoSpacing"/>
              <w:rPr>
                <w:color w:val="000000"/>
                <w:sz w:val="18"/>
                <w:szCs w:val="18"/>
              </w:rPr>
            </w:pPr>
            <w:r w:rsidRPr="00C73E7D">
              <w:rPr>
                <w:color w:val="000000"/>
                <w:sz w:val="18"/>
                <w:szCs w:val="18"/>
              </w:rPr>
              <w:t>37.1</w:t>
            </w:r>
          </w:p>
        </w:tc>
      </w:tr>
      <w:tr w:rsidR="00E205C1" w:rsidRPr="00C73E7D" w14:paraId="64D6C158" w14:textId="77777777" w:rsidTr="00D3698B">
        <w:tc>
          <w:tcPr>
            <w:tcW w:w="0" w:type="auto"/>
            <w:hideMark/>
          </w:tcPr>
          <w:p w14:paraId="48F8E525" w14:textId="77777777" w:rsidR="00E205C1" w:rsidRPr="00C73E7D" w:rsidRDefault="00E205C1" w:rsidP="00925A3F">
            <w:pPr>
              <w:pStyle w:val="NoSpacing"/>
              <w:rPr>
                <w:color w:val="000000"/>
                <w:sz w:val="18"/>
                <w:szCs w:val="18"/>
              </w:rPr>
            </w:pPr>
            <w:r w:rsidRPr="00C73E7D">
              <w:rPr>
                <w:color w:val="000000"/>
                <w:sz w:val="18"/>
                <w:szCs w:val="18"/>
              </w:rPr>
              <w:t>PhD</w:t>
            </w:r>
          </w:p>
        </w:tc>
        <w:tc>
          <w:tcPr>
            <w:tcW w:w="0" w:type="auto"/>
            <w:hideMark/>
          </w:tcPr>
          <w:p w14:paraId="0F7B9D2D" w14:textId="77777777" w:rsidR="00E205C1" w:rsidRPr="00C73E7D" w:rsidRDefault="00E205C1" w:rsidP="00925A3F">
            <w:pPr>
              <w:pStyle w:val="NoSpacing"/>
              <w:rPr>
                <w:color w:val="000000"/>
                <w:sz w:val="18"/>
                <w:szCs w:val="18"/>
              </w:rPr>
            </w:pPr>
            <w:r w:rsidRPr="00C73E7D">
              <w:rPr>
                <w:color w:val="000000"/>
                <w:sz w:val="18"/>
                <w:szCs w:val="18"/>
              </w:rPr>
              <w:t>24</w:t>
            </w:r>
          </w:p>
        </w:tc>
        <w:tc>
          <w:tcPr>
            <w:tcW w:w="0" w:type="auto"/>
            <w:hideMark/>
          </w:tcPr>
          <w:p w14:paraId="14498DEF" w14:textId="77777777" w:rsidR="00E205C1" w:rsidRPr="00C73E7D" w:rsidRDefault="00E205C1" w:rsidP="00925A3F">
            <w:pPr>
              <w:pStyle w:val="NoSpacing"/>
              <w:rPr>
                <w:color w:val="000000"/>
                <w:sz w:val="18"/>
                <w:szCs w:val="18"/>
              </w:rPr>
            </w:pPr>
            <w:r w:rsidRPr="00C73E7D">
              <w:rPr>
                <w:color w:val="000000"/>
                <w:sz w:val="18"/>
                <w:szCs w:val="18"/>
              </w:rPr>
              <w:t>9.6</w:t>
            </w:r>
          </w:p>
        </w:tc>
      </w:tr>
      <w:tr w:rsidR="00E205C1" w:rsidRPr="00C73E7D" w14:paraId="47DC437D" w14:textId="77777777" w:rsidTr="00D3698B">
        <w:tc>
          <w:tcPr>
            <w:tcW w:w="0" w:type="auto"/>
            <w:hideMark/>
          </w:tcPr>
          <w:p w14:paraId="1DC43DAA" w14:textId="77777777" w:rsidR="00E205C1" w:rsidRPr="00C73E7D" w:rsidRDefault="00E205C1" w:rsidP="00925A3F">
            <w:pPr>
              <w:pStyle w:val="NoSpacing"/>
              <w:rPr>
                <w:color w:val="000000"/>
                <w:sz w:val="18"/>
                <w:szCs w:val="18"/>
              </w:rPr>
            </w:pPr>
            <w:r w:rsidRPr="00C73E7D">
              <w:rPr>
                <w:color w:val="000000"/>
                <w:sz w:val="18"/>
                <w:szCs w:val="18"/>
              </w:rPr>
              <w:t>Program instruction</w:t>
            </w:r>
          </w:p>
        </w:tc>
        <w:tc>
          <w:tcPr>
            <w:tcW w:w="0" w:type="auto"/>
            <w:hideMark/>
          </w:tcPr>
          <w:p w14:paraId="0C7E5D6E" w14:textId="77777777" w:rsidR="00E205C1" w:rsidRPr="00C73E7D" w:rsidRDefault="00E205C1" w:rsidP="00925A3F">
            <w:pPr>
              <w:pStyle w:val="NoSpacing"/>
              <w:rPr>
                <w:color w:val="000000"/>
                <w:sz w:val="18"/>
                <w:szCs w:val="18"/>
              </w:rPr>
            </w:pPr>
          </w:p>
        </w:tc>
        <w:tc>
          <w:tcPr>
            <w:tcW w:w="0" w:type="auto"/>
            <w:hideMark/>
          </w:tcPr>
          <w:p w14:paraId="66D3010D" w14:textId="77777777" w:rsidR="00E205C1" w:rsidRPr="00C73E7D" w:rsidRDefault="00E205C1" w:rsidP="00925A3F">
            <w:pPr>
              <w:pStyle w:val="NoSpacing"/>
              <w:rPr>
                <w:sz w:val="20"/>
                <w:szCs w:val="20"/>
              </w:rPr>
            </w:pPr>
          </w:p>
        </w:tc>
      </w:tr>
      <w:tr w:rsidR="00E205C1" w:rsidRPr="00C73E7D" w14:paraId="4F2E42EF" w14:textId="77777777" w:rsidTr="00D3698B">
        <w:tc>
          <w:tcPr>
            <w:tcW w:w="0" w:type="auto"/>
            <w:hideMark/>
          </w:tcPr>
          <w:p w14:paraId="6815DE3C" w14:textId="77777777" w:rsidR="00E205C1" w:rsidRPr="00C73E7D" w:rsidRDefault="00E205C1" w:rsidP="00925A3F">
            <w:pPr>
              <w:pStyle w:val="NoSpacing"/>
              <w:rPr>
                <w:color w:val="000000"/>
                <w:sz w:val="18"/>
                <w:szCs w:val="18"/>
              </w:rPr>
            </w:pPr>
            <w:r w:rsidRPr="00C73E7D">
              <w:rPr>
                <w:color w:val="000000"/>
                <w:sz w:val="18"/>
                <w:szCs w:val="18"/>
              </w:rPr>
              <w:t>Mix of traditional classroom and online instruction</w:t>
            </w:r>
          </w:p>
        </w:tc>
        <w:tc>
          <w:tcPr>
            <w:tcW w:w="0" w:type="auto"/>
            <w:hideMark/>
          </w:tcPr>
          <w:p w14:paraId="29FB9D1C" w14:textId="77777777" w:rsidR="00E205C1" w:rsidRPr="00C73E7D" w:rsidRDefault="00E205C1" w:rsidP="00925A3F">
            <w:pPr>
              <w:pStyle w:val="NoSpacing"/>
              <w:rPr>
                <w:color w:val="000000"/>
                <w:sz w:val="18"/>
                <w:szCs w:val="18"/>
              </w:rPr>
            </w:pPr>
            <w:r w:rsidRPr="00C73E7D">
              <w:rPr>
                <w:color w:val="000000"/>
                <w:sz w:val="18"/>
                <w:szCs w:val="18"/>
              </w:rPr>
              <w:t>141</w:t>
            </w:r>
          </w:p>
        </w:tc>
        <w:tc>
          <w:tcPr>
            <w:tcW w:w="0" w:type="auto"/>
            <w:hideMark/>
          </w:tcPr>
          <w:p w14:paraId="34C6F192" w14:textId="77777777" w:rsidR="00E205C1" w:rsidRPr="00C73E7D" w:rsidRDefault="00E205C1" w:rsidP="00925A3F">
            <w:pPr>
              <w:pStyle w:val="NoSpacing"/>
              <w:rPr>
                <w:color w:val="000000"/>
                <w:sz w:val="18"/>
                <w:szCs w:val="18"/>
              </w:rPr>
            </w:pPr>
            <w:r w:rsidRPr="00C73E7D">
              <w:rPr>
                <w:color w:val="000000"/>
                <w:sz w:val="18"/>
                <w:szCs w:val="18"/>
              </w:rPr>
              <w:t>56.6</w:t>
            </w:r>
          </w:p>
        </w:tc>
      </w:tr>
      <w:tr w:rsidR="00E205C1" w:rsidRPr="00C73E7D" w14:paraId="3330FE09" w14:textId="77777777" w:rsidTr="00D3698B">
        <w:tc>
          <w:tcPr>
            <w:tcW w:w="0" w:type="auto"/>
            <w:hideMark/>
          </w:tcPr>
          <w:p w14:paraId="3CCA9CF2" w14:textId="77777777" w:rsidR="00E205C1" w:rsidRPr="00C73E7D" w:rsidRDefault="00E205C1" w:rsidP="00925A3F">
            <w:pPr>
              <w:pStyle w:val="NoSpacing"/>
              <w:rPr>
                <w:color w:val="000000"/>
                <w:sz w:val="18"/>
                <w:szCs w:val="18"/>
              </w:rPr>
            </w:pPr>
            <w:r w:rsidRPr="00C73E7D">
              <w:rPr>
                <w:color w:val="000000"/>
                <w:sz w:val="18"/>
                <w:szCs w:val="18"/>
              </w:rPr>
              <w:t>Online instruction</w:t>
            </w:r>
          </w:p>
        </w:tc>
        <w:tc>
          <w:tcPr>
            <w:tcW w:w="0" w:type="auto"/>
            <w:hideMark/>
          </w:tcPr>
          <w:p w14:paraId="43F3CCC0" w14:textId="77777777" w:rsidR="00E205C1" w:rsidRPr="00C73E7D" w:rsidRDefault="00E205C1" w:rsidP="00925A3F">
            <w:pPr>
              <w:pStyle w:val="NoSpacing"/>
              <w:rPr>
                <w:color w:val="000000"/>
                <w:sz w:val="18"/>
                <w:szCs w:val="18"/>
              </w:rPr>
            </w:pPr>
            <w:r w:rsidRPr="00C73E7D">
              <w:rPr>
                <w:color w:val="000000"/>
                <w:sz w:val="18"/>
                <w:szCs w:val="18"/>
              </w:rPr>
              <w:t>78</w:t>
            </w:r>
          </w:p>
        </w:tc>
        <w:tc>
          <w:tcPr>
            <w:tcW w:w="0" w:type="auto"/>
            <w:hideMark/>
          </w:tcPr>
          <w:p w14:paraId="7B02BD9C" w14:textId="77777777" w:rsidR="00E205C1" w:rsidRPr="00C73E7D" w:rsidRDefault="00E205C1" w:rsidP="00925A3F">
            <w:pPr>
              <w:pStyle w:val="NoSpacing"/>
              <w:rPr>
                <w:color w:val="000000"/>
                <w:sz w:val="18"/>
                <w:szCs w:val="18"/>
              </w:rPr>
            </w:pPr>
            <w:r w:rsidRPr="00C73E7D">
              <w:rPr>
                <w:color w:val="000000"/>
                <w:sz w:val="18"/>
                <w:szCs w:val="18"/>
              </w:rPr>
              <w:t>31.3</w:t>
            </w:r>
          </w:p>
        </w:tc>
      </w:tr>
      <w:tr w:rsidR="00E205C1" w:rsidRPr="00C73E7D" w14:paraId="3E5DE27A" w14:textId="77777777" w:rsidTr="00D3698B">
        <w:tc>
          <w:tcPr>
            <w:tcW w:w="0" w:type="auto"/>
            <w:hideMark/>
          </w:tcPr>
          <w:p w14:paraId="798E7C8D" w14:textId="77777777" w:rsidR="00E205C1" w:rsidRPr="00C73E7D" w:rsidRDefault="00E205C1" w:rsidP="00925A3F">
            <w:pPr>
              <w:pStyle w:val="NoSpacing"/>
              <w:rPr>
                <w:color w:val="000000"/>
                <w:sz w:val="18"/>
                <w:szCs w:val="18"/>
              </w:rPr>
            </w:pPr>
            <w:r w:rsidRPr="00C73E7D">
              <w:rPr>
                <w:color w:val="000000"/>
                <w:sz w:val="18"/>
                <w:szCs w:val="18"/>
              </w:rPr>
              <w:t>Traditional classroom setting</w:t>
            </w:r>
          </w:p>
        </w:tc>
        <w:tc>
          <w:tcPr>
            <w:tcW w:w="0" w:type="auto"/>
            <w:hideMark/>
          </w:tcPr>
          <w:p w14:paraId="6A4D32E4" w14:textId="77777777" w:rsidR="00E205C1" w:rsidRPr="00C73E7D" w:rsidRDefault="00E205C1" w:rsidP="00925A3F">
            <w:pPr>
              <w:pStyle w:val="NoSpacing"/>
              <w:rPr>
                <w:color w:val="000000"/>
                <w:sz w:val="18"/>
                <w:szCs w:val="18"/>
              </w:rPr>
            </w:pPr>
            <w:r w:rsidRPr="00C73E7D">
              <w:rPr>
                <w:color w:val="000000"/>
                <w:sz w:val="18"/>
                <w:szCs w:val="18"/>
              </w:rPr>
              <w:t>32</w:t>
            </w:r>
          </w:p>
        </w:tc>
        <w:tc>
          <w:tcPr>
            <w:tcW w:w="0" w:type="auto"/>
            <w:hideMark/>
          </w:tcPr>
          <w:p w14:paraId="2EA656D5" w14:textId="77777777" w:rsidR="00E205C1" w:rsidRPr="00C73E7D" w:rsidRDefault="00E205C1" w:rsidP="00925A3F">
            <w:pPr>
              <w:pStyle w:val="NoSpacing"/>
              <w:rPr>
                <w:color w:val="000000"/>
                <w:sz w:val="18"/>
                <w:szCs w:val="18"/>
              </w:rPr>
            </w:pPr>
            <w:r w:rsidRPr="00C73E7D">
              <w:rPr>
                <w:color w:val="000000"/>
                <w:sz w:val="18"/>
                <w:szCs w:val="18"/>
              </w:rPr>
              <w:t>12.9</w:t>
            </w:r>
          </w:p>
        </w:tc>
      </w:tr>
    </w:tbl>
    <w:p w14:paraId="32C62588" w14:textId="77777777" w:rsidR="00E205C1" w:rsidRPr="00C73E7D" w:rsidRDefault="00E205C1" w:rsidP="00925A3F">
      <w:pPr>
        <w:pStyle w:val="NoSpacing"/>
      </w:pPr>
      <w:r w:rsidRPr="00C73E7D">
        <w:rPr>
          <w:i/>
          <w:iCs/>
        </w:rPr>
        <w:t>Abbreviations</w:t>
      </w:r>
      <w:r w:rsidRPr="00C73E7D">
        <w:t>: DNP, Doctor of Nursing Practice; PhD, Doctor of Philosophy.</w:t>
      </w:r>
    </w:p>
    <w:p w14:paraId="769AA99F" w14:textId="77777777" w:rsidR="00E205C1" w:rsidRPr="00C73E7D" w:rsidRDefault="00E205C1" w:rsidP="00925A3F">
      <w:pPr>
        <w:pStyle w:val="NoSpacing"/>
      </w:pPr>
      <w:proofErr w:type="gramStart"/>
      <w:r w:rsidRPr="00C73E7D">
        <w:rPr>
          <w:rStyle w:val="number"/>
          <w:rFonts w:cstheme="minorHAnsi"/>
          <w:vertAlign w:val="superscript"/>
        </w:rPr>
        <w:t>a</w:t>
      </w:r>
      <w:proofErr w:type="gramEnd"/>
      <w:r w:rsidRPr="00C73E7D">
        <w:rPr>
          <w:rStyle w:val="number"/>
          <w:rFonts w:cstheme="minorHAnsi"/>
        </w:rPr>
        <w:t> </w:t>
      </w:r>
      <w:r w:rsidRPr="00C73E7D">
        <w:t>Institutions that award at least 50 master’s degrees and fewer than 20 doctoral degrees during the year.</w:t>
      </w:r>
    </w:p>
    <w:p w14:paraId="266A2316" w14:textId="77777777" w:rsidR="00E205C1" w:rsidRPr="00C73E7D" w:rsidRDefault="00E205C1" w:rsidP="00925A3F">
      <w:pPr>
        <w:pStyle w:val="NoSpacing"/>
      </w:pPr>
      <w:r w:rsidRPr="00C73E7D">
        <w:rPr>
          <w:rStyle w:val="number"/>
          <w:rFonts w:cstheme="minorHAnsi"/>
          <w:vertAlign w:val="superscript"/>
        </w:rPr>
        <w:t>b</w:t>
      </w:r>
      <w:r w:rsidRPr="00C73E7D">
        <w:rPr>
          <w:rStyle w:val="number"/>
          <w:rFonts w:cstheme="minorHAnsi"/>
        </w:rPr>
        <w:t> </w:t>
      </w:r>
      <w:r w:rsidRPr="00C73E7D">
        <w:t>Institutions that award at least 20 research/scholarship doctoral degrees during the year.</w:t>
      </w:r>
    </w:p>
    <w:p w14:paraId="6849ED92" w14:textId="77777777" w:rsidR="00925A3F" w:rsidRDefault="00925A3F" w:rsidP="001C2474">
      <w:pPr>
        <w:rPr>
          <w:rFonts w:cstheme="minorHAnsi"/>
        </w:rPr>
      </w:pPr>
    </w:p>
    <w:p w14:paraId="50D0D33D" w14:textId="33E4B6EA" w:rsidR="00E205C1" w:rsidRPr="00C73E7D" w:rsidRDefault="00E205C1" w:rsidP="001C2474">
      <w:pPr>
        <w:rPr>
          <w:rFonts w:cstheme="minorHAnsi"/>
        </w:rPr>
      </w:pPr>
      <w:r w:rsidRPr="00C73E7D">
        <w:rPr>
          <w:rFonts w:cstheme="minorHAnsi"/>
        </w:rPr>
        <w:t>Over 75% of the sample (</w:t>
      </w:r>
      <w:r w:rsidRPr="00C73E7D">
        <w:rPr>
          <w:rFonts w:cstheme="minorHAnsi"/>
          <w:i/>
          <w:iCs/>
        </w:rPr>
        <w:t>n</w:t>
      </w:r>
      <w:r w:rsidRPr="00C73E7D">
        <w:rPr>
          <w:rFonts w:cstheme="minorHAnsi"/>
        </w:rPr>
        <w:t> = 140) reported taking a dedicated health policy course and 71.5% (</w:t>
      </w:r>
      <w:r w:rsidRPr="00C73E7D">
        <w:rPr>
          <w:rFonts w:cstheme="minorHAnsi"/>
          <w:i/>
          <w:iCs/>
        </w:rPr>
        <w:t>n</w:t>
      </w:r>
      <w:r w:rsidRPr="00C73E7D">
        <w:rPr>
          <w:rFonts w:cstheme="minorHAnsi"/>
        </w:rPr>
        <w:t> = 131) of the sample responded that the course was required during their graduate studies. Among these 131 students, there was an equal distribution as to whether the study participant was enrolled either as a master’s or a DNP student. When study participants were asked what health policy‐related activities they have engaged with or experienced in the health policy course, the most common activity noted was “analyze health policy proposals, health policies, and related issues from the perspectives of consumers, nursing, other health professionals, and additional stakeholders.” The frequency of the participants’ responses was similar in all types of graduate education. An overwhelming majority of study participants reported not being engaged in legislative advocacy efforts (91% for master’s, 85% for DNP, and 82% for PhD; Table </w:t>
      </w:r>
      <w:hyperlink r:id="rId36" w:anchor="nuf12295-tbl-0002" w:tooltip="Link to table" w:history="1">
        <w:r w:rsidRPr="00C73E7D">
          <w:rPr>
            <w:rStyle w:val="Hyperlink"/>
            <w:rFonts w:eastAsiaTheme="majorEastAsia" w:cstheme="minorHAnsi"/>
            <w:b/>
            <w:bCs/>
            <w:color w:val="005274"/>
          </w:rPr>
          <w:t>2</w:t>
        </w:r>
      </w:hyperlink>
      <w:r w:rsidRPr="00C73E7D">
        <w:rPr>
          <w:rFonts w:cstheme="minorHAnsi"/>
        </w:rPr>
        <w:t>).</w:t>
      </w:r>
    </w:p>
    <w:p w14:paraId="7644B99A" w14:textId="77777777" w:rsidR="00E205C1" w:rsidRPr="00C73E7D" w:rsidRDefault="00E205C1" w:rsidP="00925A3F">
      <w:pPr>
        <w:pStyle w:val="NoSpacing"/>
      </w:pPr>
      <w:r w:rsidRPr="00C73E7D">
        <w:rPr>
          <w:rStyle w:val="Heading3Char"/>
          <w:rFonts w:asciiTheme="minorHAnsi" w:hAnsiTheme="minorHAnsi" w:cstheme="minorHAnsi"/>
        </w:rPr>
        <w:t>Table 2.</w:t>
      </w:r>
      <w:r w:rsidRPr="00C73E7D">
        <w:rPr>
          <w:rStyle w:val="table-captionlabel"/>
          <w:rFonts w:cstheme="minorHAnsi"/>
          <w:b/>
          <w:bCs/>
        </w:rPr>
        <w:t> </w:t>
      </w:r>
      <w:r w:rsidRPr="00C73E7D">
        <w:t>Characteristics of health policy courses by student type</w:t>
      </w:r>
    </w:p>
    <w:tbl>
      <w:tblPr>
        <w:tblStyle w:val="TableGrid"/>
        <w:tblW w:w="0" w:type="auto"/>
        <w:tblLook w:val="04A0" w:firstRow="1" w:lastRow="0" w:firstColumn="1" w:lastColumn="0" w:noHBand="0" w:noVBand="1"/>
      </w:tblPr>
      <w:tblGrid>
        <w:gridCol w:w="2408"/>
        <w:gridCol w:w="893"/>
        <w:gridCol w:w="536"/>
      </w:tblGrid>
      <w:tr w:rsidR="00E205C1" w:rsidRPr="00C73E7D" w14:paraId="79CFC80F" w14:textId="77777777" w:rsidTr="00736619">
        <w:tc>
          <w:tcPr>
            <w:tcW w:w="0" w:type="auto"/>
            <w:hideMark/>
          </w:tcPr>
          <w:p w14:paraId="45913F1B" w14:textId="77777777" w:rsidR="00E205C1" w:rsidRPr="00C73E7D" w:rsidRDefault="00E205C1" w:rsidP="00925A3F">
            <w:pPr>
              <w:pStyle w:val="NoSpacing"/>
            </w:pPr>
          </w:p>
        </w:tc>
        <w:tc>
          <w:tcPr>
            <w:tcW w:w="0" w:type="auto"/>
            <w:hideMark/>
          </w:tcPr>
          <w:p w14:paraId="702ED9E1" w14:textId="77777777" w:rsidR="00E205C1" w:rsidRPr="00C73E7D" w:rsidRDefault="00E205C1" w:rsidP="00925A3F">
            <w:pPr>
              <w:pStyle w:val="NoSpacing"/>
              <w:rPr>
                <w:b/>
                <w:bCs/>
                <w:color w:val="000000"/>
                <w:sz w:val="24"/>
                <w:szCs w:val="24"/>
              </w:rPr>
            </w:pPr>
            <w:r w:rsidRPr="00C73E7D">
              <w:rPr>
                <w:b/>
                <w:bCs/>
                <w:i/>
                <w:iCs/>
                <w:color w:val="000000"/>
              </w:rPr>
              <w:t>N</w:t>
            </w:r>
            <w:r w:rsidRPr="00C73E7D">
              <w:rPr>
                <w:b/>
                <w:bCs/>
                <w:color w:val="000000"/>
              </w:rPr>
              <w:t> = 143</w:t>
            </w:r>
          </w:p>
        </w:tc>
        <w:tc>
          <w:tcPr>
            <w:tcW w:w="0" w:type="auto"/>
            <w:hideMark/>
          </w:tcPr>
          <w:p w14:paraId="50697C3B" w14:textId="77777777" w:rsidR="00E205C1" w:rsidRPr="00C73E7D" w:rsidRDefault="00E205C1" w:rsidP="00925A3F">
            <w:pPr>
              <w:pStyle w:val="NoSpacing"/>
              <w:rPr>
                <w:b/>
                <w:bCs/>
                <w:color w:val="000000"/>
              </w:rPr>
            </w:pPr>
            <w:r w:rsidRPr="00C73E7D">
              <w:rPr>
                <w:b/>
                <w:bCs/>
                <w:color w:val="000000"/>
              </w:rPr>
              <w:t>%</w:t>
            </w:r>
          </w:p>
        </w:tc>
      </w:tr>
      <w:tr w:rsidR="00E205C1" w:rsidRPr="00C73E7D" w14:paraId="1ADAF7EA" w14:textId="77777777" w:rsidTr="00736619">
        <w:tc>
          <w:tcPr>
            <w:tcW w:w="0" w:type="auto"/>
            <w:hideMark/>
          </w:tcPr>
          <w:p w14:paraId="333AE57B" w14:textId="77777777" w:rsidR="00E205C1" w:rsidRPr="00C73E7D" w:rsidRDefault="00E205C1" w:rsidP="00925A3F">
            <w:pPr>
              <w:pStyle w:val="NoSpacing"/>
              <w:rPr>
                <w:color w:val="000000"/>
                <w:sz w:val="18"/>
                <w:szCs w:val="18"/>
              </w:rPr>
            </w:pPr>
            <w:r w:rsidRPr="00C73E7D">
              <w:rPr>
                <w:color w:val="000000"/>
                <w:sz w:val="18"/>
                <w:szCs w:val="18"/>
              </w:rPr>
              <w:t>Has taken</w:t>
            </w:r>
          </w:p>
        </w:tc>
        <w:tc>
          <w:tcPr>
            <w:tcW w:w="0" w:type="auto"/>
            <w:hideMark/>
          </w:tcPr>
          <w:p w14:paraId="7582673D" w14:textId="77777777" w:rsidR="00E205C1" w:rsidRPr="00C73E7D" w:rsidRDefault="00E205C1" w:rsidP="00925A3F">
            <w:pPr>
              <w:pStyle w:val="NoSpacing"/>
              <w:rPr>
                <w:color w:val="000000"/>
                <w:sz w:val="18"/>
                <w:szCs w:val="18"/>
              </w:rPr>
            </w:pPr>
            <w:r w:rsidRPr="00C73E7D">
              <w:rPr>
                <w:color w:val="000000"/>
                <w:sz w:val="18"/>
                <w:szCs w:val="18"/>
              </w:rPr>
              <w:t>140</w:t>
            </w:r>
          </w:p>
        </w:tc>
        <w:tc>
          <w:tcPr>
            <w:tcW w:w="0" w:type="auto"/>
            <w:hideMark/>
          </w:tcPr>
          <w:p w14:paraId="26BF7AE9" w14:textId="77777777" w:rsidR="00E205C1" w:rsidRPr="00C73E7D" w:rsidRDefault="00E205C1" w:rsidP="00925A3F">
            <w:pPr>
              <w:pStyle w:val="NoSpacing"/>
              <w:rPr>
                <w:color w:val="000000"/>
                <w:sz w:val="18"/>
                <w:szCs w:val="18"/>
              </w:rPr>
            </w:pPr>
            <w:r w:rsidRPr="00C73E7D">
              <w:rPr>
                <w:color w:val="000000"/>
                <w:sz w:val="18"/>
                <w:szCs w:val="18"/>
              </w:rPr>
              <w:t>76.5</w:t>
            </w:r>
          </w:p>
        </w:tc>
      </w:tr>
      <w:tr w:rsidR="00E205C1" w:rsidRPr="00C73E7D" w14:paraId="50664F62" w14:textId="77777777" w:rsidTr="00736619">
        <w:tc>
          <w:tcPr>
            <w:tcW w:w="0" w:type="auto"/>
            <w:hideMark/>
          </w:tcPr>
          <w:p w14:paraId="5D65997B" w14:textId="77777777" w:rsidR="00E205C1" w:rsidRPr="00C73E7D" w:rsidRDefault="00E205C1" w:rsidP="00925A3F">
            <w:pPr>
              <w:pStyle w:val="NoSpacing"/>
              <w:rPr>
                <w:color w:val="000000"/>
                <w:sz w:val="18"/>
                <w:szCs w:val="18"/>
              </w:rPr>
            </w:pPr>
            <w:r w:rsidRPr="00C73E7D">
              <w:rPr>
                <w:color w:val="000000"/>
                <w:sz w:val="18"/>
                <w:szCs w:val="18"/>
              </w:rPr>
              <w:t>Has not taken</w:t>
            </w:r>
          </w:p>
        </w:tc>
        <w:tc>
          <w:tcPr>
            <w:tcW w:w="0" w:type="auto"/>
            <w:hideMark/>
          </w:tcPr>
          <w:p w14:paraId="1DBDFCD8" w14:textId="77777777" w:rsidR="00E205C1" w:rsidRPr="00C73E7D" w:rsidRDefault="00E205C1" w:rsidP="00925A3F">
            <w:pPr>
              <w:pStyle w:val="NoSpacing"/>
              <w:rPr>
                <w:color w:val="000000"/>
                <w:sz w:val="18"/>
                <w:szCs w:val="18"/>
              </w:rPr>
            </w:pPr>
            <w:r w:rsidRPr="00C73E7D">
              <w:rPr>
                <w:color w:val="000000"/>
                <w:sz w:val="18"/>
                <w:szCs w:val="18"/>
              </w:rPr>
              <w:t>43</w:t>
            </w:r>
          </w:p>
        </w:tc>
        <w:tc>
          <w:tcPr>
            <w:tcW w:w="0" w:type="auto"/>
            <w:hideMark/>
          </w:tcPr>
          <w:p w14:paraId="1C99B94C" w14:textId="77777777" w:rsidR="00E205C1" w:rsidRPr="00C73E7D" w:rsidRDefault="00E205C1" w:rsidP="00925A3F">
            <w:pPr>
              <w:pStyle w:val="NoSpacing"/>
              <w:rPr>
                <w:color w:val="000000"/>
                <w:sz w:val="18"/>
                <w:szCs w:val="18"/>
              </w:rPr>
            </w:pPr>
            <w:r w:rsidRPr="00C73E7D">
              <w:rPr>
                <w:color w:val="000000"/>
                <w:sz w:val="18"/>
                <w:szCs w:val="18"/>
              </w:rPr>
              <w:t>23.5</w:t>
            </w:r>
          </w:p>
        </w:tc>
      </w:tr>
      <w:tr w:rsidR="00E205C1" w:rsidRPr="00C73E7D" w14:paraId="2DDA58AF" w14:textId="77777777" w:rsidTr="00736619">
        <w:tc>
          <w:tcPr>
            <w:tcW w:w="0" w:type="auto"/>
            <w:hideMark/>
          </w:tcPr>
          <w:p w14:paraId="000033FA" w14:textId="77777777" w:rsidR="00E205C1" w:rsidRPr="00C73E7D" w:rsidRDefault="00E205C1" w:rsidP="00925A3F">
            <w:pPr>
              <w:pStyle w:val="NoSpacing"/>
              <w:rPr>
                <w:color w:val="000000"/>
                <w:sz w:val="18"/>
                <w:szCs w:val="18"/>
              </w:rPr>
            </w:pPr>
            <w:r w:rsidRPr="00C73E7D">
              <w:rPr>
                <w:color w:val="000000"/>
                <w:sz w:val="18"/>
                <w:szCs w:val="18"/>
              </w:rPr>
              <w:t>Type of course</w:t>
            </w:r>
          </w:p>
        </w:tc>
        <w:tc>
          <w:tcPr>
            <w:tcW w:w="0" w:type="auto"/>
            <w:hideMark/>
          </w:tcPr>
          <w:p w14:paraId="22D6BB57" w14:textId="77777777" w:rsidR="00E205C1" w:rsidRPr="00C73E7D" w:rsidRDefault="00E205C1" w:rsidP="00925A3F">
            <w:pPr>
              <w:pStyle w:val="NoSpacing"/>
              <w:rPr>
                <w:color w:val="000000"/>
                <w:sz w:val="18"/>
                <w:szCs w:val="18"/>
              </w:rPr>
            </w:pPr>
          </w:p>
        </w:tc>
        <w:tc>
          <w:tcPr>
            <w:tcW w:w="0" w:type="auto"/>
            <w:hideMark/>
          </w:tcPr>
          <w:p w14:paraId="22DDB0F4" w14:textId="77777777" w:rsidR="00E205C1" w:rsidRPr="00C73E7D" w:rsidRDefault="00E205C1" w:rsidP="00925A3F">
            <w:pPr>
              <w:pStyle w:val="NoSpacing"/>
              <w:rPr>
                <w:sz w:val="20"/>
                <w:szCs w:val="20"/>
              </w:rPr>
            </w:pPr>
          </w:p>
        </w:tc>
      </w:tr>
      <w:tr w:rsidR="00E205C1" w:rsidRPr="00C73E7D" w14:paraId="5FCB7942" w14:textId="77777777" w:rsidTr="00736619">
        <w:tc>
          <w:tcPr>
            <w:tcW w:w="0" w:type="auto"/>
            <w:hideMark/>
          </w:tcPr>
          <w:p w14:paraId="2C88F576" w14:textId="77777777" w:rsidR="00E205C1" w:rsidRPr="00C73E7D" w:rsidRDefault="00E205C1" w:rsidP="00925A3F">
            <w:pPr>
              <w:pStyle w:val="NoSpacing"/>
              <w:rPr>
                <w:color w:val="000000"/>
                <w:sz w:val="18"/>
                <w:szCs w:val="18"/>
              </w:rPr>
            </w:pPr>
            <w:r w:rsidRPr="00C73E7D">
              <w:rPr>
                <w:color w:val="000000"/>
                <w:sz w:val="18"/>
                <w:szCs w:val="18"/>
              </w:rPr>
              <w:t>Required, stand alone</w:t>
            </w:r>
          </w:p>
        </w:tc>
        <w:tc>
          <w:tcPr>
            <w:tcW w:w="0" w:type="auto"/>
            <w:hideMark/>
          </w:tcPr>
          <w:p w14:paraId="1D3D7913" w14:textId="77777777" w:rsidR="00E205C1" w:rsidRPr="00C73E7D" w:rsidRDefault="00E205C1" w:rsidP="00925A3F">
            <w:pPr>
              <w:pStyle w:val="NoSpacing"/>
              <w:rPr>
                <w:color w:val="000000"/>
                <w:sz w:val="18"/>
                <w:szCs w:val="18"/>
              </w:rPr>
            </w:pPr>
            <w:r w:rsidRPr="00C73E7D">
              <w:rPr>
                <w:color w:val="000000"/>
                <w:sz w:val="18"/>
                <w:szCs w:val="18"/>
              </w:rPr>
              <w:t>131</w:t>
            </w:r>
          </w:p>
        </w:tc>
        <w:tc>
          <w:tcPr>
            <w:tcW w:w="0" w:type="auto"/>
            <w:hideMark/>
          </w:tcPr>
          <w:p w14:paraId="5A5A9323" w14:textId="77777777" w:rsidR="00E205C1" w:rsidRPr="00C73E7D" w:rsidRDefault="00E205C1" w:rsidP="00925A3F">
            <w:pPr>
              <w:pStyle w:val="NoSpacing"/>
              <w:rPr>
                <w:color w:val="000000"/>
                <w:sz w:val="18"/>
                <w:szCs w:val="18"/>
              </w:rPr>
            </w:pPr>
            <w:r w:rsidRPr="00C73E7D">
              <w:rPr>
                <w:color w:val="000000"/>
                <w:sz w:val="18"/>
                <w:szCs w:val="18"/>
              </w:rPr>
              <w:t>71.6</w:t>
            </w:r>
          </w:p>
        </w:tc>
      </w:tr>
      <w:tr w:rsidR="00E205C1" w:rsidRPr="00C73E7D" w14:paraId="11C2E8A3" w14:textId="77777777" w:rsidTr="00736619">
        <w:tc>
          <w:tcPr>
            <w:tcW w:w="0" w:type="auto"/>
            <w:hideMark/>
          </w:tcPr>
          <w:p w14:paraId="1BF7C720" w14:textId="77777777" w:rsidR="00E205C1" w:rsidRPr="00C73E7D" w:rsidRDefault="00E205C1" w:rsidP="00925A3F">
            <w:pPr>
              <w:pStyle w:val="NoSpacing"/>
              <w:rPr>
                <w:color w:val="000000"/>
                <w:sz w:val="18"/>
                <w:szCs w:val="18"/>
              </w:rPr>
            </w:pPr>
            <w:r w:rsidRPr="00C73E7D">
              <w:rPr>
                <w:color w:val="000000"/>
                <w:sz w:val="18"/>
                <w:szCs w:val="18"/>
              </w:rPr>
              <w:t>Integrated in multiple courses</w:t>
            </w:r>
          </w:p>
        </w:tc>
        <w:tc>
          <w:tcPr>
            <w:tcW w:w="0" w:type="auto"/>
            <w:hideMark/>
          </w:tcPr>
          <w:p w14:paraId="0B9ECA8E" w14:textId="77777777" w:rsidR="00E205C1" w:rsidRPr="00C73E7D" w:rsidRDefault="00E205C1" w:rsidP="00925A3F">
            <w:pPr>
              <w:pStyle w:val="NoSpacing"/>
              <w:rPr>
                <w:color w:val="000000"/>
                <w:sz w:val="18"/>
                <w:szCs w:val="18"/>
              </w:rPr>
            </w:pPr>
            <w:r w:rsidRPr="00C73E7D">
              <w:rPr>
                <w:color w:val="000000"/>
                <w:sz w:val="18"/>
                <w:szCs w:val="18"/>
              </w:rPr>
              <w:t>36</w:t>
            </w:r>
          </w:p>
        </w:tc>
        <w:tc>
          <w:tcPr>
            <w:tcW w:w="0" w:type="auto"/>
            <w:hideMark/>
          </w:tcPr>
          <w:p w14:paraId="65CD5857" w14:textId="77777777" w:rsidR="00E205C1" w:rsidRPr="00C73E7D" w:rsidRDefault="00E205C1" w:rsidP="00925A3F">
            <w:pPr>
              <w:pStyle w:val="NoSpacing"/>
              <w:rPr>
                <w:color w:val="000000"/>
                <w:sz w:val="18"/>
                <w:szCs w:val="18"/>
              </w:rPr>
            </w:pPr>
            <w:r w:rsidRPr="00C73E7D">
              <w:rPr>
                <w:color w:val="000000"/>
                <w:sz w:val="18"/>
                <w:szCs w:val="18"/>
              </w:rPr>
              <w:t>19.7</w:t>
            </w:r>
          </w:p>
        </w:tc>
      </w:tr>
      <w:tr w:rsidR="00E205C1" w:rsidRPr="00C73E7D" w14:paraId="6C8B4594" w14:textId="77777777" w:rsidTr="00736619">
        <w:tc>
          <w:tcPr>
            <w:tcW w:w="0" w:type="auto"/>
            <w:hideMark/>
          </w:tcPr>
          <w:p w14:paraId="7D635F52" w14:textId="77777777" w:rsidR="00E205C1" w:rsidRPr="00C73E7D" w:rsidRDefault="00E205C1" w:rsidP="00925A3F">
            <w:pPr>
              <w:pStyle w:val="NoSpacing"/>
              <w:rPr>
                <w:color w:val="000000"/>
                <w:sz w:val="18"/>
                <w:szCs w:val="18"/>
              </w:rPr>
            </w:pPr>
            <w:r w:rsidRPr="00C73E7D">
              <w:rPr>
                <w:color w:val="000000"/>
                <w:sz w:val="18"/>
                <w:szCs w:val="18"/>
              </w:rPr>
              <w:t>An elective</w:t>
            </w:r>
          </w:p>
        </w:tc>
        <w:tc>
          <w:tcPr>
            <w:tcW w:w="0" w:type="auto"/>
            <w:hideMark/>
          </w:tcPr>
          <w:p w14:paraId="684CD023" w14:textId="77777777" w:rsidR="00E205C1" w:rsidRPr="00C73E7D" w:rsidRDefault="00E205C1" w:rsidP="00925A3F">
            <w:pPr>
              <w:pStyle w:val="NoSpacing"/>
              <w:rPr>
                <w:color w:val="000000"/>
                <w:sz w:val="18"/>
                <w:szCs w:val="18"/>
              </w:rPr>
            </w:pPr>
            <w:r w:rsidRPr="00C73E7D">
              <w:rPr>
                <w:color w:val="000000"/>
                <w:sz w:val="18"/>
                <w:szCs w:val="18"/>
              </w:rPr>
              <w:t>9</w:t>
            </w:r>
          </w:p>
        </w:tc>
        <w:tc>
          <w:tcPr>
            <w:tcW w:w="0" w:type="auto"/>
            <w:hideMark/>
          </w:tcPr>
          <w:p w14:paraId="65D9B896" w14:textId="77777777" w:rsidR="00E205C1" w:rsidRPr="00C73E7D" w:rsidRDefault="00E205C1" w:rsidP="00925A3F">
            <w:pPr>
              <w:pStyle w:val="NoSpacing"/>
              <w:rPr>
                <w:color w:val="000000"/>
                <w:sz w:val="18"/>
                <w:szCs w:val="18"/>
              </w:rPr>
            </w:pPr>
            <w:r w:rsidRPr="00C73E7D">
              <w:rPr>
                <w:color w:val="000000"/>
                <w:sz w:val="18"/>
                <w:szCs w:val="18"/>
              </w:rPr>
              <w:t>4.9</w:t>
            </w:r>
          </w:p>
        </w:tc>
      </w:tr>
      <w:tr w:rsidR="00E205C1" w:rsidRPr="00C73E7D" w14:paraId="11EBA056" w14:textId="77777777" w:rsidTr="00736619">
        <w:tc>
          <w:tcPr>
            <w:tcW w:w="0" w:type="auto"/>
            <w:hideMark/>
          </w:tcPr>
          <w:p w14:paraId="35F93EF8" w14:textId="77777777" w:rsidR="00E205C1" w:rsidRPr="00C73E7D" w:rsidRDefault="00E205C1" w:rsidP="00925A3F">
            <w:pPr>
              <w:pStyle w:val="NoSpacing"/>
              <w:rPr>
                <w:color w:val="000000"/>
                <w:sz w:val="18"/>
                <w:szCs w:val="18"/>
              </w:rPr>
            </w:pPr>
            <w:r w:rsidRPr="00C73E7D">
              <w:rPr>
                <w:color w:val="000000"/>
                <w:sz w:val="18"/>
                <w:szCs w:val="18"/>
              </w:rPr>
              <w:t>Not taught or offered</w:t>
            </w:r>
          </w:p>
        </w:tc>
        <w:tc>
          <w:tcPr>
            <w:tcW w:w="0" w:type="auto"/>
            <w:hideMark/>
          </w:tcPr>
          <w:p w14:paraId="35F181D7" w14:textId="77777777" w:rsidR="00E205C1" w:rsidRPr="00C73E7D" w:rsidRDefault="00E205C1" w:rsidP="00925A3F">
            <w:pPr>
              <w:pStyle w:val="NoSpacing"/>
              <w:rPr>
                <w:color w:val="000000"/>
                <w:sz w:val="18"/>
                <w:szCs w:val="18"/>
              </w:rPr>
            </w:pPr>
            <w:r w:rsidRPr="00C73E7D">
              <w:rPr>
                <w:color w:val="000000"/>
                <w:sz w:val="18"/>
                <w:szCs w:val="18"/>
              </w:rPr>
              <w:t>7</w:t>
            </w:r>
          </w:p>
        </w:tc>
        <w:tc>
          <w:tcPr>
            <w:tcW w:w="0" w:type="auto"/>
            <w:hideMark/>
          </w:tcPr>
          <w:p w14:paraId="0D0EF577" w14:textId="77777777" w:rsidR="00E205C1" w:rsidRPr="00C73E7D" w:rsidRDefault="00E205C1" w:rsidP="00925A3F">
            <w:pPr>
              <w:pStyle w:val="NoSpacing"/>
              <w:rPr>
                <w:color w:val="000000"/>
                <w:sz w:val="18"/>
                <w:szCs w:val="18"/>
              </w:rPr>
            </w:pPr>
            <w:r w:rsidRPr="00C73E7D">
              <w:rPr>
                <w:color w:val="000000"/>
                <w:sz w:val="18"/>
                <w:szCs w:val="18"/>
              </w:rPr>
              <w:t>3.8</w:t>
            </w:r>
          </w:p>
        </w:tc>
      </w:tr>
    </w:tbl>
    <w:p w14:paraId="6F9071EB" w14:textId="77777777" w:rsidR="00736619" w:rsidRDefault="00736619" w:rsidP="00925A3F">
      <w:pPr>
        <w:pStyle w:val="NoSpacing"/>
      </w:pPr>
    </w:p>
    <w:tbl>
      <w:tblPr>
        <w:tblStyle w:val="TableGrid"/>
        <w:tblW w:w="0" w:type="auto"/>
        <w:tblLook w:val="04A0" w:firstRow="1" w:lastRow="0" w:firstColumn="1" w:lastColumn="0" w:noHBand="0" w:noVBand="1"/>
      </w:tblPr>
      <w:tblGrid>
        <w:gridCol w:w="4153"/>
        <w:gridCol w:w="1015"/>
        <w:gridCol w:w="617"/>
        <w:gridCol w:w="399"/>
        <w:gridCol w:w="536"/>
        <w:gridCol w:w="590"/>
        <w:gridCol w:w="536"/>
      </w:tblGrid>
      <w:tr w:rsidR="00736619" w:rsidRPr="00C73E7D" w14:paraId="1840EA15" w14:textId="77777777" w:rsidTr="00734895">
        <w:tc>
          <w:tcPr>
            <w:tcW w:w="0" w:type="auto"/>
            <w:hideMark/>
          </w:tcPr>
          <w:p w14:paraId="1D3DB585" w14:textId="77777777" w:rsidR="00736619" w:rsidRPr="00C73E7D" w:rsidRDefault="00736619" w:rsidP="00915A9F">
            <w:pPr>
              <w:pStyle w:val="NoSpacing"/>
              <w:rPr>
                <w:b/>
                <w:bCs/>
                <w:color w:val="000000"/>
                <w:sz w:val="24"/>
                <w:szCs w:val="24"/>
              </w:rPr>
            </w:pPr>
            <w:r w:rsidRPr="00C73E7D">
              <w:rPr>
                <w:b/>
                <w:bCs/>
                <w:color w:val="000000"/>
              </w:rPr>
              <w:t>If course was required, level of student</w:t>
            </w:r>
          </w:p>
        </w:tc>
        <w:tc>
          <w:tcPr>
            <w:tcW w:w="0" w:type="auto"/>
            <w:hideMark/>
          </w:tcPr>
          <w:p w14:paraId="636965F0" w14:textId="77777777" w:rsidR="00736619" w:rsidRPr="00C73E7D" w:rsidRDefault="00736619" w:rsidP="00915A9F">
            <w:pPr>
              <w:pStyle w:val="NoSpacing"/>
              <w:rPr>
                <w:b/>
                <w:bCs/>
                <w:color w:val="000000"/>
              </w:rPr>
            </w:pPr>
            <w:r w:rsidRPr="00C73E7D">
              <w:rPr>
                <w:b/>
                <w:bCs/>
                <w:color w:val="000000"/>
              </w:rPr>
              <w:t>Master’s</w:t>
            </w:r>
          </w:p>
        </w:tc>
        <w:tc>
          <w:tcPr>
            <w:tcW w:w="0" w:type="auto"/>
            <w:hideMark/>
          </w:tcPr>
          <w:p w14:paraId="3E8C5AA1" w14:textId="77777777" w:rsidR="00736619" w:rsidRPr="00C73E7D" w:rsidRDefault="00736619" w:rsidP="00915A9F">
            <w:pPr>
              <w:pStyle w:val="NoSpacing"/>
              <w:rPr>
                <w:b/>
                <w:bCs/>
                <w:color w:val="000000"/>
              </w:rPr>
            </w:pPr>
            <w:r w:rsidRPr="00C73E7D">
              <w:rPr>
                <w:b/>
                <w:bCs/>
                <w:color w:val="000000"/>
              </w:rPr>
              <w:t>DNP</w:t>
            </w:r>
          </w:p>
        </w:tc>
        <w:tc>
          <w:tcPr>
            <w:tcW w:w="0" w:type="auto"/>
          </w:tcPr>
          <w:p w14:paraId="297DBA0A" w14:textId="77777777" w:rsidR="00736619" w:rsidRPr="00C73E7D" w:rsidRDefault="00736619" w:rsidP="00915A9F">
            <w:pPr>
              <w:pStyle w:val="NoSpacing"/>
              <w:rPr>
                <w:b/>
                <w:bCs/>
                <w:color w:val="000000"/>
              </w:rPr>
            </w:pPr>
          </w:p>
        </w:tc>
        <w:tc>
          <w:tcPr>
            <w:tcW w:w="0" w:type="auto"/>
          </w:tcPr>
          <w:p w14:paraId="5D7891FC" w14:textId="569573E7" w:rsidR="00736619" w:rsidRPr="00C73E7D" w:rsidRDefault="00736619" w:rsidP="00915A9F">
            <w:pPr>
              <w:pStyle w:val="NoSpacing"/>
              <w:rPr>
                <w:b/>
                <w:bCs/>
                <w:color w:val="000000"/>
              </w:rPr>
            </w:pPr>
          </w:p>
        </w:tc>
        <w:tc>
          <w:tcPr>
            <w:tcW w:w="0" w:type="auto"/>
            <w:hideMark/>
          </w:tcPr>
          <w:p w14:paraId="0F174A42" w14:textId="77777777" w:rsidR="00736619" w:rsidRPr="00C73E7D" w:rsidRDefault="00736619" w:rsidP="00915A9F">
            <w:pPr>
              <w:pStyle w:val="NoSpacing"/>
              <w:rPr>
                <w:b/>
                <w:bCs/>
                <w:color w:val="000000"/>
              </w:rPr>
            </w:pPr>
            <w:r w:rsidRPr="00C73E7D">
              <w:rPr>
                <w:b/>
                <w:bCs/>
                <w:color w:val="000000"/>
              </w:rPr>
              <w:t>PhD</w:t>
            </w:r>
          </w:p>
        </w:tc>
        <w:tc>
          <w:tcPr>
            <w:tcW w:w="0" w:type="auto"/>
          </w:tcPr>
          <w:p w14:paraId="75855CAA" w14:textId="4FA1D939" w:rsidR="00736619" w:rsidRPr="00C73E7D" w:rsidRDefault="00736619" w:rsidP="00915A9F">
            <w:pPr>
              <w:pStyle w:val="NoSpacing"/>
              <w:rPr>
                <w:b/>
                <w:bCs/>
                <w:color w:val="000000"/>
              </w:rPr>
            </w:pPr>
          </w:p>
        </w:tc>
      </w:tr>
      <w:tr w:rsidR="00736619" w:rsidRPr="00C73E7D" w14:paraId="7F7DACDC" w14:textId="77777777" w:rsidTr="00736619">
        <w:tc>
          <w:tcPr>
            <w:tcW w:w="0" w:type="auto"/>
            <w:hideMark/>
          </w:tcPr>
          <w:p w14:paraId="0D60F914" w14:textId="77777777" w:rsidR="00736619" w:rsidRPr="00C73E7D" w:rsidRDefault="00736619" w:rsidP="00915A9F">
            <w:pPr>
              <w:pStyle w:val="NoSpacing"/>
              <w:rPr>
                <w:b/>
                <w:bCs/>
                <w:color w:val="000000"/>
              </w:rPr>
            </w:pPr>
          </w:p>
        </w:tc>
        <w:tc>
          <w:tcPr>
            <w:tcW w:w="0" w:type="auto"/>
            <w:hideMark/>
          </w:tcPr>
          <w:p w14:paraId="5C4038C0" w14:textId="77777777" w:rsidR="00736619" w:rsidRPr="00C73E7D" w:rsidRDefault="00736619" w:rsidP="00915A9F">
            <w:pPr>
              <w:pStyle w:val="NoSpacing"/>
              <w:rPr>
                <w:color w:val="000000"/>
                <w:sz w:val="18"/>
                <w:szCs w:val="18"/>
              </w:rPr>
            </w:pPr>
            <w:r w:rsidRPr="00C73E7D">
              <w:rPr>
                <w:i/>
                <w:iCs/>
                <w:color w:val="000000"/>
                <w:sz w:val="18"/>
                <w:szCs w:val="18"/>
              </w:rPr>
              <w:t>N</w:t>
            </w:r>
          </w:p>
        </w:tc>
        <w:tc>
          <w:tcPr>
            <w:tcW w:w="0" w:type="auto"/>
            <w:hideMark/>
          </w:tcPr>
          <w:p w14:paraId="26CDF857" w14:textId="77777777" w:rsidR="00736619" w:rsidRPr="00C73E7D" w:rsidRDefault="00736619" w:rsidP="00915A9F">
            <w:pPr>
              <w:pStyle w:val="NoSpacing"/>
              <w:rPr>
                <w:color w:val="000000"/>
                <w:sz w:val="18"/>
                <w:szCs w:val="18"/>
              </w:rPr>
            </w:pPr>
            <w:r w:rsidRPr="00C73E7D">
              <w:rPr>
                <w:color w:val="000000"/>
                <w:sz w:val="18"/>
                <w:szCs w:val="18"/>
              </w:rPr>
              <w:t>%</w:t>
            </w:r>
          </w:p>
        </w:tc>
        <w:tc>
          <w:tcPr>
            <w:tcW w:w="0" w:type="auto"/>
            <w:hideMark/>
          </w:tcPr>
          <w:p w14:paraId="46BCEC3C" w14:textId="77777777" w:rsidR="00736619" w:rsidRPr="00C73E7D" w:rsidRDefault="00736619" w:rsidP="00915A9F">
            <w:pPr>
              <w:pStyle w:val="NoSpacing"/>
              <w:rPr>
                <w:color w:val="000000"/>
                <w:sz w:val="18"/>
                <w:szCs w:val="18"/>
              </w:rPr>
            </w:pPr>
            <w:r w:rsidRPr="00C73E7D">
              <w:rPr>
                <w:i/>
                <w:iCs/>
                <w:color w:val="000000"/>
                <w:sz w:val="18"/>
                <w:szCs w:val="18"/>
              </w:rPr>
              <w:t>N</w:t>
            </w:r>
          </w:p>
        </w:tc>
        <w:tc>
          <w:tcPr>
            <w:tcW w:w="0" w:type="auto"/>
            <w:hideMark/>
          </w:tcPr>
          <w:p w14:paraId="58BF9056" w14:textId="77777777" w:rsidR="00736619" w:rsidRPr="00C73E7D" w:rsidRDefault="00736619" w:rsidP="00915A9F">
            <w:pPr>
              <w:pStyle w:val="NoSpacing"/>
              <w:rPr>
                <w:color w:val="000000"/>
                <w:sz w:val="18"/>
                <w:szCs w:val="18"/>
              </w:rPr>
            </w:pPr>
            <w:r w:rsidRPr="00C73E7D">
              <w:rPr>
                <w:color w:val="000000"/>
                <w:sz w:val="18"/>
                <w:szCs w:val="18"/>
              </w:rPr>
              <w:t>%</w:t>
            </w:r>
          </w:p>
        </w:tc>
        <w:tc>
          <w:tcPr>
            <w:tcW w:w="0" w:type="auto"/>
            <w:hideMark/>
          </w:tcPr>
          <w:p w14:paraId="48112B94" w14:textId="77777777" w:rsidR="00736619" w:rsidRPr="00C73E7D" w:rsidRDefault="00736619" w:rsidP="00915A9F">
            <w:pPr>
              <w:pStyle w:val="NoSpacing"/>
              <w:rPr>
                <w:color w:val="000000"/>
                <w:sz w:val="18"/>
                <w:szCs w:val="18"/>
              </w:rPr>
            </w:pPr>
            <w:r w:rsidRPr="00C73E7D">
              <w:rPr>
                <w:i/>
                <w:iCs/>
                <w:color w:val="000000"/>
                <w:sz w:val="18"/>
                <w:szCs w:val="18"/>
              </w:rPr>
              <w:t>N</w:t>
            </w:r>
          </w:p>
        </w:tc>
        <w:tc>
          <w:tcPr>
            <w:tcW w:w="0" w:type="auto"/>
            <w:hideMark/>
          </w:tcPr>
          <w:p w14:paraId="55C19BAA" w14:textId="77777777" w:rsidR="00736619" w:rsidRPr="00C73E7D" w:rsidRDefault="00736619" w:rsidP="00915A9F">
            <w:pPr>
              <w:pStyle w:val="NoSpacing"/>
              <w:rPr>
                <w:color w:val="000000"/>
                <w:sz w:val="18"/>
                <w:szCs w:val="18"/>
              </w:rPr>
            </w:pPr>
            <w:r w:rsidRPr="00C73E7D">
              <w:rPr>
                <w:color w:val="000000"/>
                <w:sz w:val="18"/>
                <w:szCs w:val="18"/>
              </w:rPr>
              <w:t>%</w:t>
            </w:r>
          </w:p>
        </w:tc>
      </w:tr>
      <w:tr w:rsidR="00736619" w:rsidRPr="00C73E7D" w14:paraId="2F70689C" w14:textId="77777777" w:rsidTr="00736619">
        <w:tc>
          <w:tcPr>
            <w:tcW w:w="0" w:type="auto"/>
            <w:hideMark/>
          </w:tcPr>
          <w:p w14:paraId="135D678A" w14:textId="77777777" w:rsidR="00736619" w:rsidRPr="00C73E7D" w:rsidRDefault="00736619" w:rsidP="00915A9F">
            <w:pPr>
              <w:pStyle w:val="NoSpacing"/>
              <w:rPr>
                <w:color w:val="000000"/>
                <w:sz w:val="18"/>
                <w:szCs w:val="18"/>
              </w:rPr>
            </w:pPr>
          </w:p>
        </w:tc>
        <w:tc>
          <w:tcPr>
            <w:tcW w:w="0" w:type="auto"/>
            <w:hideMark/>
          </w:tcPr>
          <w:p w14:paraId="0159D71A" w14:textId="77777777" w:rsidR="00736619" w:rsidRPr="00C73E7D" w:rsidRDefault="00736619" w:rsidP="00915A9F">
            <w:pPr>
              <w:pStyle w:val="NoSpacing"/>
              <w:rPr>
                <w:color w:val="000000"/>
                <w:sz w:val="18"/>
                <w:szCs w:val="18"/>
              </w:rPr>
            </w:pPr>
            <w:r w:rsidRPr="00C73E7D">
              <w:rPr>
                <w:color w:val="000000"/>
                <w:sz w:val="18"/>
                <w:szCs w:val="18"/>
              </w:rPr>
              <w:t>59</w:t>
            </w:r>
          </w:p>
        </w:tc>
        <w:tc>
          <w:tcPr>
            <w:tcW w:w="0" w:type="auto"/>
            <w:hideMark/>
          </w:tcPr>
          <w:p w14:paraId="6E9DBC3C" w14:textId="77777777" w:rsidR="00736619" w:rsidRPr="00C73E7D" w:rsidRDefault="00736619" w:rsidP="00915A9F">
            <w:pPr>
              <w:pStyle w:val="NoSpacing"/>
              <w:rPr>
                <w:color w:val="000000"/>
                <w:sz w:val="18"/>
                <w:szCs w:val="18"/>
              </w:rPr>
            </w:pPr>
            <w:r w:rsidRPr="00C73E7D">
              <w:rPr>
                <w:color w:val="000000"/>
                <w:sz w:val="18"/>
                <w:szCs w:val="18"/>
              </w:rPr>
              <w:t>46.1</w:t>
            </w:r>
          </w:p>
        </w:tc>
        <w:tc>
          <w:tcPr>
            <w:tcW w:w="0" w:type="auto"/>
            <w:hideMark/>
          </w:tcPr>
          <w:p w14:paraId="344B480E" w14:textId="77777777" w:rsidR="00736619" w:rsidRPr="00C73E7D" w:rsidRDefault="00736619" w:rsidP="00915A9F">
            <w:pPr>
              <w:pStyle w:val="NoSpacing"/>
              <w:rPr>
                <w:color w:val="000000"/>
                <w:sz w:val="18"/>
                <w:szCs w:val="18"/>
              </w:rPr>
            </w:pPr>
            <w:r w:rsidRPr="00C73E7D">
              <w:rPr>
                <w:color w:val="000000"/>
                <w:sz w:val="18"/>
                <w:szCs w:val="18"/>
              </w:rPr>
              <w:t>60</w:t>
            </w:r>
          </w:p>
        </w:tc>
        <w:tc>
          <w:tcPr>
            <w:tcW w:w="0" w:type="auto"/>
            <w:hideMark/>
          </w:tcPr>
          <w:p w14:paraId="471802A6" w14:textId="77777777" w:rsidR="00736619" w:rsidRPr="00C73E7D" w:rsidRDefault="00736619" w:rsidP="00915A9F">
            <w:pPr>
              <w:pStyle w:val="NoSpacing"/>
              <w:rPr>
                <w:color w:val="000000"/>
                <w:sz w:val="18"/>
                <w:szCs w:val="18"/>
              </w:rPr>
            </w:pPr>
            <w:r w:rsidRPr="00C73E7D">
              <w:rPr>
                <w:color w:val="000000"/>
                <w:sz w:val="18"/>
                <w:szCs w:val="18"/>
              </w:rPr>
              <w:t>46.9</w:t>
            </w:r>
          </w:p>
        </w:tc>
        <w:tc>
          <w:tcPr>
            <w:tcW w:w="0" w:type="auto"/>
            <w:hideMark/>
          </w:tcPr>
          <w:p w14:paraId="7F2A71AB" w14:textId="77777777" w:rsidR="00736619" w:rsidRPr="00C73E7D" w:rsidRDefault="00736619" w:rsidP="00915A9F">
            <w:pPr>
              <w:pStyle w:val="NoSpacing"/>
              <w:rPr>
                <w:color w:val="000000"/>
                <w:sz w:val="18"/>
                <w:szCs w:val="18"/>
              </w:rPr>
            </w:pPr>
            <w:r w:rsidRPr="00C73E7D">
              <w:rPr>
                <w:color w:val="000000"/>
                <w:sz w:val="18"/>
                <w:szCs w:val="18"/>
              </w:rPr>
              <w:t>12</w:t>
            </w:r>
          </w:p>
        </w:tc>
        <w:tc>
          <w:tcPr>
            <w:tcW w:w="0" w:type="auto"/>
            <w:hideMark/>
          </w:tcPr>
          <w:p w14:paraId="1A57A562" w14:textId="77777777" w:rsidR="00736619" w:rsidRPr="00C73E7D" w:rsidRDefault="00736619" w:rsidP="00915A9F">
            <w:pPr>
              <w:pStyle w:val="NoSpacing"/>
              <w:rPr>
                <w:color w:val="000000"/>
                <w:sz w:val="18"/>
                <w:szCs w:val="18"/>
              </w:rPr>
            </w:pPr>
            <w:r w:rsidRPr="00C73E7D">
              <w:rPr>
                <w:color w:val="000000"/>
                <w:sz w:val="18"/>
                <w:szCs w:val="18"/>
              </w:rPr>
              <w:t>9.4</w:t>
            </w:r>
          </w:p>
        </w:tc>
      </w:tr>
      <w:tr w:rsidR="00736619" w:rsidRPr="00C73E7D" w14:paraId="4505598E" w14:textId="77777777" w:rsidTr="00736619">
        <w:tc>
          <w:tcPr>
            <w:tcW w:w="0" w:type="auto"/>
            <w:hideMark/>
          </w:tcPr>
          <w:p w14:paraId="0669F182" w14:textId="77777777" w:rsidR="00736619" w:rsidRPr="00C73E7D" w:rsidRDefault="00736619" w:rsidP="00915A9F">
            <w:pPr>
              <w:pStyle w:val="NoSpacing"/>
              <w:rPr>
                <w:color w:val="000000"/>
                <w:sz w:val="18"/>
                <w:szCs w:val="18"/>
              </w:rPr>
            </w:pPr>
            <w:r w:rsidRPr="00C73E7D">
              <w:rPr>
                <w:color w:val="000000"/>
                <w:sz w:val="18"/>
                <w:szCs w:val="18"/>
              </w:rPr>
              <w:t>Type of health policy activities</w:t>
            </w:r>
          </w:p>
        </w:tc>
        <w:tc>
          <w:tcPr>
            <w:tcW w:w="0" w:type="auto"/>
            <w:hideMark/>
          </w:tcPr>
          <w:p w14:paraId="2962AA9F" w14:textId="77777777" w:rsidR="00736619" w:rsidRPr="00C73E7D" w:rsidRDefault="00736619" w:rsidP="00915A9F">
            <w:pPr>
              <w:pStyle w:val="NoSpacing"/>
              <w:rPr>
                <w:color w:val="000000"/>
                <w:sz w:val="18"/>
                <w:szCs w:val="18"/>
              </w:rPr>
            </w:pPr>
          </w:p>
        </w:tc>
        <w:tc>
          <w:tcPr>
            <w:tcW w:w="0" w:type="auto"/>
            <w:hideMark/>
          </w:tcPr>
          <w:p w14:paraId="4938578C" w14:textId="77777777" w:rsidR="00736619" w:rsidRPr="00C73E7D" w:rsidRDefault="00736619" w:rsidP="00915A9F">
            <w:pPr>
              <w:pStyle w:val="NoSpacing"/>
              <w:rPr>
                <w:sz w:val="20"/>
                <w:szCs w:val="20"/>
              </w:rPr>
            </w:pPr>
          </w:p>
        </w:tc>
        <w:tc>
          <w:tcPr>
            <w:tcW w:w="0" w:type="auto"/>
            <w:hideMark/>
          </w:tcPr>
          <w:p w14:paraId="11838222" w14:textId="77777777" w:rsidR="00736619" w:rsidRPr="00C73E7D" w:rsidRDefault="00736619" w:rsidP="00915A9F">
            <w:pPr>
              <w:pStyle w:val="NoSpacing"/>
              <w:rPr>
                <w:sz w:val="20"/>
                <w:szCs w:val="20"/>
              </w:rPr>
            </w:pPr>
          </w:p>
        </w:tc>
        <w:tc>
          <w:tcPr>
            <w:tcW w:w="0" w:type="auto"/>
            <w:hideMark/>
          </w:tcPr>
          <w:p w14:paraId="7D2417E2" w14:textId="77777777" w:rsidR="00736619" w:rsidRPr="00C73E7D" w:rsidRDefault="00736619" w:rsidP="00915A9F">
            <w:pPr>
              <w:pStyle w:val="NoSpacing"/>
              <w:rPr>
                <w:sz w:val="20"/>
                <w:szCs w:val="20"/>
              </w:rPr>
            </w:pPr>
          </w:p>
        </w:tc>
        <w:tc>
          <w:tcPr>
            <w:tcW w:w="0" w:type="auto"/>
            <w:hideMark/>
          </w:tcPr>
          <w:p w14:paraId="6CB52884" w14:textId="77777777" w:rsidR="00736619" w:rsidRPr="00C73E7D" w:rsidRDefault="00736619" w:rsidP="00915A9F">
            <w:pPr>
              <w:pStyle w:val="NoSpacing"/>
              <w:rPr>
                <w:sz w:val="20"/>
                <w:szCs w:val="20"/>
              </w:rPr>
            </w:pPr>
          </w:p>
        </w:tc>
        <w:tc>
          <w:tcPr>
            <w:tcW w:w="0" w:type="auto"/>
            <w:hideMark/>
          </w:tcPr>
          <w:p w14:paraId="7CE0540C" w14:textId="77777777" w:rsidR="00736619" w:rsidRPr="00C73E7D" w:rsidRDefault="00736619" w:rsidP="00915A9F">
            <w:pPr>
              <w:pStyle w:val="NoSpacing"/>
              <w:rPr>
                <w:sz w:val="20"/>
                <w:szCs w:val="20"/>
              </w:rPr>
            </w:pPr>
          </w:p>
        </w:tc>
      </w:tr>
      <w:tr w:rsidR="00736619" w:rsidRPr="00C73E7D" w14:paraId="126C79DF" w14:textId="77777777" w:rsidTr="00736619">
        <w:tc>
          <w:tcPr>
            <w:tcW w:w="0" w:type="auto"/>
            <w:hideMark/>
          </w:tcPr>
          <w:p w14:paraId="79496689" w14:textId="77777777" w:rsidR="00736619" w:rsidRPr="00C73E7D" w:rsidRDefault="00736619" w:rsidP="00915A9F">
            <w:pPr>
              <w:pStyle w:val="NoSpacing"/>
              <w:rPr>
                <w:color w:val="000000"/>
                <w:sz w:val="18"/>
                <w:szCs w:val="18"/>
              </w:rPr>
            </w:pPr>
            <w:r w:rsidRPr="00C73E7D">
              <w:rPr>
                <w:color w:val="000000"/>
                <w:sz w:val="18"/>
                <w:szCs w:val="18"/>
              </w:rPr>
              <w:t>Analyze health policy issues</w:t>
            </w:r>
          </w:p>
        </w:tc>
        <w:tc>
          <w:tcPr>
            <w:tcW w:w="0" w:type="auto"/>
            <w:hideMark/>
          </w:tcPr>
          <w:p w14:paraId="0FEFA0B1" w14:textId="77777777" w:rsidR="00736619" w:rsidRPr="00C73E7D" w:rsidRDefault="00736619" w:rsidP="00915A9F">
            <w:pPr>
              <w:pStyle w:val="NoSpacing"/>
              <w:rPr>
                <w:color w:val="000000"/>
                <w:sz w:val="18"/>
                <w:szCs w:val="18"/>
              </w:rPr>
            </w:pPr>
            <w:r w:rsidRPr="00C73E7D">
              <w:rPr>
                <w:color w:val="000000"/>
                <w:sz w:val="18"/>
                <w:szCs w:val="18"/>
              </w:rPr>
              <w:t>61</w:t>
            </w:r>
          </w:p>
        </w:tc>
        <w:tc>
          <w:tcPr>
            <w:tcW w:w="0" w:type="auto"/>
            <w:hideMark/>
          </w:tcPr>
          <w:p w14:paraId="76F450C8" w14:textId="77777777" w:rsidR="00736619" w:rsidRPr="00C73E7D" w:rsidRDefault="00736619" w:rsidP="00915A9F">
            <w:pPr>
              <w:pStyle w:val="NoSpacing"/>
              <w:rPr>
                <w:color w:val="000000"/>
                <w:sz w:val="18"/>
                <w:szCs w:val="18"/>
              </w:rPr>
            </w:pPr>
            <w:r w:rsidRPr="00C73E7D">
              <w:rPr>
                <w:color w:val="000000"/>
                <w:sz w:val="18"/>
                <w:szCs w:val="18"/>
              </w:rPr>
              <w:t>22.3</w:t>
            </w:r>
          </w:p>
        </w:tc>
        <w:tc>
          <w:tcPr>
            <w:tcW w:w="0" w:type="auto"/>
            <w:hideMark/>
          </w:tcPr>
          <w:p w14:paraId="15CC087D" w14:textId="77777777" w:rsidR="00736619" w:rsidRPr="00C73E7D" w:rsidRDefault="00736619" w:rsidP="00915A9F">
            <w:pPr>
              <w:pStyle w:val="NoSpacing"/>
              <w:rPr>
                <w:color w:val="000000"/>
                <w:sz w:val="18"/>
                <w:szCs w:val="18"/>
              </w:rPr>
            </w:pPr>
            <w:r w:rsidRPr="00C73E7D">
              <w:rPr>
                <w:color w:val="000000"/>
                <w:sz w:val="18"/>
                <w:szCs w:val="18"/>
              </w:rPr>
              <w:t>49</w:t>
            </w:r>
          </w:p>
        </w:tc>
        <w:tc>
          <w:tcPr>
            <w:tcW w:w="0" w:type="auto"/>
            <w:hideMark/>
          </w:tcPr>
          <w:p w14:paraId="4F6E5264" w14:textId="77777777" w:rsidR="00736619" w:rsidRPr="00C73E7D" w:rsidRDefault="00736619" w:rsidP="00915A9F">
            <w:pPr>
              <w:pStyle w:val="NoSpacing"/>
              <w:rPr>
                <w:color w:val="000000"/>
                <w:sz w:val="18"/>
                <w:szCs w:val="18"/>
              </w:rPr>
            </w:pPr>
            <w:r w:rsidRPr="00C73E7D">
              <w:rPr>
                <w:color w:val="000000"/>
                <w:sz w:val="18"/>
                <w:szCs w:val="18"/>
              </w:rPr>
              <w:t>22.4</w:t>
            </w:r>
          </w:p>
        </w:tc>
        <w:tc>
          <w:tcPr>
            <w:tcW w:w="0" w:type="auto"/>
            <w:hideMark/>
          </w:tcPr>
          <w:p w14:paraId="565B9BE5" w14:textId="77777777" w:rsidR="00736619" w:rsidRPr="00C73E7D" w:rsidRDefault="00736619" w:rsidP="00915A9F">
            <w:pPr>
              <w:pStyle w:val="NoSpacing"/>
              <w:rPr>
                <w:color w:val="000000"/>
                <w:sz w:val="18"/>
                <w:szCs w:val="18"/>
              </w:rPr>
            </w:pPr>
            <w:r w:rsidRPr="00C73E7D">
              <w:rPr>
                <w:color w:val="000000"/>
                <w:sz w:val="18"/>
                <w:szCs w:val="18"/>
              </w:rPr>
              <w:t>14</w:t>
            </w:r>
          </w:p>
        </w:tc>
        <w:tc>
          <w:tcPr>
            <w:tcW w:w="0" w:type="auto"/>
            <w:hideMark/>
          </w:tcPr>
          <w:p w14:paraId="13788AAB" w14:textId="77777777" w:rsidR="00736619" w:rsidRPr="00C73E7D" w:rsidRDefault="00736619" w:rsidP="00915A9F">
            <w:pPr>
              <w:pStyle w:val="NoSpacing"/>
              <w:rPr>
                <w:color w:val="000000"/>
                <w:sz w:val="18"/>
                <w:szCs w:val="18"/>
              </w:rPr>
            </w:pPr>
            <w:r w:rsidRPr="00C73E7D">
              <w:rPr>
                <w:color w:val="000000"/>
                <w:sz w:val="18"/>
                <w:szCs w:val="18"/>
              </w:rPr>
              <w:t>23.3</w:t>
            </w:r>
          </w:p>
        </w:tc>
      </w:tr>
      <w:tr w:rsidR="00736619" w:rsidRPr="00C73E7D" w14:paraId="5D5FBBDD" w14:textId="77777777" w:rsidTr="00736619">
        <w:tc>
          <w:tcPr>
            <w:tcW w:w="0" w:type="auto"/>
            <w:hideMark/>
          </w:tcPr>
          <w:p w14:paraId="668C18E1" w14:textId="77777777" w:rsidR="00736619" w:rsidRPr="00C73E7D" w:rsidRDefault="00736619" w:rsidP="00915A9F">
            <w:pPr>
              <w:pStyle w:val="NoSpacing"/>
              <w:rPr>
                <w:color w:val="000000"/>
                <w:sz w:val="18"/>
                <w:szCs w:val="18"/>
              </w:rPr>
            </w:pPr>
            <w:r w:rsidRPr="00C73E7D">
              <w:rPr>
                <w:color w:val="000000"/>
                <w:sz w:val="18"/>
                <w:szCs w:val="18"/>
              </w:rPr>
              <w:t>Lead the development of health policy (any level)</w:t>
            </w:r>
          </w:p>
        </w:tc>
        <w:tc>
          <w:tcPr>
            <w:tcW w:w="0" w:type="auto"/>
            <w:hideMark/>
          </w:tcPr>
          <w:p w14:paraId="27A36AC6" w14:textId="77777777" w:rsidR="00736619" w:rsidRPr="00C73E7D" w:rsidRDefault="00736619" w:rsidP="00915A9F">
            <w:pPr>
              <w:pStyle w:val="NoSpacing"/>
              <w:rPr>
                <w:color w:val="000000"/>
                <w:sz w:val="18"/>
                <w:szCs w:val="18"/>
              </w:rPr>
            </w:pPr>
            <w:r w:rsidRPr="00C73E7D">
              <w:rPr>
                <w:color w:val="000000"/>
                <w:sz w:val="18"/>
                <w:szCs w:val="18"/>
              </w:rPr>
              <w:t>24</w:t>
            </w:r>
          </w:p>
        </w:tc>
        <w:tc>
          <w:tcPr>
            <w:tcW w:w="0" w:type="auto"/>
            <w:hideMark/>
          </w:tcPr>
          <w:p w14:paraId="4343EB25" w14:textId="77777777" w:rsidR="00736619" w:rsidRPr="00C73E7D" w:rsidRDefault="00736619" w:rsidP="00915A9F">
            <w:pPr>
              <w:pStyle w:val="NoSpacing"/>
              <w:rPr>
                <w:color w:val="000000"/>
                <w:sz w:val="18"/>
                <w:szCs w:val="18"/>
              </w:rPr>
            </w:pPr>
            <w:r w:rsidRPr="00C73E7D">
              <w:rPr>
                <w:color w:val="000000"/>
                <w:sz w:val="18"/>
                <w:szCs w:val="18"/>
              </w:rPr>
              <w:t>8.8</w:t>
            </w:r>
          </w:p>
        </w:tc>
        <w:tc>
          <w:tcPr>
            <w:tcW w:w="0" w:type="auto"/>
            <w:hideMark/>
          </w:tcPr>
          <w:p w14:paraId="1FA0D3A5" w14:textId="77777777" w:rsidR="00736619" w:rsidRPr="00C73E7D" w:rsidRDefault="00736619" w:rsidP="00915A9F">
            <w:pPr>
              <w:pStyle w:val="NoSpacing"/>
              <w:rPr>
                <w:color w:val="000000"/>
                <w:sz w:val="18"/>
                <w:szCs w:val="18"/>
              </w:rPr>
            </w:pPr>
            <w:r w:rsidRPr="00C73E7D">
              <w:rPr>
                <w:color w:val="000000"/>
                <w:sz w:val="18"/>
                <w:szCs w:val="18"/>
              </w:rPr>
              <w:t>20</w:t>
            </w:r>
          </w:p>
        </w:tc>
        <w:tc>
          <w:tcPr>
            <w:tcW w:w="0" w:type="auto"/>
            <w:hideMark/>
          </w:tcPr>
          <w:p w14:paraId="77E41550" w14:textId="77777777" w:rsidR="00736619" w:rsidRPr="00C73E7D" w:rsidRDefault="00736619" w:rsidP="00915A9F">
            <w:pPr>
              <w:pStyle w:val="NoSpacing"/>
              <w:rPr>
                <w:color w:val="000000"/>
                <w:sz w:val="18"/>
                <w:szCs w:val="18"/>
              </w:rPr>
            </w:pPr>
            <w:r w:rsidRPr="00C73E7D">
              <w:rPr>
                <w:color w:val="000000"/>
                <w:sz w:val="18"/>
                <w:szCs w:val="18"/>
              </w:rPr>
              <w:t>9.1</w:t>
            </w:r>
          </w:p>
        </w:tc>
        <w:tc>
          <w:tcPr>
            <w:tcW w:w="0" w:type="auto"/>
            <w:hideMark/>
          </w:tcPr>
          <w:p w14:paraId="04129CFF" w14:textId="77777777" w:rsidR="00736619" w:rsidRPr="00C73E7D" w:rsidRDefault="00736619" w:rsidP="00915A9F">
            <w:pPr>
              <w:pStyle w:val="NoSpacing"/>
              <w:rPr>
                <w:color w:val="000000"/>
                <w:sz w:val="18"/>
                <w:szCs w:val="18"/>
              </w:rPr>
            </w:pPr>
            <w:r w:rsidRPr="00C73E7D">
              <w:rPr>
                <w:color w:val="000000"/>
                <w:sz w:val="18"/>
                <w:szCs w:val="18"/>
              </w:rPr>
              <w:t>7</w:t>
            </w:r>
          </w:p>
        </w:tc>
        <w:tc>
          <w:tcPr>
            <w:tcW w:w="0" w:type="auto"/>
            <w:hideMark/>
          </w:tcPr>
          <w:p w14:paraId="591D8AB9" w14:textId="77777777" w:rsidR="00736619" w:rsidRPr="00C73E7D" w:rsidRDefault="00736619" w:rsidP="00915A9F">
            <w:pPr>
              <w:pStyle w:val="NoSpacing"/>
              <w:rPr>
                <w:color w:val="000000"/>
                <w:sz w:val="18"/>
                <w:szCs w:val="18"/>
              </w:rPr>
            </w:pPr>
            <w:r w:rsidRPr="00C73E7D">
              <w:rPr>
                <w:color w:val="000000"/>
                <w:sz w:val="18"/>
                <w:szCs w:val="18"/>
              </w:rPr>
              <w:t>11.7</w:t>
            </w:r>
          </w:p>
        </w:tc>
      </w:tr>
      <w:tr w:rsidR="00736619" w:rsidRPr="00C73E7D" w14:paraId="6478BA68" w14:textId="77777777" w:rsidTr="00736619">
        <w:tc>
          <w:tcPr>
            <w:tcW w:w="0" w:type="auto"/>
            <w:hideMark/>
          </w:tcPr>
          <w:p w14:paraId="3CB6F343" w14:textId="77777777" w:rsidR="00736619" w:rsidRPr="00C73E7D" w:rsidRDefault="00736619" w:rsidP="00915A9F">
            <w:pPr>
              <w:pStyle w:val="NoSpacing"/>
              <w:rPr>
                <w:color w:val="000000"/>
                <w:sz w:val="18"/>
                <w:szCs w:val="18"/>
              </w:rPr>
            </w:pPr>
            <w:r w:rsidRPr="00C73E7D">
              <w:rPr>
                <w:color w:val="000000"/>
                <w:sz w:val="18"/>
                <w:szCs w:val="18"/>
              </w:rPr>
              <w:t>Influence policymakers regarding nursing issues</w:t>
            </w:r>
          </w:p>
        </w:tc>
        <w:tc>
          <w:tcPr>
            <w:tcW w:w="0" w:type="auto"/>
            <w:hideMark/>
          </w:tcPr>
          <w:p w14:paraId="519F3358" w14:textId="77777777" w:rsidR="00736619" w:rsidRPr="00C73E7D" w:rsidRDefault="00736619" w:rsidP="00915A9F">
            <w:pPr>
              <w:pStyle w:val="NoSpacing"/>
              <w:rPr>
                <w:color w:val="000000"/>
                <w:sz w:val="18"/>
                <w:szCs w:val="18"/>
              </w:rPr>
            </w:pPr>
            <w:r w:rsidRPr="00C73E7D">
              <w:rPr>
                <w:color w:val="000000"/>
                <w:sz w:val="18"/>
                <w:szCs w:val="18"/>
              </w:rPr>
              <w:t>31</w:t>
            </w:r>
          </w:p>
        </w:tc>
        <w:tc>
          <w:tcPr>
            <w:tcW w:w="0" w:type="auto"/>
            <w:hideMark/>
          </w:tcPr>
          <w:p w14:paraId="6381A749" w14:textId="77777777" w:rsidR="00736619" w:rsidRPr="00C73E7D" w:rsidRDefault="00736619" w:rsidP="00915A9F">
            <w:pPr>
              <w:pStyle w:val="NoSpacing"/>
              <w:rPr>
                <w:color w:val="000000"/>
                <w:sz w:val="18"/>
                <w:szCs w:val="18"/>
              </w:rPr>
            </w:pPr>
            <w:r w:rsidRPr="00C73E7D">
              <w:rPr>
                <w:color w:val="000000"/>
                <w:sz w:val="18"/>
                <w:szCs w:val="18"/>
              </w:rPr>
              <w:t>11.3</w:t>
            </w:r>
          </w:p>
        </w:tc>
        <w:tc>
          <w:tcPr>
            <w:tcW w:w="0" w:type="auto"/>
            <w:hideMark/>
          </w:tcPr>
          <w:p w14:paraId="7FFB8012" w14:textId="77777777" w:rsidR="00736619" w:rsidRPr="00C73E7D" w:rsidRDefault="00736619" w:rsidP="00915A9F">
            <w:pPr>
              <w:pStyle w:val="NoSpacing"/>
              <w:rPr>
                <w:color w:val="000000"/>
                <w:sz w:val="18"/>
                <w:szCs w:val="18"/>
              </w:rPr>
            </w:pPr>
            <w:r w:rsidRPr="00C73E7D">
              <w:rPr>
                <w:color w:val="000000"/>
                <w:sz w:val="18"/>
                <w:szCs w:val="18"/>
              </w:rPr>
              <w:t>23</w:t>
            </w:r>
          </w:p>
        </w:tc>
        <w:tc>
          <w:tcPr>
            <w:tcW w:w="0" w:type="auto"/>
            <w:hideMark/>
          </w:tcPr>
          <w:p w14:paraId="6E6D2999" w14:textId="77777777" w:rsidR="00736619" w:rsidRPr="00C73E7D" w:rsidRDefault="00736619" w:rsidP="00915A9F">
            <w:pPr>
              <w:pStyle w:val="NoSpacing"/>
              <w:rPr>
                <w:color w:val="000000"/>
                <w:sz w:val="18"/>
                <w:szCs w:val="18"/>
              </w:rPr>
            </w:pPr>
            <w:r w:rsidRPr="00C73E7D">
              <w:rPr>
                <w:color w:val="000000"/>
                <w:sz w:val="18"/>
                <w:szCs w:val="18"/>
              </w:rPr>
              <w:t>10.5</w:t>
            </w:r>
          </w:p>
        </w:tc>
        <w:tc>
          <w:tcPr>
            <w:tcW w:w="0" w:type="auto"/>
            <w:hideMark/>
          </w:tcPr>
          <w:p w14:paraId="6CE1C48C" w14:textId="77777777" w:rsidR="00736619" w:rsidRPr="00C73E7D" w:rsidRDefault="00736619" w:rsidP="00915A9F">
            <w:pPr>
              <w:pStyle w:val="NoSpacing"/>
              <w:rPr>
                <w:color w:val="000000"/>
                <w:sz w:val="18"/>
                <w:szCs w:val="18"/>
              </w:rPr>
            </w:pPr>
            <w:r w:rsidRPr="00C73E7D">
              <w:rPr>
                <w:color w:val="000000"/>
                <w:sz w:val="18"/>
                <w:szCs w:val="18"/>
              </w:rPr>
              <w:t>8</w:t>
            </w:r>
          </w:p>
        </w:tc>
        <w:tc>
          <w:tcPr>
            <w:tcW w:w="0" w:type="auto"/>
            <w:hideMark/>
          </w:tcPr>
          <w:p w14:paraId="2C3E1357" w14:textId="77777777" w:rsidR="00736619" w:rsidRPr="00C73E7D" w:rsidRDefault="00736619" w:rsidP="00915A9F">
            <w:pPr>
              <w:pStyle w:val="NoSpacing"/>
              <w:rPr>
                <w:color w:val="000000"/>
                <w:sz w:val="18"/>
                <w:szCs w:val="18"/>
              </w:rPr>
            </w:pPr>
            <w:r w:rsidRPr="00C73E7D">
              <w:rPr>
                <w:color w:val="000000"/>
                <w:sz w:val="18"/>
                <w:szCs w:val="18"/>
              </w:rPr>
              <w:t>13.3</w:t>
            </w:r>
          </w:p>
        </w:tc>
      </w:tr>
      <w:tr w:rsidR="00736619" w:rsidRPr="00C73E7D" w14:paraId="449AAFE7" w14:textId="77777777" w:rsidTr="00736619">
        <w:tc>
          <w:tcPr>
            <w:tcW w:w="0" w:type="auto"/>
            <w:hideMark/>
          </w:tcPr>
          <w:p w14:paraId="069424C4" w14:textId="77777777" w:rsidR="00736619" w:rsidRPr="00C73E7D" w:rsidRDefault="00736619" w:rsidP="00915A9F">
            <w:pPr>
              <w:pStyle w:val="NoSpacing"/>
              <w:rPr>
                <w:color w:val="000000"/>
                <w:sz w:val="18"/>
                <w:szCs w:val="18"/>
              </w:rPr>
            </w:pPr>
            <w:r w:rsidRPr="00C73E7D">
              <w:rPr>
                <w:color w:val="000000"/>
                <w:sz w:val="18"/>
                <w:szCs w:val="18"/>
              </w:rPr>
              <w:t>Educate others regarding nursing issues</w:t>
            </w:r>
          </w:p>
        </w:tc>
        <w:tc>
          <w:tcPr>
            <w:tcW w:w="0" w:type="auto"/>
            <w:hideMark/>
          </w:tcPr>
          <w:p w14:paraId="7C5325C7" w14:textId="77777777" w:rsidR="00736619" w:rsidRPr="00C73E7D" w:rsidRDefault="00736619" w:rsidP="00915A9F">
            <w:pPr>
              <w:pStyle w:val="NoSpacing"/>
              <w:rPr>
                <w:color w:val="000000"/>
                <w:sz w:val="18"/>
                <w:szCs w:val="18"/>
              </w:rPr>
            </w:pPr>
            <w:r w:rsidRPr="00C73E7D">
              <w:rPr>
                <w:color w:val="000000"/>
                <w:sz w:val="18"/>
                <w:szCs w:val="18"/>
              </w:rPr>
              <w:t>40</w:t>
            </w:r>
          </w:p>
        </w:tc>
        <w:tc>
          <w:tcPr>
            <w:tcW w:w="0" w:type="auto"/>
            <w:hideMark/>
          </w:tcPr>
          <w:p w14:paraId="1CDD3470" w14:textId="77777777" w:rsidR="00736619" w:rsidRPr="00C73E7D" w:rsidRDefault="00736619" w:rsidP="00915A9F">
            <w:pPr>
              <w:pStyle w:val="NoSpacing"/>
              <w:rPr>
                <w:color w:val="000000"/>
                <w:sz w:val="18"/>
                <w:szCs w:val="18"/>
              </w:rPr>
            </w:pPr>
            <w:r w:rsidRPr="00C73E7D">
              <w:rPr>
                <w:color w:val="000000"/>
                <w:sz w:val="18"/>
                <w:szCs w:val="18"/>
              </w:rPr>
              <w:t>14.6</w:t>
            </w:r>
          </w:p>
        </w:tc>
        <w:tc>
          <w:tcPr>
            <w:tcW w:w="0" w:type="auto"/>
            <w:hideMark/>
          </w:tcPr>
          <w:p w14:paraId="6D316AF3" w14:textId="77777777" w:rsidR="00736619" w:rsidRPr="00C73E7D" w:rsidRDefault="00736619" w:rsidP="00915A9F">
            <w:pPr>
              <w:pStyle w:val="NoSpacing"/>
              <w:rPr>
                <w:color w:val="000000"/>
                <w:sz w:val="18"/>
                <w:szCs w:val="18"/>
              </w:rPr>
            </w:pPr>
            <w:r w:rsidRPr="00C73E7D">
              <w:rPr>
                <w:color w:val="000000"/>
                <w:sz w:val="18"/>
                <w:szCs w:val="18"/>
              </w:rPr>
              <w:t>34</w:t>
            </w:r>
          </w:p>
        </w:tc>
        <w:tc>
          <w:tcPr>
            <w:tcW w:w="0" w:type="auto"/>
            <w:hideMark/>
          </w:tcPr>
          <w:p w14:paraId="1BE0EA4F" w14:textId="77777777" w:rsidR="00736619" w:rsidRPr="00C73E7D" w:rsidRDefault="00736619" w:rsidP="00915A9F">
            <w:pPr>
              <w:pStyle w:val="NoSpacing"/>
              <w:rPr>
                <w:color w:val="000000"/>
                <w:sz w:val="18"/>
                <w:szCs w:val="18"/>
              </w:rPr>
            </w:pPr>
            <w:r w:rsidRPr="00C73E7D">
              <w:rPr>
                <w:color w:val="000000"/>
                <w:sz w:val="18"/>
                <w:szCs w:val="18"/>
              </w:rPr>
              <w:t>15.5</w:t>
            </w:r>
          </w:p>
        </w:tc>
        <w:tc>
          <w:tcPr>
            <w:tcW w:w="0" w:type="auto"/>
            <w:hideMark/>
          </w:tcPr>
          <w:p w14:paraId="1E89A042" w14:textId="77777777" w:rsidR="00736619" w:rsidRPr="00C73E7D" w:rsidRDefault="00736619" w:rsidP="00915A9F">
            <w:pPr>
              <w:pStyle w:val="NoSpacing"/>
              <w:rPr>
                <w:color w:val="000000"/>
                <w:sz w:val="18"/>
                <w:szCs w:val="18"/>
              </w:rPr>
            </w:pPr>
            <w:r w:rsidRPr="00C73E7D">
              <w:rPr>
                <w:color w:val="000000"/>
                <w:sz w:val="18"/>
                <w:szCs w:val="18"/>
              </w:rPr>
              <w:t>8</w:t>
            </w:r>
          </w:p>
        </w:tc>
        <w:tc>
          <w:tcPr>
            <w:tcW w:w="0" w:type="auto"/>
            <w:hideMark/>
          </w:tcPr>
          <w:p w14:paraId="20D5C95D" w14:textId="77777777" w:rsidR="00736619" w:rsidRPr="00C73E7D" w:rsidRDefault="00736619" w:rsidP="00915A9F">
            <w:pPr>
              <w:pStyle w:val="NoSpacing"/>
              <w:rPr>
                <w:color w:val="000000"/>
                <w:sz w:val="18"/>
                <w:szCs w:val="18"/>
              </w:rPr>
            </w:pPr>
            <w:r w:rsidRPr="00C73E7D">
              <w:rPr>
                <w:color w:val="000000"/>
                <w:sz w:val="18"/>
                <w:szCs w:val="18"/>
              </w:rPr>
              <w:t>13.3</w:t>
            </w:r>
          </w:p>
        </w:tc>
      </w:tr>
      <w:tr w:rsidR="00736619" w:rsidRPr="00C73E7D" w14:paraId="19425ABD" w14:textId="77777777" w:rsidTr="00736619">
        <w:tc>
          <w:tcPr>
            <w:tcW w:w="0" w:type="auto"/>
            <w:hideMark/>
          </w:tcPr>
          <w:p w14:paraId="7D5B16D1" w14:textId="77777777" w:rsidR="00736619" w:rsidRPr="00C73E7D" w:rsidRDefault="00736619" w:rsidP="00915A9F">
            <w:pPr>
              <w:pStyle w:val="NoSpacing"/>
              <w:rPr>
                <w:color w:val="000000"/>
                <w:sz w:val="18"/>
                <w:szCs w:val="18"/>
              </w:rPr>
            </w:pPr>
            <w:r w:rsidRPr="00C73E7D">
              <w:rPr>
                <w:color w:val="000000"/>
                <w:sz w:val="18"/>
                <w:szCs w:val="18"/>
              </w:rPr>
              <w:t>Advocate for the nursing profession</w:t>
            </w:r>
          </w:p>
        </w:tc>
        <w:tc>
          <w:tcPr>
            <w:tcW w:w="0" w:type="auto"/>
            <w:hideMark/>
          </w:tcPr>
          <w:p w14:paraId="2A875154" w14:textId="77777777" w:rsidR="00736619" w:rsidRPr="00C73E7D" w:rsidRDefault="00736619" w:rsidP="00915A9F">
            <w:pPr>
              <w:pStyle w:val="NoSpacing"/>
              <w:rPr>
                <w:color w:val="000000"/>
                <w:sz w:val="18"/>
                <w:szCs w:val="18"/>
              </w:rPr>
            </w:pPr>
            <w:r w:rsidRPr="00C73E7D">
              <w:rPr>
                <w:color w:val="000000"/>
                <w:sz w:val="18"/>
                <w:szCs w:val="18"/>
              </w:rPr>
              <w:t>49</w:t>
            </w:r>
          </w:p>
        </w:tc>
        <w:tc>
          <w:tcPr>
            <w:tcW w:w="0" w:type="auto"/>
            <w:hideMark/>
          </w:tcPr>
          <w:p w14:paraId="2447D1AB" w14:textId="77777777" w:rsidR="00736619" w:rsidRPr="00C73E7D" w:rsidRDefault="00736619" w:rsidP="00915A9F">
            <w:pPr>
              <w:pStyle w:val="NoSpacing"/>
              <w:rPr>
                <w:color w:val="000000"/>
                <w:sz w:val="18"/>
                <w:szCs w:val="18"/>
              </w:rPr>
            </w:pPr>
            <w:r w:rsidRPr="00C73E7D">
              <w:rPr>
                <w:color w:val="000000"/>
                <w:sz w:val="18"/>
                <w:szCs w:val="18"/>
              </w:rPr>
              <w:t>17.9</w:t>
            </w:r>
          </w:p>
        </w:tc>
        <w:tc>
          <w:tcPr>
            <w:tcW w:w="0" w:type="auto"/>
            <w:hideMark/>
          </w:tcPr>
          <w:p w14:paraId="724351E7" w14:textId="77777777" w:rsidR="00736619" w:rsidRPr="00C73E7D" w:rsidRDefault="00736619" w:rsidP="00915A9F">
            <w:pPr>
              <w:pStyle w:val="NoSpacing"/>
              <w:rPr>
                <w:color w:val="000000"/>
                <w:sz w:val="18"/>
                <w:szCs w:val="18"/>
              </w:rPr>
            </w:pPr>
            <w:r w:rsidRPr="00C73E7D">
              <w:rPr>
                <w:color w:val="000000"/>
                <w:sz w:val="18"/>
                <w:szCs w:val="18"/>
              </w:rPr>
              <w:t>38</w:t>
            </w:r>
          </w:p>
        </w:tc>
        <w:tc>
          <w:tcPr>
            <w:tcW w:w="0" w:type="auto"/>
            <w:hideMark/>
          </w:tcPr>
          <w:p w14:paraId="1BAA0162" w14:textId="77777777" w:rsidR="00736619" w:rsidRPr="00C73E7D" w:rsidRDefault="00736619" w:rsidP="00915A9F">
            <w:pPr>
              <w:pStyle w:val="NoSpacing"/>
              <w:rPr>
                <w:color w:val="000000"/>
                <w:sz w:val="18"/>
                <w:szCs w:val="18"/>
              </w:rPr>
            </w:pPr>
            <w:r w:rsidRPr="00C73E7D">
              <w:rPr>
                <w:color w:val="000000"/>
                <w:sz w:val="18"/>
                <w:szCs w:val="18"/>
              </w:rPr>
              <w:t>17.4</w:t>
            </w:r>
          </w:p>
        </w:tc>
        <w:tc>
          <w:tcPr>
            <w:tcW w:w="0" w:type="auto"/>
            <w:hideMark/>
          </w:tcPr>
          <w:p w14:paraId="6403C6D2" w14:textId="77777777" w:rsidR="00736619" w:rsidRPr="00C73E7D" w:rsidRDefault="00736619" w:rsidP="00915A9F">
            <w:pPr>
              <w:pStyle w:val="NoSpacing"/>
              <w:rPr>
                <w:color w:val="000000"/>
                <w:sz w:val="18"/>
                <w:szCs w:val="18"/>
              </w:rPr>
            </w:pPr>
            <w:r w:rsidRPr="00C73E7D">
              <w:rPr>
                <w:color w:val="000000"/>
                <w:sz w:val="18"/>
                <w:szCs w:val="18"/>
              </w:rPr>
              <w:t>12</w:t>
            </w:r>
          </w:p>
        </w:tc>
        <w:tc>
          <w:tcPr>
            <w:tcW w:w="0" w:type="auto"/>
            <w:hideMark/>
          </w:tcPr>
          <w:p w14:paraId="7FEF454B" w14:textId="77777777" w:rsidR="00736619" w:rsidRPr="00C73E7D" w:rsidRDefault="00736619" w:rsidP="00915A9F">
            <w:pPr>
              <w:pStyle w:val="NoSpacing"/>
              <w:rPr>
                <w:color w:val="000000"/>
                <w:sz w:val="18"/>
                <w:szCs w:val="18"/>
              </w:rPr>
            </w:pPr>
            <w:r w:rsidRPr="00C73E7D">
              <w:rPr>
                <w:color w:val="000000"/>
                <w:sz w:val="18"/>
                <w:szCs w:val="18"/>
              </w:rPr>
              <w:t>20.0</w:t>
            </w:r>
          </w:p>
        </w:tc>
      </w:tr>
      <w:tr w:rsidR="00736619" w:rsidRPr="00C73E7D" w14:paraId="4AC37068" w14:textId="77777777" w:rsidTr="00736619">
        <w:tc>
          <w:tcPr>
            <w:tcW w:w="0" w:type="auto"/>
            <w:hideMark/>
          </w:tcPr>
          <w:p w14:paraId="219FCE51" w14:textId="77777777" w:rsidR="00736619" w:rsidRPr="00C73E7D" w:rsidRDefault="00736619" w:rsidP="00915A9F">
            <w:pPr>
              <w:pStyle w:val="NoSpacing"/>
              <w:rPr>
                <w:color w:val="000000"/>
                <w:sz w:val="18"/>
                <w:szCs w:val="18"/>
              </w:rPr>
            </w:pPr>
            <w:r w:rsidRPr="00C73E7D">
              <w:rPr>
                <w:color w:val="000000"/>
                <w:sz w:val="18"/>
                <w:szCs w:val="18"/>
              </w:rPr>
              <w:t>Develop, evaluate, and lead health policy initiatives</w:t>
            </w:r>
          </w:p>
        </w:tc>
        <w:tc>
          <w:tcPr>
            <w:tcW w:w="0" w:type="auto"/>
            <w:hideMark/>
          </w:tcPr>
          <w:p w14:paraId="0ABAC21C" w14:textId="77777777" w:rsidR="00736619" w:rsidRPr="00C73E7D" w:rsidRDefault="00736619" w:rsidP="00915A9F">
            <w:pPr>
              <w:pStyle w:val="NoSpacing"/>
              <w:rPr>
                <w:color w:val="000000"/>
                <w:sz w:val="18"/>
                <w:szCs w:val="18"/>
              </w:rPr>
            </w:pPr>
            <w:r w:rsidRPr="00C73E7D">
              <w:rPr>
                <w:color w:val="000000"/>
                <w:sz w:val="18"/>
                <w:szCs w:val="18"/>
              </w:rPr>
              <w:t>30</w:t>
            </w:r>
          </w:p>
        </w:tc>
        <w:tc>
          <w:tcPr>
            <w:tcW w:w="0" w:type="auto"/>
            <w:hideMark/>
          </w:tcPr>
          <w:p w14:paraId="39B566FE" w14:textId="77777777" w:rsidR="00736619" w:rsidRPr="00C73E7D" w:rsidRDefault="00736619" w:rsidP="00915A9F">
            <w:pPr>
              <w:pStyle w:val="NoSpacing"/>
              <w:rPr>
                <w:color w:val="000000"/>
                <w:sz w:val="18"/>
                <w:szCs w:val="18"/>
              </w:rPr>
            </w:pPr>
            <w:r w:rsidRPr="00C73E7D">
              <w:rPr>
                <w:color w:val="000000"/>
                <w:sz w:val="18"/>
                <w:szCs w:val="18"/>
              </w:rPr>
              <w:t>11.0</w:t>
            </w:r>
          </w:p>
        </w:tc>
        <w:tc>
          <w:tcPr>
            <w:tcW w:w="0" w:type="auto"/>
            <w:hideMark/>
          </w:tcPr>
          <w:p w14:paraId="7F3CE84D" w14:textId="77777777" w:rsidR="00736619" w:rsidRPr="00C73E7D" w:rsidRDefault="00736619" w:rsidP="00915A9F">
            <w:pPr>
              <w:pStyle w:val="NoSpacing"/>
              <w:rPr>
                <w:color w:val="000000"/>
                <w:sz w:val="18"/>
                <w:szCs w:val="18"/>
              </w:rPr>
            </w:pPr>
            <w:r w:rsidRPr="00C73E7D">
              <w:rPr>
                <w:color w:val="000000"/>
                <w:sz w:val="18"/>
                <w:szCs w:val="18"/>
              </w:rPr>
              <w:t>26</w:t>
            </w:r>
          </w:p>
        </w:tc>
        <w:tc>
          <w:tcPr>
            <w:tcW w:w="0" w:type="auto"/>
            <w:hideMark/>
          </w:tcPr>
          <w:p w14:paraId="5EA8BD7E" w14:textId="77777777" w:rsidR="00736619" w:rsidRPr="00C73E7D" w:rsidRDefault="00736619" w:rsidP="00915A9F">
            <w:pPr>
              <w:pStyle w:val="NoSpacing"/>
              <w:rPr>
                <w:color w:val="000000"/>
                <w:sz w:val="18"/>
                <w:szCs w:val="18"/>
              </w:rPr>
            </w:pPr>
            <w:r w:rsidRPr="00C73E7D">
              <w:rPr>
                <w:color w:val="000000"/>
                <w:sz w:val="18"/>
                <w:szCs w:val="18"/>
              </w:rPr>
              <w:t>11.9</w:t>
            </w:r>
          </w:p>
        </w:tc>
        <w:tc>
          <w:tcPr>
            <w:tcW w:w="0" w:type="auto"/>
            <w:hideMark/>
          </w:tcPr>
          <w:p w14:paraId="0A7A7DCB" w14:textId="77777777" w:rsidR="00736619" w:rsidRPr="00C73E7D" w:rsidRDefault="00736619" w:rsidP="00915A9F">
            <w:pPr>
              <w:pStyle w:val="NoSpacing"/>
              <w:rPr>
                <w:color w:val="000000"/>
                <w:sz w:val="18"/>
                <w:szCs w:val="18"/>
              </w:rPr>
            </w:pPr>
            <w:r w:rsidRPr="00C73E7D">
              <w:rPr>
                <w:color w:val="000000"/>
                <w:sz w:val="18"/>
                <w:szCs w:val="18"/>
              </w:rPr>
              <w:t>4</w:t>
            </w:r>
          </w:p>
        </w:tc>
        <w:tc>
          <w:tcPr>
            <w:tcW w:w="0" w:type="auto"/>
            <w:hideMark/>
          </w:tcPr>
          <w:p w14:paraId="18388142" w14:textId="77777777" w:rsidR="00736619" w:rsidRPr="00C73E7D" w:rsidRDefault="00736619" w:rsidP="00915A9F">
            <w:pPr>
              <w:pStyle w:val="NoSpacing"/>
              <w:rPr>
                <w:color w:val="000000"/>
                <w:sz w:val="18"/>
                <w:szCs w:val="18"/>
              </w:rPr>
            </w:pPr>
            <w:r w:rsidRPr="00C73E7D">
              <w:rPr>
                <w:color w:val="000000"/>
                <w:sz w:val="18"/>
                <w:szCs w:val="18"/>
              </w:rPr>
              <w:t>6.7</w:t>
            </w:r>
          </w:p>
        </w:tc>
      </w:tr>
      <w:tr w:rsidR="00736619" w:rsidRPr="00C73E7D" w14:paraId="41F7482A" w14:textId="77777777" w:rsidTr="00736619">
        <w:tc>
          <w:tcPr>
            <w:tcW w:w="0" w:type="auto"/>
            <w:hideMark/>
          </w:tcPr>
          <w:p w14:paraId="46BC1ECC" w14:textId="77777777" w:rsidR="00736619" w:rsidRPr="00C73E7D" w:rsidRDefault="00736619" w:rsidP="00915A9F">
            <w:pPr>
              <w:pStyle w:val="NoSpacing"/>
              <w:rPr>
                <w:color w:val="000000"/>
                <w:sz w:val="18"/>
                <w:szCs w:val="18"/>
              </w:rPr>
            </w:pPr>
            <w:r w:rsidRPr="00C73E7D">
              <w:rPr>
                <w:color w:val="000000"/>
                <w:sz w:val="18"/>
                <w:szCs w:val="18"/>
              </w:rPr>
              <w:t>Advocate for social justice, equity, and ethical policies</w:t>
            </w:r>
          </w:p>
        </w:tc>
        <w:tc>
          <w:tcPr>
            <w:tcW w:w="0" w:type="auto"/>
            <w:hideMark/>
          </w:tcPr>
          <w:p w14:paraId="39F649DB" w14:textId="77777777" w:rsidR="00736619" w:rsidRPr="00C73E7D" w:rsidRDefault="00736619" w:rsidP="00915A9F">
            <w:pPr>
              <w:pStyle w:val="NoSpacing"/>
              <w:rPr>
                <w:color w:val="000000"/>
                <w:sz w:val="18"/>
                <w:szCs w:val="18"/>
              </w:rPr>
            </w:pPr>
            <w:r w:rsidRPr="00C73E7D">
              <w:rPr>
                <w:color w:val="000000"/>
                <w:sz w:val="18"/>
                <w:szCs w:val="18"/>
              </w:rPr>
              <w:t>39</w:t>
            </w:r>
          </w:p>
        </w:tc>
        <w:tc>
          <w:tcPr>
            <w:tcW w:w="0" w:type="auto"/>
            <w:hideMark/>
          </w:tcPr>
          <w:p w14:paraId="387C36EB" w14:textId="77777777" w:rsidR="00736619" w:rsidRPr="00C73E7D" w:rsidRDefault="00736619" w:rsidP="00915A9F">
            <w:pPr>
              <w:pStyle w:val="NoSpacing"/>
              <w:rPr>
                <w:color w:val="000000"/>
                <w:sz w:val="18"/>
                <w:szCs w:val="18"/>
              </w:rPr>
            </w:pPr>
            <w:r w:rsidRPr="00C73E7D">
              <w:rPr>
                <w:color w:val="000000"/>
                <w:sz w:val="18"/>
                <w:szCs w:val="18"/>
              </w:rPr>
              <w:t>14.2</w:t>
            </w:r>
          </w:p>
        </w:tc>
        <w:tc>
          <w:tcPr>
            <w:tcW w:w="0" w:type="auto"/>
            <w:hideMark/>
          </w:tcPr>
          <w:p w14:paraId="10539F7A" w14:textId="77777777" w:rsidR="00736619" w:rsidRPr="00C73E7D" w:rsidRDefault="00736619" w:rsidP="00915A9F">
            <w:pPr>
              <w:pStyle w:val="NoSpacing"/>
              <w:rPr>
                <w:color w:val="000000"/>
                <w:sz w:val="18"/>
                <w:szCs w:val="18"/>
              </w:rPr>
            </w:pPr>
            <w:r w:rsidRPr="00C73E7D">
              <w:rPr>
                <w:color w:val="000000"/>
                <w:sz w:val="18"/>
                <w:szCs w:val="18"/>
              </w:rPr>
              <w:t>29</w:t>
            </w:r>
          </w:p>
        </w:tc>
        <w:tc>
          <w:tcPr>
            <w:tcW w:w="0" w:type="auto"/>
            <w:hideMark/>
          </w:tcPr>
          <w:p w14:paraId="7319D772" w14:textId="77777777" w:rsidR="00736619" w:rsidRPr="00C73E7D" w:rsidRDefault="00736619" w:rsidP="00915A9F">
            <w:pPr>
              <w:pStyle w:val="NoSpacing"/>
              <w:rPr>
                <w:color w:val="000000"/>
                <w:sz w:val="18"/>
                <w:szCs w:val="18"/>
              </w:rPr>
            </w:pPr>
            <w:r w:rsidRPr="00C73E7D">
              <w:rPr>
                <w:color w:val="000000"/>
                <w:sz w:val="18"/>
                <w:szCs w:val="18"/>
              </w:rPr>
              <w:t>13.2</w:t>
            </w:r>
          </w:p>
        </w:tc>
        <w:tc>
          <w:tcPr>
            <w:tcW w:w="0" w:type="auto"/>
            <w:hideMark/>
          </w:tcPr>
          <w:p w14:paraId="416B1F3C" w14:textId="77777777" w:rsidR="00736619" w:rsidRPr="00C73E7D" w:rsidRDefault="00736619" w:rsidP="00915A9F">
            <w:pPr>
              <w:pStyle w:val="NoSpacing"/>
              <w:rPr>
                <w:color w:val="000000"/>
                <w:sz w:val="18"/>
                <w:szCs w:val="18"/>
              </w:rPr>
            </w:pPr>
            <w:r w:rsidRPr="00C73E7D">
              <w:rPr>
                <w:color w:val="000000"/>
                <w:sz w:val="18"/>
                <w:szCs w:val="18"/>
              </w:rPr>
              <w:t>7</w:t>
            </w:r>
          </w:p>
        </w:tc>
        <w:tc>
          <w:tcPr>
            <w:tcW w:w="0" w:type="auto"/>
            <w:hideMark/>
          </w:tcPr>
          <w:p w14:paraId="459A0D26" w14:textId="77777777" w:rsidR="00736619" w:rsidRPr="00C73E7D" w:rsidRDefault="00736619" w:rsidP="00915A9F">
            <w:pPr>
              <w:pStyle w:val="NoSpacing"/>
              <w:rPr>
                <w:color w:val="000000"/>
                <w:sz w:val="18"/>
                <w:szCs w:val="18"/>
              </w:rPr>
            </w:pPr>
            <w:r w:rsidRPr="00C73E7D">
              <w:rPr>
                <w:color w:val="000000"/>
                <w:sz w:val="18"/>
                <w:szCs w:val="18"/>
              </w:rPr>
              <w:t>11.7</w:t>
            </w:r>
          </w:p>
        </w:tc>
      </w:tr>
      <w:tr w:rsidR="00736619" w:rsidRPr="00C73E7D" w14:paraId="5DE358B1" w14:textId="77777777" w:rsidTr="00736619">
        <w:tc>
          <w:tcPr>
            <w:tcW w:w="0" w:type="auto"/>
            <w:hideMark/>
          </w:tcPr>
          <w:p w14:paraId="46985989" w14:textId="77777777" w:rsidR="00736619" w:rsidRPr="00C73E7D" w:rsidRDefault="00736619" w:rsidP="00915A9F">
            <w:pPr>
              <w:pStyle w:val="NoSpacing"/>
              <w:rPr>
                <w:color w:val="000000"/>
                <w:sz w:val="18"/>
                <w:szCs w:val="18"/>
              </w:rPr>
            </w:pPr>
            <w:r w:rsidRPr="00C73E7D">
              <w:rPr>
                <w:color w:val="000000"/>
                <w:sz w:val="18"/>
                <w:szCs w:val="18"/>
              </w:rPr>
              <w:t>Student policy engagement</w:t>
            </w:r>
          </w:p>
        </w:tc>
        <w:tc>
          <w:tcPr>
            <w:tcW w:w="0" w:type="auto"/>
            <w:hideMark/>
          </w:tcPr>
          <w:p w14:paraId="5DAFB449" w14:textId="77777777" w:rsidR="00736619" w:rsidRPr="00C73E7D" w:rsidRDefault="00736619" w:rsidP="00915A9F">
            <w:pPr>
              <w:pStyle w:val="NoSpacing"/>
              <w:rPr>
                <w:color w:val="000000"/>
                <w:sz w:val="18"/>
                <w:szCs w:val="18"/>
              </w:rPr>
            </w:pPr>
          </w:p>
        </w:tc>
        <w:tc>
          <w:tcPr>
            <w:tcW w:w="0" w:type="auto"/>
            <w:hideMark/>
          </w:tcPr>
          <w:p w14:paraId="38A4345B" w14:textId="77777777" w:rsidR="00736619" w:rsidRPr="00C73E7D" w:rsidRDefault="00736619" w:rsidP="00915A9F">
            <w:pPr>
              <w:pStyle w:val="NoSpacing"/>
              <w:rPr>
                <w:sz w:val="20"/>
                <w:szCs w:val="20"/>
              </w:rPr>
            </w:pPr>
          </w:p>
        </w:tc>
        <w:tc>
          <w:tcPr>
            <w:tcW w:w="0" w:type="auto"/>
            <w:hideMark/>
          </w:tcPr>
          <w:p w14:paraId="0E7946C0" w14:textId="77777777" w:rsidR="00736619" w:rsidRPr="00C73E7D" w:rsidRDefault="00736619" w:rsidP="00915A9F">
            <w:pPr>
              <w:pStyle w:val="NoSpacing"/>
              <w:rPr>
                <w:sz w:val="20"/>
                <w:szCs w:val="20"/>
              </w:rPr>
            </w:pPr>
          </w:p>
        </w:tc>
        <w:tc>
          <w:tcPr>
            <w:tcW w:w="0" w:type="auto"/>
            <w:hideMark/>
          </w:tcPr>
          <w:p w14:paraId="5D9BF65C" w14:textId="77777777" w:rsidR="00736619" w:rsidRPr="00C73E7D" w:rsidRDefault="00736619" w:rsidP="00915A9F">
            <w:pPr>
              <w:pStyle w:val="NoSpacing"/>
              <w:rPr>
                <w:sz w:val="20"/>
                <w:szCs w:val="20"/>
              </w:rPr>
            </w:pPr>
          </w:p>
        </w:tc>
        <w:tc>
          <w:tcPr>
            <w:tcW w:w="0" w:type="auto"/>
            <w:hideMark/>
          </w:tcPr>
          <w:p w14:paraId="4347139E" w14:textId="77777777" w:rsidR="00736619" w:rsidRPr="00C73E7D" w:rsidRDefault="00736619" w:rsidP="00915A9F">
            <w:pPr>
              <w:pStyle w:val="NoSpacing"/>
              <w:rPr>
                <w:sz w:val="20"/>
                <w:szCs w:val="20"/>
              </w:rPr>
            </w:pPr>
          </w:p>
        </w:tc>
        <w:tc>
          <w:tcPr>
            <w:tcW w:w="0" w:type="auto"/>
            <w:hideMark/>
          </w:tcPr>
          <w:p w14:paraId="18C87954" w14:textId="77777777" w:rsidR="00736619" w:rsidRPr="00C73E7D" w:rsidRDefault="00736619" w:rsidP="00915A9F">
            <w:pPr>
              <w:pStyle w:val="NoSpacing"/>
              <w:rPr>
                <w:sz w:val="20"/>
                <w:szCs w:val="20"/>
              </w:rPr>
            </w:pPr>
          </w:p>
        </w:tc>
      </w:tr>
      <w:tr w:rsidR="00736619" w:rsidRPr="00C73E7D" w14:paraId="0A7FF6F9" w14:textId="77777777" w:rsidTr="00736619">
        <w:tc>
          <w:tcPr>
            <w:tcW w:w="0" w:type="auto"/>
            <w:hideMark/>
          </w:tcPr>
          <w:p w14:paraId="75CE5B95" w14:textId="77777777" w:rsidR="00736619" w:rsidRPr="00C73E7D" w:rsidRDefault="00736619" w:rsidP="00915A9F">
            <w:pPr>
              <w:pStyle w:val="NoSpacing"/>
              <w:rPr>
                <w:color w:val="000000"/>
                <w:sz w:val="18"/>
                <w:szCs w:val="18"/>
              </w:rPr>
            </w:pPr>
            <w:r w:rsidRPr="00C73E7D">
              <w:rPr>
                <w:color w:val="000000"/>
                <w:sz w:val="18"/>
                <w:szCs w:val="18"/>
              </w:rPr>
              <w:t>Currently engaged in legislative advocacy efforts</w:t>
            </w:r>
          </w:p>
        </w:tc>
        <w:tc>
          <w:tcPr>
            <w:tcW w:w="0" w:type="auto"/>
            <w:hideMark/>
          </w:tcPr>
          <w:p w14:paraId="089C68CE" w14:textId="77777777" w:rsidR="00736619" w:rsidRPr="00C73E7D" w:rsidRDefault="00736619" w:rsidP="00915A9F">
            <w:pPr>
              <w:pStyle w:val="NoSpacing"/>
              <w:rPr>
                <w:color w:val="000000"/>
                <w:sz w:val="18"/>
                <w:szCs w:val="18"/>
              </w:rPr>
            </w:pPr>
            <w:r w:rsidRPr="00C73E7D">
              <w:rPr>
                <w:color w:val="000000"/>
                <w:sz w:val="18"/>
                <w:szCs w:val="18"/>
              </w:rPr>
              <w:t>7</w:t>
            </w:r>
          </w:p>
        </w:tc>
        <w:tc>
          <w:tcPr>
            <w:tcW w:w="0" w:type="auto"/>
            <w:hideMark/>
          </w:tcPr>
          <w:p w14:paraId="736D5C1B" w14:textId="77777777" w:rsidR="00736619" w:rsidRPr="00C73E7D" w:rsidRDefault="00736619" w:rsidP="00915A9F">
            <w:pPr>
              <w:pStyle w:val="NoSpacing"/>
              <w:rPr>
                <w:color w:val="000000"/>
                <w:sz w:val="18"/>
                <w:szCs w:val="18"/>
              </w:rPr>
            </w:pPr>
            <w:r w:rsidRPr="00C73E7D">
              <w:rPr>
                <w:color w:val="000000"/>
                <w:sz w:val="18"/>
                <w:szCs w:val="18"/>
              </w:rPr>
              <w:t>9.0</w:t>
            </w:r>
          </w:p>
        </w:tc>
        <w:tc>
          <w:tcPr>
            <w:tcW w:w="0" w:type="auto"/>
            <w:hideMark/>
          </w:tcPr>
          <w:p w14:paraId="45737DA1" w14:textId="77777777" w:rsidR="00736619" w:rsidRPr="00C73E7D" w:rsidRDefault="00736619" w:rsidP="00915A9F">
            <w:pPr>
              <w:pStyle w:val="NoSpacing"/>
              <w:rPr>
                <w:color w:val="000000"/>
                <w:sz w:val="18"/>
                <w:szCs w:val="18"/>
              </w:rPr>
            </w:pPr>
            <w:r w:rsidRPr="00C73E7D">
              <w:rPr>
                <w:color w:val="000000"/>
                <w:sz w:val="18"/>
                <w:szCs w:val="18"/>
              </w:rPr>
              <w:t>10</w:t>
            </w:r>
          </w:p>
        </w:tc>
        <w:tc>
          <w:tcPr>
            <w:tcW w:w="0" w:type="auto"/>
            <w:hideMark/>
          </w:tcPr>
          <w:p w14:paraId="7AA77335" w14:textId="77777777" w:rsidR="00736619" w:rsidRPr="00C73E7D" w:rsidRDefault="00736619" w:rsidP="00915A9F">
            <w:pPr>
              <w:pStyle w:val="NoSpacing"/>
              <w:rPr>
                <w:color w:val="000000"/>
                <w:sz w:val="18"/>
                <w:szCs w:val="18"/>
              </w:rPr>
            </w:pPr>
            <w:r w:rsidRPr="00C73E7D">
              <w:rPr>
                <w:color w:val="000000"/>
                <w:sz w:val="18"/>
                <w:szCs w:val="18"/>
              </w:rPr>
              <w:t>14.9</w:t>
            </w:r>
          </w:p>
        </w:tc>
        <w:tc>
          <w:tcPr>
            <w:tcW w:w="0" w:type="auto"/>
            <w:hideMark/>
          </w:tcPr>
          <w:p w14:paraId="04FBC3C6" w14:textId="77777777" w:rsidR="00736619" w:rsidRPr="00C73E7D" w:rsidRDefault="00736619" w:rsidP="00915A9F">
            <w:pPr>
              <w:pStyle w:val="NoSpacing"/>
              <w:rPr>
                <w:color w:val="000000"/>
                <w:sz w:val="18"/>
                <w:szCs w:val="18"/>
              </w:rPr>
            </w:pPr>
            <w:r w:rsidRPr="00C73E7D">
              <w:rPr>
                <w:color w:val="000000"/>
                <w:sz w:val="18"/>
                <w:szCs w:val="18"/>
              </w:rPr>
              <w:t>4</w:t>
            </w:r>
          </w:p>
        </w:tc>
        <w:tc>
          <w:tcPr>
            <w:tcW w:w="0" w:type="auto"/>
            <w:hideMark/>
          </w:tcPr>
          <w:p w14:paraId="49923ECC" w14:textId="77777777" w:rsidR="00736619" w:rsidRPr="00C73E7D" w:rsidRDefault="00736619" w:rsidP="00915A9F">
            <w:pPr>
              <w:pStyle w:val="NoSpacing"/>
              <w:rPr>
                <w:color w:val="000000"/>
                <w:sz w:val="18"/>
                <w:szCs w:val="18"/>
              </w:rPr>
            </w:pPr>
            <w:r w:rsidRPr="00C73E7D">
              <w:rPr>
                <w:color w:val="000000"/>
                <w:sz w:val="18"/>
                <w:szCs w:val="18"/>
              </w:rPr>
              <w:t>18.2</w:t>
            </w:r>
          </w:p>
        </w:tc>
      </w:tr>
      <w:tr w:rsidR="00736619" w:rsidRPr="00C73E7D" w14:paraId="67721AB3" w14:textId="77777777" w:rsidTr="00736619">
        <w:tc>
          <w:tcPr>
            <w:tcW w:w="0" w:type="auto"/>
            <w:hideMark/>
          </w:tcPr>
          <w:p w14:paraId="6A326048" w14:textId="77777777" w:rsidR="00736619" w:rsidRPr="00C73E7D" w:rsidRDefault="00736619" w:rsidP="00915A9F">
            <w:pPr>
              <w:pStyle w:val="NoSpacing"/>
              <w:rPr>
                <w:color w:val="000000"/>
                <w:sz w:val="18"/>
                <w:szCs w:val="18"/>
              </w:rPr>
            </w:pPr>
            <w:r w:rsidRPr="00C73E7D">
              <w:rPr>
                <w:color w:val="000000"/>
                <w:sz w:val="18"/>
                <w:szCs w:val="18"/>
              </w:rPr>
              <w:t>Not engaged in legislative advocacy efforts</w:t>
            </w:r>
          </w:p>
        </w:tc>
        <w:tc>
          <w:tcPr>
            <w:tcW w:w="0" w:type="auto"/>
            <w:hideMark/>
          </w:tcPr>
          <w:p w14:paraId="29A4A258" w14:textId="77777777" w:rsidR="00736619" w:rsidRPr="00C73E7D" w:rsidRDefault="00736619" w:rsidP="00915A9F">
            <w:pPr>
              <w:pStyle w:val="NoSpacing"/>
              <w:rPr>
                <w:color w:val="000000"/>
                <w:sz w:val="18"/>
                <w:szCs w:val="18"/>
              </w:rPr>
            </w:pPr>
            <w:r w:rsidRPr="00C73E7D">
              <w:rPr>
                <w:color w:val="000000"/>
                <w:sz w:val="18"/>
                <w:szCs w:val="18"/>
              </w:rPr>
              <w:t>71</w:t>
            </w:r>
          </w:p>
        </w:tc>
        <w:tc>
          <w:tcPr>
            <w:tcW w:w="0" w:type="auto"/>
            <w:hideMark/>
          </w:tcPr>
          <w:p w14:paraId="2BF4CAEF" w14:textId="77777777" w:rsidR="00736619" w:rsidRPr="00C73E7D" w:rsidRDefault="00736619" w:rsidP="00915A9F">
            <w:pPr>
              <w:pStyle w:val="NoSpacing"/>
              <w:rPr>
                <w:color w:val="000000"/>
                <w:sz w:val="18"/>
                <w:szCs w:val="18"/>
              </w:rPr>
            </w:pPr>
            <w:r w:rsidRPr="00C73E7D">
              <w:rPr>
                <w:color w:val="000000"/>
                <w:sz w:val="18"/>
                <w:szCs w:val="18"/>
              </w:rPr>
              <w:t>91.0</w:t>
            </w:r>
          </w:p>
        </w:tc>
        <w:tc>
          <w:tcPr>
            <w:tcW w:w="0" w:type="auto"/>
            <w:hideMark/>
          </w:tcPr>
          <w:p w14:paraId="6919F8CE" w14:textId="77777777" w:rsidR="00736619" w:rsidRPr="00C73E7D" w:rsidRDefault="00736619" w:rsidP="00915A9F">
            <w:pPr>
              <w:pStyle w:val="NoSpacing"/>
              <w:rPr>
                <w:color w:val="000000"/>
                <w:sz w:val="18"/>
                <w:szCs w:val="18"/>
              </w:rPr>
            </w:pPr>
            <w:r w:rsidRPr="00C73E7D">
              <w:rPr>
                <w:color w:val="000000"/>
                <w:sz w:val="18"/>
                <w:szCs w:val="18"/>
              </w:rPr>
              <w:t>57</w:t>
            </w:r>
          </w:p>
        </w:tc>
        <w:tc>
          <w:tcPr>
            <w:tcW w:w="0" w:type="auto"/>
            <w:hideMark/>
          </w:tcPr>
          <w:p w14:paraId="246AE9B4" w14:textId="77777777" w:rsidR="00736619" w:rsidRPr="00C73E7D" w:rsidRDefault="00736619" w:rsidP="00915A9F">
            <w:pPr>
              <w:pStyle w:val="NoSpacing"/>
              <w:rPr>
                <w:color w:val="000000"/>
                <w:sz w:val="18"/>
                <w:szCs w:val="18"/>
              </w:rPr>
            </w:pPr>
            <w:r w:rsidRPr="00C73E7D">
              <w:rPr>
                <w:color w:val="000000"/>
                <w:sz w:val="18"/>
                <w:szCs w:val="18"/>
              </w:rPr>
              <w:t>85.1</w:t>
            </w:r>
          </w:p>
        </w:tc>
        <w:tc>
          <w:tcPr>
            <w:tcW w:w="0" w:type="auto"/>
            <w:hideMark/>
          </w:tcPr>
          <w:p w14:paraId="34946353" w14:textId="77777777" w:rsidR="00736619" w:rsidRPr="00C73E7D" w:rsidRDefault="00736619" w:rsidP="00915A9F">
            <w:pPr>
              <w:pStyle w:val="NoSpacing"/>
              <w:rPr>
                <w:color w:val="000000"/>
                <w:sz w:val="18"/>
                <w:szCs w:val="18"/>
              </w:rPr>
            </w:pPr>
            <w:r w:rsidRPr="00C73E7D">
              <w:rPr>
                <w:color w:val="000000"/>
                <w:sz w:val="18"/>
                <w:szCs w:val="18"/>
              </w:rPr>
              <w:t>18</w:t>
            </w:r>
          </w:p>
        </w:tc>
        <w:tc>
          <w:tcPr>
            <w:tcW w:w="0" w:type="auto"/>
            <w:hideMark/>
          </w:tcPr>
          <w:p w14:paraId="3BB34530" w14:textId="77777777" w:rsidR="00736619" w:rsidRPr="00C73E7D" w:rsidRDefault="00736619" w:rsidP="00915A9F">
            <w:pPr>
              <w:pStyle w:val="NoSpacing"/>
              <w:rPr>
                <w:color w:val="000000"/>
                <w:sz w:val="18"/>
                <w:szCs w:val="18"/>
              </w:rPr>
            </w:pPr>
            <w:r w:rsidRPr="00C73E7D">
              <w:rPr>
                <w:color w:val="000000"/>
                <w:sz w:val="18"/>
                <w:szCs w:val="18"/>
              </w:rPr>
              <w:t>81.8</w:t>
            </w:r>
          </w:p>
        </w:tc>
      </w:tr>
    </w:tbl>
    <w:p w14:paraId="4AED88E1" w14:textId="136F4181" w:rsidR="00E205C1" w:rsidRPr="00C73E7D" w:rsidRDefault="00E205C1" w:rsidP="00925A3F">
      <w:pPr>
        <w:pStyle w:val="NoSpacing"/>
        <w:rPr>
          <w:sz w:val="24"/>
          <w:szCs w:val="24"/>
        </w:rPr>
      </w:pPr>
      <w:r w:rsidRPr="00C73E7D">
        <w:t>Abbreviations: DNP, Doctor of Nursing Practice; PhD, Doctor of Philosophy.</w:t>
      </w:r>
    </w:p>
    <w:p w14:paraId="0676E52F" w14:textId="77777777" w:rsidR="00925A3F" w:rsidRDefault="00925A3F" w:rsidP="00ED4B74">
      <w:pPr>
        <w:rPr>
          <w:rFonts w:cstheme="minorHAnsi"/>
        </w:rPr>
      </w:pPr>
    </w:p>
    <w:p w14:paraId="15A8FEC0" w14:textId="2C279B20" w:rsidR="00E205C1" w:rsidRPr="00C73E7D" w:rsidRDefault="00E205C1" w:rsidP="00ED4B74">
      <w:pPr>
        <w:rPr>
          <w:rFonts w:cstheme="minorHAnsi"/>
        </w:rPr>
      </w:pPr>
      <w:r w:rsidRPr="00C73E7D">
        <w:rPr>
          <w:rFonts w:cstheme="minorHAnsi"/>
        </w:rPr>
        <w:t>When assessing the relationship between program degree type and whether a health policy course was required, there was no significant difference between types of graduate degree sought (master’s, DNP, or PhD) and the requirement to take a health policy course (</w:t>
      </w:r>
      <w:r w:rsidRPr="00C73E7D">
        <w:rPr>
          <w:rFonts w:cstheme="minorHAnsi"/>
          <w:i/>
          <w:iCs/>
        </w:rPr>
        <w:t>P</w:t>
      </w:r>
      <w:r w:rsidRPr="00C73E7D">
        <w:rPr>
          <w:rFonts w:cstheme="minorHAnsi"/>
        </w:rPr>
        <w:t> = 0.37) (Table </w:t>
      </w:r>
      <w:hyperlink r:id="rId37" w:anchor="nuf12295-tbl-0003" w:tooltip="Link to table" w:history="1">
        <w:r w:rsidRPr="00C73E7D">
          <w:rPr>
            <w:rStyle w:val="Hyperlink"/>
            <w:rFonts w:eastAsiaTheme="majorEastAsia" w:cstheme="minorHAnsi"/>
            <w:b/>
            <w:bCs/>
            <w:color w:val="005274"/>
          </w:rPr>
          <w:t>3</w:t>
        </w:r>
      </w:hyperlink>
      <w:r w:rsidRPr="00C73E7D">
        <w:rPr>
          <w:rFonts w:cstheme="minorHAnsi"/>
        </w:rPr>
        <w:t>). There was also no relationship between the type of graduate student programs (master’s, DNP, or PhD) and whether students received a PAS at the beginning of their health policy course (</w:t>
      </w:r>
      <w:r w:rsidRPr="00C73E7D">
        <w:rPr>
          <w:rFonts w:cstheme="minorHAnsi"/>
          <w:i/>
          <w:iCs/>
        </w:rPr>
        <w:t>P</w:t>
      </w:r>
      <w:r w:rsidRPr="00C73E7D">
        <w:rPr>
          <w:rFonts w:cstheme="minorHAnsi"/>
        </w:rPr>
        <w:t> = 0.66). However, based on this study’s sample, a greater percentage of master’s students were given a PAS than PhD students. When asked if they were involved in health policy at the local, state, and/or federal levels, differences existed between master’s, DNP, or PhD students. For example, when assessing if students were involved with health policy at the state level, there was a greater proportion of master’s students involved in health policy at the state level, than DNP or PhD students (</w:t>
      </w:r>
      <w:r w:rsidRPr="00C73E7D">
        <w:rPr>
          <w:rFonts w:cstheme="minorHAnsi"/>
          <w:i/>
          <w:iCs/>
        </w:rPr>
        <w:t>P</w:t>
      </w:r>
      <w:r w:rsidRPr="00C73E7D">
        <w:rPr>
          <w:rFonts w:cstheme="minorHAnsi"/>
        </w:rPr>
        <w:t> = 0.04).</w:t>
      </w:r>
    </w:p>
    <w:p w14:paraId="0F41CB84" w14:textId="77777777" w:rsidR="00E205C1" w:rsidRPr="00C73E7D" w:rsidRDefault="00E205C1" w:rsidP="00925A3F">
      <w:pPr>
        <w:pStyle w:val="NoSpacing"/>
      </w:pPr>
      <w:r w:rsidRPr="00C73E7D">
        <w:rPr>
          <w:rStyle w:val="Heading3Char"/>
          <w:rFonts w:asciiTheme="minorHAnsi" w:hAnsiTheme="minorHAnsi" w:cstheme="minorHAnsi"/>
        </w:rPr>
        <w:t>Table 3.</w:t>
      </w:r>
      <w:r w:rsidRPr="00C73E7D">
        <w:rPr>
          <w:rStyle w:val="table-captionlabel"/>
          <w:rFonts w:cstheme="minorHAnsi"/>
          <w:b/>
          <w:bCs/>
        </w:rPr>
        <w:t> </w:t>
      </w:r>
      <w:r w:rsidRPr="00C73E7D">
        <w:t>Relationships between student type and health policy coursework and activities</w:t>
      </w:r>
    </w:p>
    <w:tbl>
      <w:tblPr>
        <w:tblStyle w:val="TableGrid"/>
        <w:tblW w:w="0" w:type="auto"/>
        <w:tblLook w:val="04A0" w:firstRow="1" w:lastRow="0" w:firstColumn="1" w:lastColumn="0" w:noHBand="0" w:noVBand="1"/>
      </w:tblPr>
      <w:tblGrid>
        <w:gridCol w:w="2430"/>
        <w:gridCol w:w="997"/>
        <w:gridCol w:w="608"/>
        <w:gridCol w:w="581"/>
        <w:gridCol w:w="536"/>
      </w:tblGrid>
      <w:tr w:rsidR="00E205C1" w:rsidRPr="00C73E7D" w14:paraId="7F0DCE1C" w14:textId="77777777" w:rsidTr="00ED4B74">
        <w:tc>
          <w:tcPr>
            <w:tcW w:w="0" w:type="auto"/>
            <w:hideMark/>
          </w:tcPr>
          <w:p w14:paraId="6A295088" w14:textId="77777777" w:rsidR="00E205C1" w:rsidRPr="00C73E7D" w:rsidRDefault="00E205C1" w:rsidP="00925A3F">
            <w:pPr>
              <w:pStyle w:val="NoSpacing"/>
            </w:pPr>
            <w:r w:rsidRPr="00C73E7D">
              <w:t>Level of student</w:t>
            </w:r>
          </w:p>
        </w:tc>
        <w:tc>
          <w:tcPr>
            <w:tcW w:w="0" w:type="auto"/>
            <w:hideMark/>
          </w:tcPr>
          <w:p w14:paraId="4E03597B" w14:textId="77777777" w:rsidR="00E205C1" w:rsidRPr="00C73E7D" w:rsidRDefault="00E205C1" w:rsidP="00925A3F">
            <w:pPr>
              <w:pStyle w:val="NoSpacing"/>
            </w:pPr>
            <w:r w:rsidRPr="00C73E7D">
              <w:t>Master’s</w:t>
            </w:r>
          </w:p>
        </w:tc>
        <w:tc>
          <w:tcPr>
            <w:tcW w:w="0" w:type="auto"/>
            <w:hideMark/>
          </w:tcPr>
          <w:p w14:paraId="718CA8FC" w14:textId="77777777" w:rsidR="00E205C1" w:rsidRPr="00C73E7D" w:rsidRDefault="00E205C1" w:rsidP="00925A3F">
            <w:pPr>
              <w:pStyle w:val="NoSpacing"/>
            </w:pPr>
            <w:r w:rsidRPr="00C73E7D">
              <w:t>DNP</w:t>
            </w:r>
          </w:p>
        </w:tc>
        <w:tc>
          <w:tcPr>
            <w:tcW w:w="0" w:type="auto"/>
            <w:hideMark/>
          </w:tcPr>
          <w:p w14:paraId="3C3BBB91" w14:textId="77777777" w:rsidR="00E205C1" w:rsidRPr="00C73E7D" w:rsidRDefault="00E205C1" w:rsidP="00925A3F">
            <w:pPr>
              <w:pStyle w:val="NoSpacing"/>
            </w:pPr>
            <w:r w:rsidRPr="00C73E7D">
              <w:t>PhD</w:t>
            </w:r>
          </w:p>
        </w:tc>
        <w:tc>
          <w:tcPr>
            <w:tcW w:w="0" w:type="auto"/>
            <w:hideMark/>
          </w:tcPr>
          <w:p w14:paraId="5A97726E" w14:textId="77777777" w:rsidR="00E205C1" w:rsidRPr="00C73E7D" w:rsidRDefault="00E205C1" w:rsidP="00925A3F">
            <w:pPr>
              <w:pStyle w:val="NoSpacing"/>
            </w:pPr>
            <w:r w:rsidRPr="00C73E7D">
              <w:rPr>
                <w:i/>
                <w:iCs/>
              </w:rPr>
              <w:t>χ</w:t>
            </w:r>
            <w:r w:rsidRPr="00C73E7D">
              <w:rPr>
                <w:sz w:val="16"/>
                <w:szCs w:val="16"/>
                <w:vertAlign w:val="superscript"/>
              </w:rPr>
              <w:t>2</w:t>
            </w:r>
            <w:r w:rsidRPr="00C73E7D">
              <w:t> </w:t>
            </w:r>
            <w:r w:rsidRPr="00C73E7D">
              <w:rPr>
                <w:i/>
                <w:iCs/>
              </w:rPr>
              <w:t>P</w:t>
            </w:r>
          </w:p>
        </w:tc>
      </w:tr>
      <w:tr w:rsidR="00E205C1" w:rsidRPr="00C73E7D" w14:paraId="1C9E8823" w14:textId="77777777" w:rsidTr="00ED4B74">
        <w:tc>
          <w:tcPr>
            <w:tcW w:w="0" w:type="auto"/>
            <w:hideMark/>
          </w:tcPr>
          <w:p w14:paraId="4FA8F471" w14:textId="77777777" w:rsidR="00E205C1" w:rsidRPr="00C73E7D" w:rsidRDefault="00E205C1" w:rsidP="00925A3F">
            <w:pPr>
              <w:pStyle w:val="NoSpacing"/>
              <w:rPr>
                <w:sz w:val="18"/>
                <w:szCs w:val="18"/>
              </w:rPr>
            </w:pPr>
            <w:r w:rsidRPr="00C73E7D">
              <w:rPr>
                <w:sz w:val="18"/>
                <w:szCs w:val="18"/>
              </w:rPr>
              <w:t>Required course</w:t>
            </w:r>
          </w:p>
        </w:tc>
        <w:tc>
          <w:tcPr>
            <w:tcW w:w="0" w:type="auto"/>
            <w:hideMark/>
          </w:tcPr>
          <w:p w14:paraId="1FB67F06" w14:textId="77777777" w:rsidR="00E205C1" w:rsidRPr="00C73E7D" w:rsidRDefault="00E205C1" w:rsidP="00925A3F">
            <w:pPr>
              <w:pStyle w:val="NoSpacing"/>
              <w:rPr>
                <w:sz w:val="18"/>
                <w:szCs w:val="18"/>
              </w:rPr>
            </w:pPr>
            <w:r w:rsidRPr="00C73E7D">
              <w:rPr>
                <w:sz w:val="18"/>
                <w:szCs w:val="18"/>
              </w:rPr>
              <w:t>64</w:t>
            </w:r>
          </w:p>
        </w:tc>
        <w:tc>
          <w:tcPr>
            <w:tcW w:w="0" w:type="auto"/>
            <w:hideMark/>
          </w:tcPr>
          <w:p w14:paraId="3733D934" w14:textId="77777777" w:rsidR="00E205C1" w:rsidRPr="00C73E7D" w:rsidRDefault="00E205C1" w:rsidP="00925A3F">
            <w:pPr>
              <w:pStyle w:val="NoSpacing"/>
              <w:rPr>
                <w:sz w:val="18"/>
                <w:szCs w:val="18"/>
              </w:rPr>
            </w:pPr>
            <w:r w:rsidRPr="00C73E7D">
              <w:rPr>
                <w:sz w:val="18"/>
                <w:szCs w:val="18"/>
              </w:rPr>
              <w:t>59</w:t>
            </w:r>
          </w:p>
        </w:tc>
        <w:tc>
          <w:tcPr>
            <w:tcW w:w="0" w:type="auto"/>
            <w:hideMark/>
          </w:tcPr>
          <w:p w14:paraId="5B20796E" w14:textId="77777777" w:rsidR="00E205C1" w:rsidRPr="00C73E7D" w:rsidRDefault="00E205C1" w:rsidP="00925A3F">
            <w:pPr>
              <w:pStyle w:val="NoSpacing"/>
              <w:rPr>
                <w:sz w:val="18"/>
                <w:szCs w:val="18"/>
              </w:rPr>
            </w:pPr>
            <w:r w:rsidRPr="00C73E7D">
              <w:rPr>
                <w:sz w:val="18"/>
                <w:szCs w:val="18"/>
              </w:rPr>
              <w:t>16</w:t>
            </w:r>
          </w:p>
        </w:tc>
        <w:tc>
          <w:tcPr>
            <w:tcW w:w="0" w:type="auto"/>
            <w:hideMark/>
          </w:tcPr>
          <w:p w14:paraId="07DF4D20" w14:textId="77777777" w:rsidR="00E205C1" w:rsidRPr="00C73E7D" w:rsidRDefault="00E205C1" w:rsidP="00925A3F">
            <w:pPr>
              <w:pStyle w:val="NoSpacing"/>
              <w:rPr>
                <w:sz w:val="18"/>
                <w:szCs w:val="18"/>
              </w:rPr>
            </w:pPr>
            <w:r w:rsidRPr="00C73E7D">
              <w:rPr>
                <w:sz w:val="18"/>
                <w:szCs w:val="18"/>
              </w:rPr>
              <w:t>0.37</w:t>
            </w:r>
          </w:p>
        </w:tc>
      </w:tr>
      <w:tr w:rsidR="00E205C1" w:rsidRPr="00C73E7D" w14:paraId="39BC83D7" w14:textId="77777777" w:rsidTr="00ED4B74">
        <w:tc>
          <w:tcPr>
            <w:tcW w:w="0" w:type="auto"/>
            <w:hideMark/>
          </w:tcPr>
          <w:p w14:paraId="08D97372" w14:textId="77777777" w:rsidR="00E205C1" w:rsidRPr="00C73E7D" w:rsidRDefault="00E205C1" w:rsidP="00925A3F">
            <w:pPr>
              <w:pStyle w:val="NoSpacing"/>
              <w:rPr>
                <w:sz w:val="18"/>
                <w:szCs w:val="18"/>
              </w:rPr>
            </w:pPr>
            <w:r w:rsidRPr="00C73E7D">
              <w:rPr>
                <w:sz w:val="18"/>
                <w:szCs w:val="18"/>
              </w:rPr>
              <w:t>Not required</w:t>
            </w:r>
          </w:p>
        </w:tc>
        <w:tc>
          <w:tcPr>
            <w:tcW w:w="0" w:type="auto"/>
            <w:hideMark/>
          </w:tcPr>
          <w:p w14:paraId="192E8FE4" w14:textId="77777777" w:rsidR="00E205C1" w:rsidRPr="00C73E7D" w:rsidRDefault="00E205C1" w:rsidP="00925A3F">
            <w:pPr>
              <w:pStyle w:val="NoSpacing"/>
              <w:rPr>
                <w:sz w:val="18"/>
                <w:szCs w:val="18"/>
              </w:rPr>
            </w:pPr>
            <w:r w:rsidRPr="00C73E7D">
              <w:rPr>
                <w:sz w:val="18"/>
                <w:szCs w:val="18"/>
              </w:rPr>
              <w:t>24</w:t>
            </w:r>
          </w:p>
        </w:tc>
        <w:tc>
          <w:tcPr>
            <w:tcW w:w="0" w:type="auto"/>
            <w:hideMark/>
          </w:tcPr>
          <w:p w14:paraId="2A52EF80" w14:textId="77777777" w:rsidR="00E205C1" w:rsidRPr="00C73E7D" w:rsidRDefault="00E205C1" w:rsidP="00925A3F">
            <w:pPr>
              <w:pStyle w:val="NoSpacing"/>
              <w:rPr>
                <w:sz w:val="18"/>
                <w:szCs w:val="18"/>
              </w:rPr>
            </w:pPr>
            <w:r w:rsidRPr="00C73E7D">
              <w:rPr>
                <w:sz w:val="18"/>
                <w:szCs w:val="18"/>
              </w:rPr>
              <w:t>13</w:t>
            </w:r>
          </w:p>
        </w:tc>
        <w:tc>
          <w:tcPr>
            <w:tcW w:w="0" w:type="auto"/>
            <w:hideMark/>
          </w:tcPr>
          <w:p w14:paraId="4ABADAE4" w14:textId="77777777" w:rsidR="00E205C1" w:rsidRPr="00C73E7D" w:rsidRDefault="00E205C1" w:rsidP="00925A3F">
            <w:pPr>
              <w:pStyle w:val="NoSpacing"/>
              <w:rPr>
                <w:sz w:val="18"/>
                <w:szCs w:val="18"/>
              </w:rPr>
            </w:pPr>
            <w:r w:rsidRPr="00C73E7D">
              <w:rPr>
                <w:sz w:val="18"/>
                <w:szCs w:val="18"/>
              </w:rPr>
              <w:t>6</w:t>
            </w:r>
          </w:p>
        </w:tc>
        <w:tc>
          <w:tcPr>
            <w:tcW w:w="0" w:type="auto"/>
            <w:hideMark/>
          </w:tcPr>
          <w:p w14:paraId="7D6C2B0D" w14:textId="77777777" w:rsidR="00E205C1" w:rsidRPr="00C73E7D" w:rsidRDefault="00E205C1" w:rsidP="00925A3F">
            <w:pPr>
              <w:pStyle w:val="NoSpacing"/>
              <w:rPr>
                <w:sz w:val="18"/>
                <w:szCs w:val="18"/>
              </w:rPr>
            </w:pPr>
          </w:p>
        </w:tc>
      </w:tr>
      <w:tr w:rsidR="00736619" w:rsidRPr="00C73E7D" w14:paraId="40D7EED1" w14:textId="77777777" w:rsidTr="00ED4B74">
        <w:tc>
          <w:tcPr>
            <w:tcW w:w="0" w:type="auto"/>
          </w:tcPr>
          <w:p w14:paraId="32CC4263" w14:textId="0249DCD1" w:rsidR="00736619" w:rsidRPr="00C73E7D" w:rsidRDefault="00736619" w:rsidP="00925A3F">
            <w:pPr>
              <w:pStyle w:val="NoSpacing"/>
              <w:rPr>
                <w:sz w:val="18"/>
                <w:szCs w:val="18"/>
              </w:rPr>
            </w:pPr>
            <w:r w:rsidRPr="00736619">
              <w:rPr>
                <w:sz w:val="18"/>
                <w:szCs w:val="18"/>
              </w:rPr>
              <w:t>Political astuteness evaluation</w:t>
            </w:r>
          </w:p>
        </w:tc>
        <w:tc>
          <w:tcPr>
            <w:tcW w:w="0" w:type="auto"/>
          </w:tcPr>
          <w:p w14:paraId="611BAC0D" w14:textId="77777777" w:rsidR="00736619" w:rsidRPr="00C73E7D" w:rsidRDefault="00736619" w:rsidP="00925A3F">
            <w:pPr>
              <w:pStyle w:val="NoSpacing"/>
              <w:rPr>
                <w:sz w:val="18"/>
                <w:szCs w:val="18"/>
              </w:rPr>
            </w:pPr>
          </w:p>
        </w:tc>
        <w:tc>
          <w:tcPr>
            <w:tcW w:w="0" w:type="auto"/>
          </w:tcPr>
          <w:p w14:paraId="7DA451A0" w14:textId="77777777" w:rsidR="00736619" w:rsidRPr="00C73E7D" w:rsidRDefault="00736619" w:rsidP="00925A3F">
            <w:pPr>
              <w:pStyle w:val="NoSpacing"/>
              <w:rPr>
                <w:sz w:val="18"/>
                <w:szCs w:val="18"/>
              </w:rPr>
            </w:pPr>
          </w:p>
        </w:tc>
        <w:tc>
          <w:tcPr>
            <w:tcW w:w="0" w:type="auto"/>
          </w:tcPr>
          <w:p w14:paraId="23DC5E57" w14:textId="77777777" w:rsidR="00736619" w:rsidRPr="00C73E7D" w:rsidRDefault="00736619" w:rsidP="00925A3F">
            <w:pPr>
              <w:pStyle w:val="NoSpacing"/>
              <w:rPr>
                <w:sz w:val="18"/>
                <w:szCs w:val="18"/>
              </w:rPr>
            </w:pPr>
          </w:p>
        </w:tc>
        <w:tc>
          <w:tcPr>
            <w:tcW w:w="0" w:type="auto"/>
          </w:tcPr>
          <w:p w14:paraId="581BE2C8" w14:textId="77777777" w:rsidR="00736619" w:rsidRPr="00C73E7D" w:rsidRDefault="00736619" w:rsidP="00925A3F">
            <w:pPr>
              <w:pStyle w:val="NoSpacing"/>
              <w:rPr>
                <w:sz w:val="18"/>
                <w:szCs w:val="18"/>
              </w:rPr>
            </w:pPr>
          </w:p>
        </w:tc>
      </w:tr>
      <w:tr w:rsidR="00E205C1" w:rsidRPr="00C73E7D" w14:paraId="2DFE6D68" w14:textId="77777777" w:rsidTr="00ED4B74">
        <w:tc>
          <w:tcPr>
            <w:tcW w:w="0" w:type="auto"/>
            <w:hideMark/>
          </w:tcPr>
          <w:p w14:paraId="2D6FC100" w14:textId="77777777" w:rsidR="00E205C1" w:rsidRPr="00C73E7D" w:rsidRDefault="00E205C1" w:rsidP="00925A3F">
            <w:pPr>
              <w:pStyle w:val="NoSpacing"/>
              <w:rPr>
                <w:sz w:val="18"/>
                <w:szCs w:val="18"/>
              </w:rPr>
            </w:pPr>
            <w:r w:rsidRPr="00C73E7D">
              <w:rPr>
                <w:sz w:val="18"/>
                <w:szCs w:val="18"/>
              </w:rPr>
              <w:t>Given</w:t>
            </w:r>
          </w:p>
        </w:tc>
        <w:tc>
          <w:tcPr>
            <w:tcW w:w="0" w:type="auto"/>
            <w:hideMark/>
          </w:tcPr>
          <w:p w14:paraId="334BF305" w14:textId="77777777" w:rsidR="00E205C1" w:rsidRPr="00C73E7D" w:rsidRDefault="00E205C1" w:rsidP="00925A3F">
            <w:pPr>
              <w:pStyle w:val="NoSpacing"/>
              <w:rPr>
                <w:sz w:val="18"/>
                <w:szCs w:val="18"/>
              </w:rPr>
            </w:pPr>
            <w:r w:rsidRPr="00C73E7D">
              <w:rPr>
                <w:sz w:val="18"/>
                <w:szCs w:val="18"/>
              </w:rPr>
              <w:t>19</w:t>
            </w:r>
          </w:p>
        </w:tc>
        <w:tc>
          <w:tcPr>
            <w:tcW w:w="0" w:type="auto"/>
            <w:hideMark/>
          </w:tcPr>
          <w:p w14:paraId="03B6CE60" w14:textId="77777777" w:rsidR="00E205C1" w:rsidRPr="00C73E7D" w:rsidRDefault="00E205C1" w:rsidP="00925A3F">
            <w:pPr>
              <w:pStyle w:val="NoSpacing"/>
              <w:rPr>
                <w:sz w:val="18"/>
                <w:szCs w:val="18"/>
              </w:rPr>
            </w:pPr>
            <w:r w:rsidRPr="00C73E7D">
              <w:rPr>
                <w:sz w:val="18"/>
                <w:szCs w:val="18"/>
              </w:rPr>
              <w:t>14</w:t>
            </w:r>
          </w:p>
        </w:tc>
        <w:tc>
          <w:tcPr>
            <w:tcW w:w="0" w:type="auto"/>
            <w:hideMark/>
          </w:tcPr>
          <w:p w14:paraId="1717FE43" w14:textId="77777777" w:rsidR="00E205C1" w:rsidRPr="00C73E7D" w:rsidRDefault="00E205C1" w:rsidP="00925A3F">
            <w:pPr>
              <w:pStyle w:val="NoSpacing"/>
              <w:rPr>
                <w:sz w:val="18"/>
                <w:szCs w:val="18"/>
              </w:rPr>
            </w:pPr>
            <w:r w:rsidRPr="00C73E7D">
              <w:rPr>
                <w:sz w:val="18"/>
                <w:szCs w:val="18"/>
              </w:rPr>
              <w:t>3</w:t>
            </w:r>
          </w:p>
        </w:tc>
        <w:tc>
          <w:tcPr>
            <w:tcW w:w="0" w:type="auto"/>
            <w:hideMark/>
          </w:tcPr>
          <w:p w14:paraId="0E820B76" w14:textId="77777777" w:rsidR="00E205C1" w:rsidRPr="00C73E7D" w:rsidRDefault="00E205C1" w:rsidP="00925A3F">
            <w:pPr>
              <w:pStyle w:val="NoSpacing"/>
              <w:rPr>
                <w:sz w:val="18"/>
                <w:szCs w:val="18"/>
              </w:rPr>
            </w:pPr>
            <w:r w:rsidRPr="00C73E7D">
              <w:rPr>
                <w:sz w:val="18"/>
                <w:szCs w:val="18"/>
              </w:rPr>
              <w:t>0.66</w:t>
            </w:r>
          </w:p>
        </w:tc>
      </w:tr>
      <w:tr w:rsidR="00E205C1" w:rsidRPr="00C73E7D" w14:paraId="61CD4C99" w14:textId="77777777" w:rsidTr="00ED4B74">
        <w:tc>
          <w:tcPr>
            <w:tcW w:w="0" w:type="auto"/>
            <w:hideMark/>
          </w:tcPr>
          <w:p w14:paraId="14B809D2" w14:textId="77777777" w:rsidR="00E205C1" w:rsidRPr="00C73E7D" w:rsidRDefault="00E205C1" w:rsidP="00925A3F">
            <w:pPr>
              <w:pStyle w:val="NoSpacing"/>
              <w:rPr>
                <w:sz w:val="18"/>
                <w:szCs w:val="18"/>
              </w:rPr>
            </w:pPr>
            <w:r w:rsidRPr="00C73E7D">
              <w:rPr>
                <w:sz w:val="18"/>
                <w:szCs w:val="18"/>
              </w:rPr>
              <w:t>Not given</w:t>
            </w:r>
          </w:p>
        </w:tc>
        <w:tc>
          <w:tcPr>
            <w:tcW w:w="0" w:type="auto"/>
            <w:hideMark/>
          </w:tcPr>
          <w:p w14:paraId="735D8B5D" w14:textId="77777777" w:rsidR="00E205C1" w:rsidRPr="00C73E7D" w:rsidRDefault="00E205C1" w:rsidP="00925A3F">
            <w:pPr>
              <w:pStyle w:val="NoSpacing"/>
              <w:rPr>
                <w:sz w:val="18"/>
                <w:szCs w:val="18"/>
              </w:rPr>
            </w:pPr>
            <w:r w:rsidRPr="00C73E7D">
              <w:rPr>
                <w:sz w:val="18"/>
                <w:szCs w:val="18"/>
              </w:rPr>
              <w:t>56</w:t>
            </w:r>
          </w:p>
        </w:tc>
        <w:tc>
          <w:tcPr>
            <w:tcW w:w="0" w:type="auto"/>
            <w:hideMark/>
          </w:tcPr>
          <w:p w14:paraId="66B852F6" w14:textId="77777777" w:rsidR="00E205C1" w:rsidRPr="00C73E7D" w:rsidRDefault="00E205C1" w:rsidP="00925A3F">
            <w:pPr>
              <w:pStyle w:val="NoSpacing"/>
              <w:rPr>
                <w:sz w:val="18"/>
                <w:szCs w:val="18"/>
              </w:rPr>
            </w:pPr>
            <w:r w:rsidRPr="00C73E7D">
              <w:rPr>
                <w:sz w:val="18"/>
                <w:szCs w:val="18"/>
              </w:rPr>
              <w:t>56</w:t>
            </w:r>
          </w:p>
        </w:tc>
        <w:tc>
          <w:tcPr>
            <w:tcW w:w="0" w:type="auto"/>
            <w:hideMark/>
          </w:tcPr>
          <w:p w14:paraId="4853A206" w14:textId="77777777" w:rsidR="00E205C1" w:rsidRPr="00C73E7D" w:rsidRDefault="00E205C1" w:rsidP="00925A3F">
            <w:pPr>
              <w:pStyle w:val="NoSpacing"/>
              <w:rPr>
                <w:sz w:val="18"/>
                <w:szCs w:val="18"/>
              </w:rPr>
            </w:pPr>
            <w:r w:rsidRPr="00C73E7D">
              <w:rPr>
                <w:sz w:val="18"/>
                <w:szCs w:val="18"/>
              </w:rPr>
              <w:t>16</w:t>
            </w:r>
          </w:p>
        </w:tc>
        <w:tc>
          <w:tcPr>
            <w:tcW w:w="0" w:type="auto"/>
            <w:hideMark/>
          </w:tcPr>
          <w:p w14:paraId="4B7BA748" w14:textId="77777777" w:rsidR="00E205C1" w:rsidRPr="00C73E7D" w:rsidRDefault="00E205C1" w:rsidP="00925A3F">
            <w:pPr>
              <w:pStyle w:val="NoSpacing"/>
              <w:rPr>
                <w:sz w:val="18"/>
                <w:szCs w:val="18"/>
              </w:rPr>
            </w:pPr>
          </w:p>
        </w:tc>
      </w:tr>
      <w:tr w:rsidR="00736619" w:rsidRPr="00C73E7D" w14:paraId="0A33BE0F" w14:textId="77777777" w:rsidTr="00ED4B74">
        <w:tc>
          <w:tcPr>
            <w:tcW w:w="0" w:type="auto"/>
          </w:tcPr>
          <w:p w14:paraId="6671415F" w14:textId="7DFDF91D" w:rsidR="00736619" w:rsidRPr="00C73E7D" w:rsidRDefault="00736619" w:rsidP="00925A3F">
            <w:pPr>
              <w:pStyle w:val="NoSpacing"/>
              <w:rPr>
                <w:sz w:val="18"/>
                <w:szCs w:val="18"/>
              </w:rPr>
            </w:pPr>
            <w:r w:rsidRPr="00736619">
              <w:rPr>
                <w:sz w:val="18"/>
                <w:szCs w:val="18"/>
              </w:rPr>
              <w:t>Student involvement</w:t>
            </w:r>
          </w:p>
        </w:tc>
        <w:tc>
          <w:tcPr>
            <w:tcW w:w="0" w:type="auto"/>
          </w:tcPr>
          <w:p w14:paraId="21E5D406" w14:textId="77777777" w:rsidR="00736619" w:rsidRPr="00C73E7D" w:rsidRDefault="00736619" w:rsidP="00925A3F">
            <w:pPr>
              <w:pStyle w:val="NoSpacing"/>
              <w:rPr>
                <w:sz w:val="18"/>
                <w:szCs w:val="18"/>
              </w:rPr>
            </w:pPr>
          </w:p>
        </w:tc>
        <w:tc>
          <w:tcPr>
            <w:tcW w:w="0" w:type="auto"/>
          </w:tcPr>
          <w:p w14:paraId="09039CFC" w14:textId="77777777" w:rsidR="00736619" w:rsidRPr="00C73E7D" w:rsidRDefault="00736619" w:rsidP="00925A3F">
            <w:pPr>
              <w:pStyle w:val="NoSpacing"/>
              <w:rPr>
                <w:sz w:val="18"/>
                <w:szCs w:val="18"/>
              </w:rPr>
            </w:pPr>
          </w:p>
        </w:tc>
        <w:tc>
          <w:tcPr>
            <w:tcW w:w="0" w:type="auto"/>
          </w:tcPr>
          <w:p w14:paraId="6AAA28DD" w14:textId="77777777" w:rsidR="00736619" w:rsidRPr="00C73E7D" w:rsidRDefault="00736619" w:rsidP="00925A3F">
            <w:pPr>
              <w:pStyle w:val="NoSpacing"/>
              <w:rPr>
                <w:sz w:val="18"/>
                <w:szCs w:val="18"/>
              </w:rPr>
            </w:pPr>
          </w:p>
        </w:tc>
        <w:tc>
          <w:tcPr>
            <w:tcW w:w="0" w:type="auto"/>
          </w:tcPr>
          <w:p w14:paraId="1CEEA4C4" w14:textId="77777777" w:rsidR="00736619" w:rsidRPr="00C73E7D" w:rsidRDefault="00736619" w:rsidP="00925A3F">
            <w:pPr>
              <w:pStyle w:val="NoSpacing"/>
              <w:rPr>
                <w:sz w:val="18"/>
                <w:szCs w:val="18"/>
              </w:rPr>
            </w:pPr>
          </w:p>
        </w:tc>
      </w:tr>
      <w:tr w:rsidR="00E205C1" w:rsidRPr="00C73E7D" w14:paraId="76DAE143" w14:textId="77777777" w:rsidTr="00ED4B74">
        <w:tc>
          <w:tcPr>
            <w:tcW w:w="0" w:type="auto"/>
            <w:hideMark/>
          </w:tcPr>
          <w:p w14:paraId="4B89F817" w14:textId="77777777" w:rsidR="00E205C1" w:rsidRPr="00C73E7D" w:rsidRDefault="00E205C1" w:rsidP="00925A3F">
            <w:pPr>
              <w:pStyle w:val="NoSpacing"/>
              <w:rPr>
                <w:sz w:val="18"/>
                <w:szCs w:val="18"/>
              </w:rPr>
            </w:pPr>
            <w:r w:rsidRPr="00C73E7D">
              <w:rPr>
                <w:sz w:val="18"/>
                <w:szCs w:val="18"/>
              </w:rPr>
              <w:t>Local</w:t>
            </w:r>
          </w:p>
        </w:tc>
        <w:tc>
          <w:tcPr>
            <w:tcW w:w="0" w:type="auto"/>
            <w:hideMark/>
          </w:tcPr>
          <w:p w14:paraId="06FF7A14" w14:textId="77777777" w:rsidR="00E205C1" w:rsidRPr="00C73E7D" w:rsidRDefault="00E205C1" w:rsidP="00925A3F">
            <w:pPr>
              <w:pStyle w:val="NoSpacing"/>
              <w:rPr>
                <w:sz w:val="18"/>
                <w:szCs w:val="18"/>
              </w:rPr>
            </w:pPr>
            <w:r w:rsidRPr="00C73E7D">
              <w:rPr>
                <w:sz w:val="18"/>
                <w:szCs w:val="18"/>
              </w:rPr>
              <w:t>9</w:t>
            </w:r>
          </w:p>
        </w:tc>
        <w:tc>
          <w:tcPr>
            <w:tcW w:w="0" w:type="auto"/>
            <w:hideMark/>
          </w:tcPr>
          <w:p w14:paraId="11FAFE13" w14:textId="77777777" w:rsidR="00E205C1" w:rsidRPr="00C73E7D" w:rsidRDefault="00E205C1" w:rsidP="00925A3F">
            <w:pPr>
              <w:pStyle w:val="NoSpacing"/>
              <w:rPr>
                <w:sz w:val="18"/>
                <w:szCs w:val="18"/>
              </w:rPr>
            </w:pPr>
            <w:r w:rsidRPr="00C73E7D">
              <w:rPr>
                <w:sz w:val="18"/>
                <w:szCs w:val="18"/>
              </w:rPr>
              <w:t>10</w:t>
            </w:r>
          </w:p>
        </w:tc>
        <w:tc>
          <w:tcPr>
            <w:tcW w:w="0" w:type="auto"/>
            <w:hideMark/>
          </w:tcPr>
          <w:p w14:paraId="64F1EA34" w14:textId="77777777" w:rsidR="00E205C1" w:rsidRPr="00C73E7D" w:rsidRDefault="00E205C1" w:rsidP="00925A3F">
            <w:pPr>
              <w:pStyle w:val="NoSpacing"/>
              <w:rPr>
                <w:sz w:val="18"/>
                <w:szCs w:val="18"/>
              </w:rPr>
            </w:pPr>
            <w:r w:rsidRPr="00C73E7D">
              <w:rPr>
                <w:sz w:val="18"/>
                <w:szCs w:val="18"/>
              </w:rPr>
              <w:t>3</w:t>
            </w:r>
          </w:p>
        </w:tc>
        <w:tc>
          <w:tcPr>
            <w:tcW w:w="0" w:type="auto"/>
            <w:hideMark/>
          </w:tcPr>
          <w:p w14:paraId="2FB2BBC9" w14:textId="77777777" w:rsidR="00E205C1" w:rsidRPr="00C73E7D" w:rsidRDefault="00E205C1" w:rsidP="00925A3F">
            <w:pPr>
              <w:pStyle w:val="NoSpacing"/>
              <w:rPr>
                <w:sz w:val="18"/>
                <w:szCs w:val="18"/>
              </w:rPr>
            </w:pPr>
            <w:r w:rsidRPr="00C73E7D">
              <w:rPr>
                <w:sz w:val="18"/>
                <w:szCs w:val="18"/>
              </w:rPr>
              <w:t>0.14</w:t>
            </w:r>
          </w:p>
        </w:tc>
      </w:tr>
      <w:tr w:rsidR="00E205C1" w:rsidRPr="00C73E7D" w14:paraId="2704EDC0" w14:textId="77777777" w:rsidTr="00ED4B74">
        <w:tc>
          <w:tcPr>
            <w:tcW w:w="0" w:type="auto"/>
            <w:hideMark/>
          </w:tcPr>
          <w:p w14:paraId="4600BFF9" w14:textId="77777777" w:rsidR="00E205C1" w:rsidRPr="00C73E7D" w:rsidRDefault="00E205C1" w:rsidP="00925A3F">
            <w:pPr>
              <w:pStyle w:val="NoSpacing"/>
              <w:rPr>
                <w:sz w:val="18"/>
                <w:szCs w:val="18"/>
              </w:rPr>
            </w:pPr>
            <w:r w:rsidRPr="00C73E7D">
              <w:rPr>
                <w:sz w:val="18"/>
                <w:szCs w:val="18"/>
              </w:rPr>
              <w:t>State</w:t>
            </w:r>
          </w:p>
        </w:tc>
        <w:tc>
          <w:tcPr>
            <w:tcW w:w="0" w:type="auto"/>
            <w:hideMark/>
          </w:tcPr>
          <w:p w14:paraId="25D19E62" w14:textId="77777777" w:rsidR="00E205C1" w:rsidRPr="00C73E7D" w:rsidRDefault="00E205C1" w:rsidP="00925A3F">
            <w:pPr>
              <w:pStyle w:val="NoSpacing"/>
              <w:rPr>
                <w:sz w:val="18"/>
                <w:szCs w:val="18"/>
              </w:rPr>
            </w:pPr>
            <w:r w:rsidRPr="00C73E7D">
              <w:rPr>
                <w:sz w:val="18"/>
                <w:szCs w:val="18"/>
              </w:rPr>
              <w:t>22</w:t>
            </w:r>
          </w:p>
        </w:tc>
        <w:tc>
          <w:tcPr>
            <w:tcW w:w="0" w:type="auto"/>
            <w:hideMark/>
          </w:tcPr>
          <w:p w14:paraId="75B5D0CB" w14:textId="77777777" w:rsidR="00E205C1" w:rsidRPr="00C73E7D" w:rsidRDefault="00E205C1" w:rsidP="00925A3F">
            <w:pPr>
              <w:pStyle w:val="NoSpacing"/>
              <w:rPr>
                <w:sz w:val="18"/>
                <w:szCs w:val="18"/>
              </w:rPr>
            </w:pPr>
            <w:r w:rsidRPr="00C73E7D">
              <w:rPr>
                <w:sz w:val="18"/>
                <w:szCs w:val="18"/>
              </w:rPr>
              <w:t>15</w:t>
            </w:r>
          </w:p>
        </w:tc>
        <w:tc>
          <w:tcPr>
            <w:tcW w:w="0" w:type="auto"/>
            <w:hideMark/>
          </w:tcPr>
          <w:p w14:paraId="5B17E89E" w14:textId="77777777" w:rsidR="00E205C1" w:rsidRPr="00C73E7D" w:rsidRDefault="00E205C1" w:rsidP="00925A3F">
            <w:pPr>
              <w:pStyle w:val="NoSpacing"/>
              <w:rPr>
                <w:sz w:val="18"/>
                <w:szCs w:val="18"/>
              </w:rPr>
            </w:pPr>
            <w:r w:rsidRPr="00C73E7D">
              <w:rPr>
                <w:sz w:val="18"/>
                <w:szCs w:val="18"/>
              </w:rPr>
              <w:t>6</w:t>
            </w:r>
          </w:p>
        </w:tc>
        <w:tc>
          <w:tcPr>
            <w:tcW w:w="0" w:type="auto"/>
            <w:hideMark/>
          </w:tcPr>
          <w:p w14:paraId="3F43CC64" w14:textId="77777777" w:rsidR="00E205C1" w:rsidRPr="00C73E7D" w:rsidRDefault="00E205C1" w:rsidP="00925A3F">
            <w:pPr>
              <w:pStyle w:val="NoSpacing"/>
              <w:rPr>
                <w:sz w:val="18"/>
                <w:szCs w:val="18"/>
              </w:rPr>
            </w:pPr>
            <w:r w:rsidRPr="00C73E7D">
              <w:rPr>
                <w:sz w:val="18"/>
                <w:szCs w:val="18"/>
              </w:rPr>
              <w:t>0.04</w:t>
            </w:r>
          </w:p>
        </w:tc>
      </w:tr>
      <w:tr w:rsidR="00E205C1" w:rsidRPr="00C73E7D" w14:paraId="751151C3" w14:textId="77777777" w:rsidTr="00ED4B74">
        <w:tc>
          <w:tcPr>
            <w:tcW w:w="0" w:type="auto"/>
            <w:hideMark/>
          </w:tcPr>
          <w:p w14:paraId="032194ED" w14:textId="77777777" w:rsidR="00E205C1" w:rsidRPr="00C73E7D" w:rsidRDefault="00E205C1" w:rsidP="00925A3F">
            <w:pPr>
              <w:pStyle w:val="NoSpacing"/>
              <w:rPr>
                <w:sz w:val="18"/>
                <w:szCs w:val="18"/>
              </w:rPr>
            </w:pPr>
            <w:r w:rsidRPr="00C73E7D">
              <w:rPr>
                <w:sz w:val="18"/>
                <w:szCs w:val="18"/>
              </w:rPr>
              <w:t>Federal</w:t>
            </w:r>
          </w:p>
        </w:tc>
        <w:tc>
          <w:tcPr>
            <w:tcW w:w="0" w:type="auto"/>
            <w:hideMark/>
          </w:tcPr>
          <w:p w14:paraId="3A5B0816" w14:textId="77777777" w:rsidR="00E205C1" w:rsidRPr="00C73E7D" w:rsidRDefault="00E205C1" w:rsidP="00925A3F">
            <w:pPr>
              <w:pStyle w:val="NoSpacing"/>
              <w:rPr>
                <w:sz w:val="18"/>
                <w:szCs w:val="18"/>
              </w:rPr>
            </w:pPr>
            <w:r w:rsidRPr="00C73E7D">
              <w:rPr>
                <w:sz w:val="18"/>
                <w:szCs w:val="18"/>
              </w:rPr>
              <w:t>5</w:t>
            </w:r>
          </w:p>
        </w:tc>
        <w:tc>
          <w:tcPr>
            <w:tcW w:w="0" w:type="auto"/>
            <w:hideMark/>
          </w:tcPr>
          <w:p w14:paraId="5152127A" w14:textId="77777777" w:rsidR="00E205C1" w:rsidRPr="00C73E7D" w:rsidRDefault="00E205C1" w:rsidP="00925A3F">
            <w:pPr>
              <w:pStyle w:val="NoSpacing"/>
              <w:rPr>
                <w:sz w:val="18"/>
                <w:szCs w:val="18"/>
              </w:rPr>
            </w:pPr>
            <w:r w:rsidRPr="00C73E7D">
              <w:rPr>
                <w:sz w:val="18"/>
                <w:szCs w:val="18"/>
              </w:rPr>
              <w:t>9</w:t>
            </w:r>
          </w:p>
        </w:tc>
        <w:tc>
          <w:tcPr>
            <w:tcW w:w="0" w:type="auto"/>
            <w:hideMark/>
          </w:tcPr>
          <w:p w14:paraId="549BC509" w14:textId="77777777" w:rsidR="00E205C1" w:rsidRPr="00C73E7D" w:rsidRDefault="00E205C1" w:rsidP="00925A3F">
            <w:pPr>
              <w:pStyle w:val="NoSpacing"/>
              <w:rPr>
                <w:sz w:val="18"/>
                <w:szCs w:val="18"/>
              </w:rPr>
            </w:pPr>
            <w:r w:rsidRPr="00C73E7D">
              <w:rPr>
                <w:sz w:val="18"/>
                <w:szCs w:val="18"/>
              </w:rPr>
              <w:t>6</w:t>
            </w:r>
          </w:p>
        </w:tc>
        <w:tc>
          <w:tcPr>
            <w:tcW w:w="0" w:type="auto"/>
            <w:hideMark/>
          </w:tcPr>
          <w:p w14:paraId="76E2C7A1" w14:textId="77777777" w:rsidR="00E205C1" w:rsidRPr="00C73E7D" w:rsidRDefault="00E205C1" w:rsidP="00925A3F">
            <w:pPr>
              <w:pStyle w:val="NoSpacing"/>
              <w:rPr>
                <w:sz w:val="18"/>
                <w:szCs w:val="18"/>
              </w:rPr>
            </w:pPr>
            <w:r w:rsidRPr="00C73E7D">
              <w:rPr>
                <w:sz w:val="18"/>
                <w:szCs w:val="18"/>
              </w:rPr>
              <w:t>0.52</w:t>
            </w:r>
          </w:p>
        </w:tc>
      </w:tr>
    </w:tbl>
    <w:p w14:paraId="347AA3CC" w14:textId="77777777" w:rsidR="00E205C1" w:rsidRPr="00C73E7D" w:rsidRDefault="00E205C1" w:rsidP="00925A3F">
      <w:pPr>
        <w:pStyle w:val="NoSpacing"/>
        <w:rPr>
          <w:sz w:val="24"/>
          <w:szCs w:val="24"/>
        </w:rPr>
      </w:pPr>
      <w:r w:rsidRPr="00C73E7D">
        <w:t>Abbreviations: DNP, Doctor of Nursing Practice; PhD, Doctor of Philosophy.</w:t>
      </w:r>
    </w:p>
    <w:p w14:paraId="5FEA899F" w14:textId="77777777" w:rsidR="00E205C1" w:rsidRPr="00C73E7D" w:rsidRDefault="00E205C1" w:rsidP="00AA6360">
      <w:pPr>
        <w:pStyle w:val="Heading1"/>
        <w:rPr>
          <w:rFonts w:asciiTheme="minorHAnsi" w:hAnsiTheme="minorHAnsi" w:cstheme="minorHAnsi"/>
        </w:rPr>
      </w:pPr>
      <w:r w:rsidRPr="00C73E7D">
        <w:rPr>
          <w:rFonts w:asciiTheme="minorHAnsi" w:hAnsiTheme="minorHAnsi" w:cstheme="minorHAnsi"/>
        </w:rPr>
        <w:t>4 DISCUSSION</w:t>
      </w:r>
    </w:p>
    <w:p w14:paraId="43AE81A9" w14:textId="77777777" w:rsidR="00E205C1" w:rsidRPr="00C73E7D" w:rsidRDefault="00E205C1" w:rsidP="00AA6360">
      <w:pPr>
        <w:rPr>
          <w:rFonts w:cstheme="minorHAnsi"/>
        </w:rPr>
      </w:pPr>
      <w:r w:rsidRPr="00C73E7D">
        <w:rPr>
          <w:rFonts w:cstheme="minorHAnsi"/>
        </w:rPr>
        <w:t>Implications from this study suggest that health policy and advocacy education courses are important to graduate education and have been integrated into graduate nursing program curricula. Graduate nursing students at all levels reported that required health policy competencies are being included in their programs, either as stand‐alone health policy courses or have health policy integrated into their curricula.</w:t>
      </w:r>
    </w:p>
    <w:p w14:paraId="18B115A0" w14:textId="77777777" w:rsidR="00E205C1" w:rsidRPr="00C73E7D" w:rsidRDefault="00E205C1" w:rsidP="00AA6360">
      <w:pPr>
        <w:rPr>
          <w:rFonts w:cstheme="minorHAnsi"/>
        </w:rPr>
      </w:pPr>
      <w:r w:rsidRPr="00C73E7D">
        <w:rPr>
          <w:rFonts w:cstheme="minorHAnsi"/>
        </w:rPr>
        <w:t>Although the participants in this study indicated that health policy content is included in their graduate nursing curricula, the makeup of associated educational activities was not consistent between programs. This study also indicated low levels of student involvement in health policy activities across all program types. This low level of policy engagement may stem from the fact that faculty has identified significant barriers to engaging in policy work themselves.</w:t>
      </w:r>
      <w:hyperlink r:id="rId38" w:anchor="nuf12295-bib-0007" w:history="1">
        <w:r w:rsidRPr="00C73E7D">
          <w:rPr>
            <w:rStyle w:val="Hyperlink"/>
            <w:rFonts w:eastAsiaTheme="majorEastAsia" w:cstheme="minorHAnsi"/>
            <w:b/>
            <w:bCs/>
            <w:color w:val="000000"/>
          </w:rPr>
          <w:t>7</w:t>
        </w:r>
      </w:hyperlink>
      <w:r w:rsidRPr="00C73E7D">
        <w:rPr>
          <w:rFonts w:cstheme="minorHAnsi"/>
        </w:rPr>
        <w:t> As was demonstrated in previous research, when faculty is engaged in health policy, it is more likely that students will have policy content included in the classroom.</w:t>
      </w:r>
      <w:hyperlink r:id="rId39" w:anchor="nuf12295-bib-0009" w:history="1">
        <w:r w:rsidRPr="00C73E7D">
          <w:rPr>
            <w:rStyle w:val="Hyperlink"/>
            <w:rFonts w:eastAsiaTheme="majorEastAsia" w:cstheme="minorHAnsi"/>
            <w:b/>
            <w:bCs/>
            <w:color w:val="000000"/>
          </w:rPr>
          <w:t>9</w:t>
        </w:r>
      </w:hyperlink>
      <w:r w:rsidRPr="00C73E7D">
        <w:rPr>
          <w:rFonts w:cstheme="minorHAnsi"/>
        </w:rPr>
        <w:t>, </w:t>
      </w:r>
      <w:hyperlink r:id="rId40" w:anchor="nuf12295-bib-0010" w:history="1">
        <w:r w:rsidRPr="00C73E7D">
          <w:rPr>
            <w:rStyle w:val="Hyperlink"/>
            <w:rFonts w:eastAsiaTheme="majorEastAsia" w:cstheme="minorHAnsi"/>
            <w:b/>
            <w:bCs/>
            <w:color w:val="000000"/>
          </w:rPr>
          <w:t>10</w:t>
        </w:r>
      </w:hyperlink>
      <w:r w:rsidRPr="00C73E7D">
        <w:rPr>
          <w:rFonts w:cstheme="minorHAnsi"/>
        </w:rPr>
        <w:t>Although this was an independent study with a sample of students, our findings relate to previous research in that one potential way to enhance students’ exposure to high‐quality policy content that will translate into action is to remove barriers to faculty policy engagement. This may include faculty focusing on promoting policy advocacy work to students.</w:t>
      </w:r>
    </w:p>
    <w:p w14:paraId="5C975DCF" w14:textId="77777777" w:rsidR="00E205C1" w:rsidRPr="00C73E7D" w:rsidRDefault="00E205C1" w:rsidP="00AA6360">
      <w:pPr>
        <w:rPr>
          <w:rFonts w:cstheme="minorHAnsi"/>
        </w:rPr>
      </w:pPr>
      <w:r w:rsidRPr="00C73E7D">
        <w:rPr>
          <w:rFonts w:cstheme="minorHAnsi"/>
        </w:rPr>
        <w:t>Survey respondents in this study indicated that several health policy activities were included in their graduate education, implying that current graduate nursing students have gained health policy knowledge and advocacy skills. Specifically, the participants indicated that analyzing current health policy proposals and health policies, from the perspectives of consumers, nurses, and other health professional stakeholders were the most common activities undertaken in their curricula. Master’s level students were more likely to indicate that they advocate at the state level compared to DNP and PhD students. Future research should explore why this difference may have occurred.</w:t>
      </w:r>
    </w:p>
    <w:p w14:paraId="35F6C15D" w14:textId="77777777" w:rsidR="00E205C1" w:rsidRPr="00C73E7D" w:rsidRDefault="00E205C1" w:rsidP="00AA6360">
      <w:pPr>
        <w:rPr>
          <w:rFonts w:cstheme="minorHAnsi"/>
        </w:rPr>
      </w:pPr>
      <w:r w:rsidRPr="00C73E7D">
        <w:rPr>
          <w:rFonts w:cstheme="minorHAnsi"/>
        </w:rPr>
        <w:t>According to the study’s participants, health policy courses often do not include the PAS, as a pretest to evaluate students’ baseline health policy knowledge and competencies before taking a health policy course. Since the PAS has been shown to be effective in measuring health policy awareness, utilizing this instrument in graduate nursing programs may offer nurse educators the opportunity to evaluate their teaching effectiveness, particularly when disseminating health policy learning activities and research.</w:t>
      </w:r>
      <w:hyperlink r:id="rId41" w:anchor="nuf12295-bib-0010" w:history="1">
        <w:r w:rsidRPr="00C73E7D">
          <w:rPr>
            <w:rStyle w:val="Hyperlink"/>
            <w:rFonts w:eastAsiaTheme="majorEastAsia" w:cstheme="minorHAnsi"/>
            <w:b/>
            <w:bCs/>
            <w:color w:val="000000"/>
          </w:rPr>
          <w:t>10</w:t>
        </w:r>
      </w:hyperlink>
      <w:r w:rsidRPr="00C73E7D">
        <w:rPr>
          <w:rFonts w:cstheme="minorHAnsi"/>
        </w:rPr>
        <w:t> The PAS may provide the needed content to begin conversations related to health policy matters among nursing students and faculty. Specifically, use of the PAS may also provide education foundations related to engagement efforts with key lawmakers at state and national levels, thus promoting health policy awareness among students. Analyzing research using the PAS when teaching health policy may also provide faculty evidence to incorporate a baseline health policy knowledge assessment of graduate nursing students.</w:t>
      </w:r>
    </w:p>
    <w:p w14:paraId="5664ED97" w14:textId="77777777" w:rsidR="00E205C1" w:rsidRPr="00C73E7D" w:rsidRDefault="00E205C1" w:rsidP="00AA6360">
      <w:pPr>
        <w:rPr>
          <w:rFonts w:cstheme="minorHAnsi"/>
        </w:rPr>
      </w:pPr>
      <w:r w:rsidRPr="00C73E7D">
        <w:rPr>
          <w:rFonts w:cstheme="minorHAnsi"/>
        </w:rPr>
        <w:t>This sample of graduate students is reflective of the national sample of graduate nursing students. In 2017, there were approximately 3.9 million licensed registered nurses (RNs) in the United States. Of these RNs, 158 941 were enrolled in graduate nursing programs, with 45 975 of students graduating in 2016, the year of the survey.</w:t>
      </w:r>
      <w:hyperlink r:id="rId42" w:anchor="nuf12295-bib-0014" w:history="1">
        <w:r w:rsidRPr="00C73E7D">
          <w:rPr>
            <w:rStyle w:val="Hyperlink"/>
            <w:rFonts w:eastAsiaTheme="majorEastAsia" w:cstheme="minorHAnsi"/>
            <w:b/>
            <w:bCs/>
            <w:color w:val="000000"/>
          </w:rPr>
          <w:t>14</w:t>
        </w:r>
      </w:hyperlink>
      <w:r w:rsidRPr="00C73E7D">
        <w:rPr>
          <w:rFonts w:cstheme="minorHAnsi"/>
        </w:rPr>
        <w:t> Of these graduate nursing students, 63.6% (</w:t>
      </w:r>
      <w:r w:rsidRPr="00C73E7D">
        <w:rPr>
          <w:rFonts w:cstheme="minorHAnsi"/>
          <w:i/>
          <w:iCs/>
        </w:rPr>
        <w:t>n</w:t>
      </w:r>
      <w:r w:rsidRPr="00C73E7D">
        <w:rPr>
          <w:rFonts w:cstheme="minorHAnsi"/>
        </w:rPr>
        <w:t> = 5120) were enrolled in master’s programs, 22.1% (</w:t>
      </w:r>
      <w:r w:rsidRPr="00C73E7D">
        <w:rPr>
          <w:rFonts w:cstheme="minorHAnsi"/>
          <w:i/>
          <w:iCs/>
        </w:rPr>
        <w:t>n</w:t>
      </w:r>
      <w:r w:rsidRPr="00C73E7D">
        <w:rPr>
          <w:rFonts w:cstheme="minorHAnsi"/>
        </w:rPr>
        <w:t> = 1781) were enrolled in DNP programs, and 6.6% (</w:t>
      </w:r>
      <w:r w:rsidRPr="00C73E7D">
        <w:rPr>
          <w:rFonts w:cstheme="minorHAnsi"/>
          <w:i/>
          <w:iCs/>
        </w:rPr>
        <w:t>n</w:t>
      </w:r>
      <w:r w:rsidRPr="00C73E7D">
        <w:rPr>
          <w:rFonts w:cstheme="minorHAnsi"/>
        </w:rPr>
        <w:t> = 535) were enrolled in PhD programs.</w:t>
      </w:r>
      <w:hyperlink r:id="rId43" w:anchor="nuf12295-bib-0014" w:history="1">
        <w:r w:rsidRPr="00C73E7D">
          <w:rPr>
            <w:rStyle w:val="Hyperlink"/>
            <w:rFonts w:eastAsiaTheme="majorEastAsia" w:cstheme="minorHAnsi"/>
            <w:b/>
            <w:bCs/>
            <w:color w:val="000000"/>
          </w:rPr>
          <w:t>14</w:t>
        </w:r>
      </w:hyperlink>
      <w:r w:rsidRPr="00C73E7D">
        <w:rPr>
          <w:rFonts w:cstheme="minorHAnsi"/>
        </w:rPr>
        <w:t> This enrollment of graduate nursing students reflects the positive impact and concerted efforts that national nursing organizations, such as AACN, have made to educate and equip nursing faculty with the skills, experiences, and health policy knowledge that will translate to students in their graduate nursing classrooms.</w:t>
      </w:r>
    </w:p>
    <w:p w14:paraId="78FBADC4" w14:textId="77777777" w:rsidR="00E205C1" w:rsidRPr="00C73E7D" w:rsidRDefault="00E205C1" w:rsidP="00AA6360">
      <w:pPr>
        <w:rPr>
          <w:rFonts w:cstheme="minorHAnsi"/>
        </w:rPr>
      </w:pPr>
      <w:r w:rsidRPr="00C73E7D">
        <w:rPr>
          <w:rFonts w:cstheme="minorHAnsi"/>
        </w:rPr>
        <w:t>This study did reveal that the majority of the study’s participants have taken a health policy course and advocacy competencies. While the low level of political involvement is concerning, exposure to policy content in a course may be a first step in recognizing the opportunities they have to influence health policy as for students transition to their practice or faculty roles. Ongoing and future promotion and growth of nurse advocacy efforts by these study participants as they become nurse educators, mentors, clinical experts, and nurse leaders are important as they integrate health policy competencies into their professional practices.</w:t>
      </w:r>
    </w:p>
    <w:p w14:paraId="6A463854" w14:textId="77777777" w:rsidR="00E205C1" w:rsidRPr="00C73E7D" w:rsidRDefault="00E205C1" w:rsidP="00AA6360">
      <w:pPr>
        <w:pStyle w:val="Heading1"/>
        <w:rPr>
          <w:rFonts w:asciiTheme="minorHAnsi" w:hAnsiTheme="minorHAnsi" w:cstheme="minorHAnsi"/>
        </w:rPr>
      </w:pPr>
      <w:r w:rsidRPr="00C73E7D">
        <w:rPr>
          <w:rFonts w:asciiTheme="minorHAnsi" w:hAnsiTheme="minorHAnsi" w:cstheme="minorHAnsi"/>
        </w:rPr>
        <w:t>5 IMPLICATIONS</w:t>
      </w:r>
    </w:p>
    <w:p w14:paraId="22EBDFBC" w14:textId="77777777" w:rsidR="00E205C1" w:rsidRPr="00C73E7D" w:rsidRDefault="00E205C1" w:rsidP="00AA6360">
      <w:pPr>
        <w:rPr>
          <w:rFonts w:cstheme="minorHAnsi"/>
        </w:rPr>
      </w:pPr>
      <w:r w:rsidRPr="00C73E7D">
        <w:rPr>
          <w:rFonts w:cstheme="minorHAnsi"/>
        </w:rPr>
        <w:t>Despite the limitations of a low survey response rate (possibly due to self‐selection and no incentive offered to take the survey), implications for future research are discernible. This study was a “first look” in assessing how health policy content, a necessary curriculum element in the graduate nursing program, is being delivered. Future research may include resampling graduate nursing students in the next few years to determine if policy engagement changed, given the push for nursing schools to ensure students have opportunities for policy engagement. In the meantime, implications of this study suggest that graduate nursing faculty should evaluate their current health policy course and consider possible revisions of current program curricula to integrate more health policy engagement opportunities. Also, the faculty charged with teaching health policy could utilize a reliable and validated precourse/postcourse instrument, such as the PAS, to measure outcomes of their innovative health policy program changes.</w:t>
      </w:r>
    </w:p>
    <w:p w14:paraId="4DF2F461" w14:textId="77777777" w:rsidR="00E205C1" w:rsidRPr="00C73E7D" w:rsidRDefault="00E205C1" w:rsidP="00AA6360">
      <w:pPr>
        <w:rPr>
          <w:rFonts w:cstheme="minorHAnsi"/>
        </w:rPr>
      </w:pPr>
      <w:r w:rsidRPr="00C73E7D">
        <w:rPr>
          <w:rFonts w:cstheme="minorHAnsi"/>
        </w:rPr>
        <w:t>The AACN’s </w:t>
      </w:r>
      <w:r w:rsidRPr="00C73E7D">
        <w:rPr>
          <w:rFonts w:cstheme="minorHAnsi"/>
          <w:i/>
          <w:iCs/>
        </w:rPr>
        <w:t>Essentials</w:t>
      </w:r>
      <w:r w:rsidRPr="00C73E7D">
        <w:rPr>
          <w:rFonts w:cstheme="minorHAnsi"/>
        </w:rPr>
        <w:t> provide a framework when developing health policy courses at all academic levels. Although we cannot assume that simply taking a policy course would inform students about the </w:t>
      </w:r>
      <w:r w:rsidRPr="00C73E7D">
        <w:rPr>
          <w:rFonts w:cstheme="minorHAnsi"/>
          <w:i/>
          <w:iCs/>
        </w:rPr>
        <w:t>Essentials</w:t>
      </w:r>
      <w:r w:rsidRPr="00C73E7D">
        <w:rPr>
          <w:rFonts w:cstheme="minorHAnsi"/>
        </w:rPr>
        <w:t>, the framework allows faculty to model courses for maximum student engagement. At the baccalaureate level, students should possess a basic understanding of healthcare policy, discuss implications of policy on the healthcare delivery system, and be encouraged to participate in legislative efforts.</w:t>
      </w:r>
      <w:hyperlink r:id="rId44" w:anchor="nuf12295-bib-0015" w:history="1">
        <w:r w:rsidRPr="00C73E7D">
          <w:rPr>
            <w:rStyle w:val="Hyperlink"/>
            <w:rFonts w:eastAsiaTheme="majorEastAsia" w:cstheme="minorHAnsi"/>
            <w:b/>
            <w:bCs/>
            <w:color w:val="000000"/>
          </w:rPr>
          <w:t>15</w:t>
        </w:r>
      </w:hyperlink>
      <w:r w:rsidRPr="00C73E7D">
        <w:rPr>
          <w:rFonts w:cstheme="minorHAnsi"/>
        </w:rPr>
        <w:t> Master’s students should be expected to analyze policy at a higher level, often using different nursing perspectives to work with other healthcare professionals to develop, implement, and advocate for policy that impacts the healthcare delivery system.</w:t>
      </w:r>
      <w:hyperlink r:id="rId45" w:anchor="nuf12295-bib-0004" w:history="1">
        <w:r w:rsidRPr="00C73E7D">
          <w:rPr>
            <w:rStyle w:val="Hyperlink"/>
            <w:rFonts w:eastAsiaTheme="majorEastAsia" w:cstheme="minorHAnsi"/>
            <w:b/>
            <w:bCs/>
            <w:color w:val="000000"/>
          </w:rPr>
          <w:t>4</w:t>
        </w:r>
      </w:hyperlink>
      <w:r w:rsidRPr="00C73E7D">
        <w:rPr>
          <w:rFonts w:cstheme="minorHAnsi"/>
        </w:rPr>
        <w:t> As future clinical practice leaders and researchers, DNP and PhD students should be expected to show the highest levels of policy understanding, being able to critically analyze health policy as well as lead, develop, and advocate for future policy initiatives.</w:t>
      </w:r>
      <w:hyperlink r:id="rId46" w:anchor="nuf12295-bib-0005" w:history="1">
        <w:r w:rsidRPr="00C73E7D">
          <w:rPr>
            <w:rStyle w:val="Hyperlink"/>
            <w:rFonts w:eastAsiaTheme="majorEastAsia" w:cstheme="minorHAnsi"/>
            <w:b/>
            <w:bCs/>
            <w:color w:val="000000"/>
          </w:rPr>
          <w:t>5</w:t>
        </w:r>
      </w:hyperlink>
    </w:p>
    <w:p w14:paraId="7C961935" w14:textId="77777777" w:rsidR="00E205C1" w:rsidRPr="00C73E7D" w:rsidRDefault="00E205C1" w:rsidP="00AA6360">
      <w:pPr>
        <w:rPr>
          <w:rFonts w:cstheme="minorHAnsi"/>
        </w:rPr>
      </w:pPr>
      <w:r w:rsidRPr="00C73E7D">
        <w:rPr>
          <w:rFonts w:cstheme="minorHAnsi"/>
        </w:rPr>
        <w:t>This study provides insight into the current state of advocacy education and experience in graduate nursing programs and also offer thoughts about how to evaluate the value and effectiveness of what is being taught. Future research studies evaluating current baccalaureate health policy and advocacy education would provide valuable information so that policy skill‐building in graduate programs may scaffold on previous knowledge. Expanding health policy competencies and thus the confidence of the nursing workforce to advocate for their patients and their families at all levels of nursing education could significantly influence positive healthcare decisions and patient outcomes in the United States.</w:t>
      </w:r>
    </w:p>
    <w:p w14:paraId="2551FCA4" w14:textId="77777777" w:rsidR="00E205C1" w:rsidRPr="00C73E7D" w:rsidRDefault="00E205C1" w:rsidP="00AA6360">
      <w:pPr>
        <w:rPr>
          <w:rFonts w:cstheme="minorHAnsi"/>
        </w:rPr>
      </w:pPr>
      <w:r w:rsidRPr="00C73E7D">
        <w:rPr>
          <w:rFonts w:cstheme="minorHAnsi"/>
        </w:rPr>
        <w:t>Avenues for current nursing faculty to encourage health policy education among graduate students include researching health policy teaching strategies, including the use of standardized evaluation instruments to assess the effectiveness of health policy education in graduate nursing curricula. Development of a different, reliable, and validated instrument to assess graduate nursing faculty and their students’ health policy knowledge may be considered. Future research may include the collection of data including tallying the number of graduate nursing students who participate in “advocacy day” efforts at state and national legislatures.</w:t>
      </w:r>
      <w:hyperlink r:id="rId47" w:anchor="nuf12295-bib-0016" w:history="1">
        <w:r w:rsidRPr="00C73E7D">
          <w:rPr>
            <w:rStyle w:val="Hyperlink"/>
            <w:rFonts w:eastAsiaTheme="majorEastAsia" w:cstheme="minorHAnsi"/>
            <w:b/>
            <w:bCs/>
            <w:color w:val="000000"/>
          </w:rPr>
          <w:t>16</w:t>
        </w:r>
      </w:hyperlink>
      <w:r w:rsidRPr="00C73E7D">
        <w:rPr>
          <w:rFonts w:cstheme="minorHAnsi"/>
        </w:rPr>
        <w:t> Monitoring the rate at which students attend professional health policy training sessions, nurse leadership training, or fellowship programs sponsored by professional nursing organizations are additional data points that may show evidence of integrating health policy competencies into the US nursing curriculum. The increasing number of licensed RNs who serve as state and federal legislators, public spokespersons, board members, national leaders, and professional advocates is perhaps the clearest indicator that health policy and advocacy competencies are being integrated into nursing curricula.</w:t>
      </w:r>
    </w:p>
    <w:p w14:paraId="5555F91E" w14:textId="77777777" w:rsidR="00E205C1" w:rsidRPr="00C73E7D" w:rsidRDefault="00E205C1" w:rsidP="00AA6360">
      <w:pPr>
        <w:pStyle w:val="Heading1"/>
        <w:rPr>
          <w:rFonts w:asciiTheme="minorHAnsi" w:hAnsiTheme="minorHAnsi" w:cstheme="minorHAnsi"/>
        </w:rPr>
      </w:pPr>
      <w:r w:rsidRPr="00C73E7D">
        <w:rPr>
          <w:rFonts w:asciiTheme="minorHAnsi" w:hAnsiTheme="minorHAnsi" w:cstheme="minorHAnsi"/>
        </w:rPr>
        <w:t>6 CONCLUSION</w:t>
      </w:r>
    </w:p>
    <w:p w14:paraId="5E42D00F" w14:textId="77777777" w:rsidR="00E205C1" w:rsidRPr="00C73E7D" w:rsidRDefault="00E205C1" w:rsidP="00AA6360">
      <w:pPr>
        <w:rPr>
          <w:rFonts w:cstheme="minorHAnsi"/>
        </w:rPr>
      </w:pPr>
      <w:r w:rsidRPr="00C73E7D">
        <w:rPr>
          <w:rFonts w:cstheme="minorHAnsi"/>
        </w:rPr>
        <w:t>Health policy content is integrated into the US graduate nursing curricula; however, more research on how this content is delivered is needed to influence future healthcare policy and advocacy efforts. Graduate nursing faculty are encouraged to assess their teaching by administering precourse and postcourse political astuteness instruments and also enhance their course content with learning activities that promote health policy skills. With these slight changes, it is anticipated that nurses can extend their professional activities beyond the patient’s bedside or clinical research arena to engage in health policy efforts at the local, state, national, and international levels. The current healthcare environment is ready for graduates to be active and involved in health policy. As more graduate nurses adopt nursing faculty roles, health policy and advocacy must continue to evolve. The call now is to build on that momentum, to continue to evaluate graduating nurses’ efforts, and to deliver nursing education that ensures all nurses are not only excellent clinicians but are also equipped to effectively engage in health policy development and advocacy.</w:t>
      </w:r>
    </w:p>
    <w:p w14:paraId="4434B953" w14:textId="77777777" w:rsidR="00E205C1" w:rsidRPr="00C73E7D" w:rsidRDefault="00E205C1" w:rsidP="00AA6360">
      <w:pPr>
        <w:pStyle w:val="Heading1"/>
        <w:rPr>
          <w:rFonts w:asciiTheme="minorHAnsi" w:hAnsiTheme="minorHAnsi" w:cstheme="minorHAnsi"/>
        </w:rPr>
      </w:pPr>
      <w:r w:rsidRPr="00C73E7D">
        <w:rPr>
          <w:rFonts w:asciiTheme="minorHAnsi" w:hAnsiTheme="minorHAnsi" w:cstheme="minorHAnsi"/>
        </w:rPr>
        <w:t>ACKNOWLEDGMENTS</w:t>
      </w:r>
    </w:p>
    <w:p w14:paraId="35B671E1" w14:textId="77777777" w:rsidR="00E205C1" w:rsidRPr="00C73E7D" w:rsidRDefault="00E205C1" w:rsidP="00AA6360">
      <w:pPr>
        <w:rPr>
          <w:rFonts w:cstheme="minorHAnsi"/>
        </w:rPr>
      </w:pPr>
      <w:r w:rsidRPr="00C73E7D">
        <w:rPr>
          <w:rFonts w:cstheme="minorHAnsi"/>
        </w:rPr>
        <w:t>The authors wish to thank Bianca Singh, Dr Suzanne Miyamoto, and personnel at American Association of Colleges of Nursing (AACN) for making the 2016 Faculty Policy Intensive (FPI) possible and to the graduate nursing students who participated in this survey. The authors would also like to thank Brook T. Russell, PhD, Assistant Professor, Department of Mathematical Sciences, at Clemson University for his willingness to assist with the statistical analysis of this project. Additionally, the authors would also like to thank Allyson Black, an undergraduate Honors nursing student at Rutgers University working under the mentorship of Dr de Cordova for her contributions of assisting with cleaning of data and gathering literature. All eight FPI fellows received funding to attend a 4‐day seminar at AACN in March 2016. Additionally, Dr de Cordova would like to acknowledge additional funding she received to complete this manuscript from the Agency for Healthcare Research and Quality (1K08HS024339‐01A1) Mentored Clinical Scientist Research Career Development Award.</w:t>
      </w:r>
    </w:p>
    <w:p w14:paraId="7546E981" w14:textId="78CAFD41" w:rsidR="00E205C1" w:rsidRPr="00C73E7D" w:rsidRDefault="000829D8" w:rsidP="000829D8">
      <w:pPr>
        <w:pStyle w:val="Heading1"/>
        <w:rPr>
          <w:rFonts w:asciiTheme="minorHAnsi" w:hAnsiTheme="minorHAnsi" w:cstheme="minorHAnsi"/>
        </w:rPr>
      </w:pPr>
      <w:r w:rsidRPr="00C73E7D">
        <w:rPr>
          <w:rFonts w:asciiTheme="minorHAnsi" w:hAnsiTheme="minorHAnsi" w:cstheme="minorHAnsi"/>
        </w:rPr>
        <w:t>REFERENCES</w:t>
      </w:r>
    </w:p>
    <w:p w14:paraId="41E8B228" w14:textId="35887173" w:rsidR="00960D0A" w:rsidRPr="00C73E7D" w:rsidRDefault="000E76DD" w:rsidP="00925A3F">
      <w:pPr>
        <w:spacing w:after="0"/>
        <w:ind w:left="720" w:hanging="720"/>
        <w:rPr>
          <w:rFonts w:cstheme="minorHAnsi"/>
        </w:rPr>
      </w:pPr>
      <w:r w:rsidRPr="00C73E7D">
        <w:rPr>
          <w:rFonts w:cstheme="minorHAnsi"/>
        </w:rPr>
        <w:t xml:space="preserve">1. </w:t>
      </w:r>
      <w:r w:rsidR="00960D0A" w:rsidRPr="00C73E7D">
        <w:rPr>
          <w:rFonts w:cstheme="minorHAnsi"/>
        </w:rPr>
        <w:t>World Health Organization (2017). Health policy. Retrieved from: </w:t>
      </w:r>
      <w:hyperlink r:id="rId48" w:history="1">
        <w:r w:rsidR="00960D0A" w:rsidRPr="00C73E7D">
          <w:rPr>
            <w:rStyle w:val="Hyperlink"/>
            <w:rFonts w:cstheme="minorHAnsi"/>
          </w:rPr>
          <w:t>http://www.who.int/topics/health_policy/en/</w:t>
        </w:r>
      </w:hyperlink>
    </w:p>
    <w:p w14:paraId="170787D8" w14:textId="4264ADB6" w:rsidR="00960D0A" w:rsidRPr="00C73E7D" w:rsidRDefault="000E76DD" w:rsidP="00925A3F">
      <w:pPr>
        <w:spacing w:after="0"/>
        <w:ind w:left="720" w:hanging="720"/>
        <w:rPr>
          <w:rFonts w:cstheme="minorHAnsi"/>
        </w:rPr>
      </w:pPr>
      <w:r w:rsidRPr="00C73E7D">
        <w:rPr>
          <w:rFonts w:cstheme="minorHAnsi"/>
        </w:rPr>
        <w:t xml:space="preserve">2. </w:t>
      </w:r>
      <w:r w:rsidR="00960D0A" w:rsidRPr="00C73E7D">
        <w:rPr>
          <w:rFonts w:cstheme="minorHAnsi"/>
        </w:rPr>
        <w:t>Robert Wood Johnson Foundation [RWJF] (, 2014). Preparing nurses for leadership in public policy. Retrieved from: </w:t>
      </w:r>
      <w:hyperlink r:id="rId49" w:history="1">
        <w:r w:rsidR="00960D0A" w:rsidRPr="00C73E7D">
          <w:rPr>
            <w:rStyle w:val="Hyperlink"/>
            <w:rFonts w:cstheme="minorHAnsi"/>
          </w:rPr>
          <w:t>https://www.rwjf.org/en/library/articles-and-news/2014/02/preparing-nurses-for-leadership-in-public-policy.html</w:t>
        </w:r>
      </w:hyperlink>
    </w:p>
    <w:p w14:paraId="07EF3E7C" w14:textId="4340B2FE" w:rsidR="00960D0A" w:rsidRPr="00C73E7D" w:rsidRDefault="000E76DD" w:rsidP="00925A3F">
      <w:pPr>
        <w:spacing w:after="0"/>
        <w:ind w:left="720" w:hanging="720"/>
        <w:rPr>
          <w:rFonts w:cstheme="minorHAnsi"/>
        </w:rPr>
      </w:pPr>
      <w:r w:rsidRPr="00C73E7D">
        <w:rPr>
          <w:rFonts w:cstheme="minorHAnsi"/>
        </w:rPr>
        <w:t xml:space="preserve">3. </w:t>
      </w:r>
      <w:r w:rsidR="00960D0A" w:rsidRPr="00C73E7D">
        <w:rPr>
          <w:rFonts w:cstheme="minorHAnsi"/>
        </w:rPr>
        <w:t>The National Academies of Science, Engineering, and Medicine (2010). The future of nursing: leading change, advancing health. Retrieved from: </w:t>
      </w:r>
      <w:hyperlink r:id="rId50" w:history="1">
        <w:r w:rsidR="00960D0A" w:rsidRPr="00C73E7D">
          <w:rPr>
            <w:rStyle w:val="Hyperlink"/>
            <w:rFonts w:cstheme="minorHAnsi"/>
          </w:rPr>
          <w:t>http://www.nationalacademies.org/hmd/Reports/2010/The-Future-of-Nursing-Leading-Change-Advancing-Health.aspx</w:t>
        </w:r>
      </w:hyperlink>
    </w:p>
    <w:p w14:paraId="71FD6C31" w14:textId="4478C53F" w:rsidR="00096F16" w:rsidRPr="00C73E7D" w:rsidRDefault="000E76DD" w:rsidP="00925A3F">
      <w:pPr>
        <w:spacing w:after="0"/>
        <w:ind w:left="720" w:hanging="720"/>
        <w:rPr>
          <w:rFonts w:cstheme="minorHAnsi"/>
        </w:rPr>
      </w:pPr>
      <w:r w:rsidRPr="00C73E7D">
        <w:rPr>
          <w:rFonts w:cstheme="minorHAnsi"/>
        </w:rPr>
        <w:t xml:space="preserve">4. </w:t>
      </w:r>
      <w:r w:rsidR="00096F16" w:rsidRPr="00C73E7D">
        <w:rPr>
          <w:rFonts w:cstheme="minorHAnsi"/>
        </w:rPr>
        <w:t>American Association of Colleges of Nursing (AACN). (2011). The essentials of master’s education in nursing. Retrieved from: </w:t>
      </w:r>
      <w:hyperlink r:id="rId51" w:history="1">
        <w:r w:rsidR="00096F16" w:rsidRPr="00C73E7D">
          <w:rPr>
            <w:rStyle w:val="Hyperlink"/>
            <w:rFonts w:cstheme="minorHAnsi"/>
          </w:rPr>
          <w:t>http://www.aacn.nche.edu/education-resources/MastersEssentials11.pdf</w:t>
        </w:r>
      </w:hyperlink>
    </w:p>
    <w:p w14:paraId="1FCCE36D" w14:textId="7BD5B7B8" w:rsidR="00096F16" w:rsidRPr="00C73E7D" w:rsidRDefault="000E76DD" w:rsidP="00925A3F">
      <w:pPr>
        <w:spacing w:after="0"/>
        <w:ind w:left="720" w:hanging="720"/>
        <w:rPr>
          <w:rFonts w:cstheme="minorHAnsi"/>
        </w:rPr>
      </w:pPr>
      <w:r w:rsidRPr="00C73E7D">
        <w:rPr>
          <w:rFonts w:cstheme="minorHAnsi"/>
        </w:rPr>
        <w:t xml:space="preserve">5. </w:t>
      </w:r>
      <w:r w:rsidR="00096F16" w:rsidRPr="00C73E7D">
        <w:rPr>
          <w:rFonts w:cstheme="minorHAnsi"/>
        </w:rPr>
        <w:t>American Association of Colleges of Nursing (AACN). (2006). The essentials of doctoral education for the advanced practice nursing. Retrieved from </w:t>
      </w:r>
      <w:hyperlink r:id="rId52" w:history="1">
        <w:r w:rsidR="00096F16" w:rsidRPr="00C73E7D">
          <w:rPr>
            <w:rStyle w:val="Hyperlink"/>
            <w:rFonts w:cstheme="minorHAnsi"/>
          </w:rPr>
          <w:t>http://www.aacnnursing.org/Portals/42/Publications/DNPEssentials.pdf</w:t>
        </w:r>
      </w:hyperlink>
    </w:p>
    <w:p w14:paraId="612713DE" w14:textId="7202BE4D" w:rsidR="00096F16" w:rsidRPr="00C73E7D" w:rsidRDefault="000E76DD" w:rsidP="00925A3F">
      <w:pPr>
        <w:spacing w:after="0"/>
        <w:ind w:left="720" w:hanging="720"/>
        <w:rPr>
          <w:rFonts w:cstheme="minorHAnsi"/>
        </w:rPr>
      </w:pPr>
      <w:r w:rsidRPr="00C73E7D">
        <w:rPr>
          <w:rFonts w:cstheme="minorHAnsi"/>
        </w:rPr>
        <w:t xml:space="preserve">6. </w:t>
      </w:r>
      <w:r w:rsidR="00096F16" w:rsidRPr="00C73E7D">
        <w:rPr>
          <w:rFonts w:cstheme="minorHAnsi"/>
        </w:rPr>
        <w:t>American Association of Colleges of Nursing (AACN). (2011). Nursing fact sheet. Retrieved from: </w:t>
      </w:r>
      <w:hyperlink r:id="rId53" w:history="1">
        <w:r w:rsidR="00096F16" w:rsidRPr="00C73E7D">
          <w:rPr>
            <w:rStyle w:val="Hyperlink"/>
            <w:rFonts w:cstheme="minorHAnsi"/>
          </w:rPr>
          <w:t>http://www.aacn.nche.edu/media-relations/fact-sheets/nursing-fact-sheet</w:t>
        </w:r>
      </w:hyperlink>
    </w:p>
    <w:p w14:paraId="243119BE" w14:textId="5A88D22E" w:rsidR="00096F16" w:rsidRPr="00C73E7D" w:rsidRDefault="000E76DD" w:rsidP="00925A3F">
      <w:pPr>
        <w:spacing w:after="0"/>
        <w:ind w:left="720" w:hanging="720"/>
        <w:rPr>
          <w:rFonts w:cstheme="minorHAnsi"/>
        </w:rPr>
      </w:pPr>
      <w:r w:rsidRPr="00C73E7D">
        <w:rPr>
          <w:rFonts w:cstheme="minorHAnsi"/>
        </w:rPr>
        <w:t xml:space="preserve">7. </w:t>
      </w:r>
      <w:r w:rsidR="00096F16" w:rsidRPr="00C73E7D">
        <w:rPr>
          <w:rFonts w:cstheme="minorHAnsi"/>
        </w:rPr>
        <w:t>Staebler S, Campbell J, Cornelius P, et al. Policy and political advocacy: comparison study of nursing faculty to determine current practices, perceptions and barriers to teaching health policy. </w:t>
      </w:r>
      <w:r w:rsidR="00096F16" w:rsidRPr="00C73E7D">
        <w:rPr>
          <w:rFonts w:cstheme="minorHAnsi"/>
          <w:i/>
          <w:iCs/>
        </w:rPr>
        <w:t>J Prof Nurs</w:t>
      </w:r>
      <w:r w:rsidR="00096F16" w:rsidRPr="00C73E7D">
        <w:rPr>
          <w:rFonts w:cstheme="minorHAnsi"/>
        </w:rPr>
        <w:t>. 2017; </w:t>
      </w:r>
      <w:r w:rsidR="00096F16" w:rsidRPr="00C73E7D">
        <w:rPr>
          <w:rFonts w:cstheme="minorHAnsi"/>
          <w:b/>
          <w:bCs/>
        </w:rPr>
        <w:t>33</w:t>
      </w:r>
      <w:r w:rsidR="00096F16" w:rsidRPr="00C73E7D">
        <w:rPr>
          <w:rFonts w:cstheme="minorHAnsi"/>
        </w:rPr>
        <w:t>( 5): 350‐ 355. </w:t>
      </w:r>
      <w:hyperlink r:id="rId54" w:history="1">
        <w:r w:rsidR="00096F16" w:rsidRPr="00C73E7D">
          <w:rPr>
            <w:rStyle w:val="Hyperlink"/>
            <w:rFonts w:cstheme="minorHAnsi"/>
          </w:rPr>
          <w:t>https://doi.org/10.1016/j.profnurs.2017.04.001</w:t>
        </w:r>
      </w:hyperlink>
    </w:p>
    <w:p w14:paraId="6B3C0804" w14:textId="6A549C8A" w:rsidR="00096F16" w:rsidRPr="00C73E7D" w:rsidRDefault="000E76DD" w:rsidP="00925A3F">
      <w:pPr>
        <w:spacing w:after="0"/>
        <w:ind w:left="720" w:hanging="720"/>
        <w:rPr>
          <w:rFonts w:cstheme="minorHAnsi"/>
        </w:rPr>
      </w:pPr>
      <w:r w:rsidRPr="00C73E7D">
        <w:rPr>
          <w:rFonts w:cstheme="minorHAnsi"/>
        </w:rPr>
        <w:t xml:space="preserve">8. </w:t>
      </w:r>
      <w:r w:rsidR="00096F16" w:rsidRPr="00C73E7D">
        <w:rPr>
          <w:rFonts w:cstheme="minorHAnsi"/>
        </w:rPr>
        <w:t>Des Jardin KE. Home study program: political involvement in nursing—education and empowerment. </w:t>
      </w:r>
      <w:r w:rsidR="00096F16" w:rsidRPr="00C73E7D">
        <w:rPr>
          <w:rFonts w:cstheme="minorHAnsi"/>
          <w:i/>
          <w:iCs/>
        </w:rPr>
        <w:t>AORN J</w:t>
      </w:r>
      <w:r w:rsidR="00096F16" w:rsidRPr="00C73E7D">
        <w:rPr>
          <w:rFonts w:cstheme="minorHAnsi"/>
        </w:rPr>
        <w:t>. 2001; </w:t>
      </w:r>
      <w:r w:rsidR="00096F16" w:rsidRPr="00C73E7D">
        <w:rPr>
          <w:rFonts w:cstheme="minorHAnsi"/>
          <w:b/>
          <w:bCs/>
        </w:rPr>
        <w:t>74</w:t>
      </w:r>
      <w:r w:rsidR="00096F16" w:rsidRPr="00C73E7D">
        <w:rPr>
          <w:rFonts w:cstheme="minorHAnsi"/>
        </w:rPr>
        <w:t>( 4): 467‐ 471. 473‐475. </w:t>
      </w:r>
      <w:hyperlink r:id="rId55" w:history="1">
        <w:r w:rsidR="00096F16" w:rsidRPr="00C73E7D">
          <w:rPr>
            <w:rStyle w:val="Hyperlink"/>
            <w:rFonts w:cstheme="minorHAnsi"/>
          </w:rPr>
          <w:t>https://doi.org/10.1016/S0001‐2092(06)61679‐7</w:t>
        </w:r>
      </w:hyperlink>
    </w:p>
    <w:p w14:paraId="6EE8466F" w14:textId="054E8B1B" w:rsidR="00096F16" w:rsidRPr="00C73E7D" w:rsidRDefault="000E76DD" w:rsidP="00925A3F">
      <w:pPr>
        <w:spacing w:after="0"/>
        <w:ind w:left="720" w:hanging="720"/>
        <w:rPr>
          <w:rFonts w:cstheme="minorHAnsi"/>
        </w:rPr>
      </w:pPr>
      <w:r w:rsidRPr="00C73E7D">
        <w:rPr>
          <w:rFonts w:cstheme="minorHAnsi"/>
        </w:rPr>
        <w:t xml:space="preserve">9. </w:t>
      </w:r>
      <w:r w:rsidR="00096F16" w:rsidRPr="00C73E7D">
        <w:rPr>
          <w:rFonts w:cstheme="minorHAnsi"/>
        </w:rPr>
        <w:t>Pace A, Flowers S. Students’ perception of professional advocacy following a political advocacy course. </w:t>
      </w:r>
      <w:r w:rsidR="00096F16" w:rsidRPr="00C73E7D">
        <w:rPr>
          <w:rFonts w:cstheme="minorHAnsi"/>
          <w:i/>
          <w:iCs/>
        </w:rPr>
        <w:t>Currents in Pharmacy Teaching &amp; Learning</w:t>
      </w:r>
      <w:r w:rsidR="00096F16" w:rsidRPr="00C73E7D">
        <w:rPr>
          <w:rFonts w:cstheme="minorHAnsi"/>
        </w:rPr>
        <w:t>. 2012; </w:t>
      </w:r>
      <w:r w:rsidR="00096F16" w:rsidRPr="00C73E7D">
        <w:rPr>
          <w:rFonts w:cstheme="minorHAnsi"/>
          <w:b/>
          <w:bCs/>
        </w:rPr>
        <w:t>4</w:t>
      </w:r>
      <w:r w:rsidR="00096F16" w:rsidRPr="00C73E7D">
        <w:rPr>
          <w:rFonts w:cstheme="minorHAnsi"/>
        </w:rPr>
        <w:t>( 1): 34‐ 38. </w:t>
      </w:r>
      <w:hyperlink r:id="rId56" w:history="1">
        <w:r w:rsidR="00096F16" w:rsidRPr="00C73E7D">
          <w:rPr>
            <w:rStyle w:val="Hyperlink"/>
            <w:rFonts w:cstheme="minorHAnsi"/>
          </w:rPr>
          <w:t>https://doi.org/10.1016/j.cptl.2011.10.005</w:t>
        </w:r>
      </w:hyperlink>
    </w:p>
    <w:p w14:paraId="2473E300" w14:textId="6CD403F7" w:rsidR="00096F16" w:rsidRPr="00C73E7D" w:rsidRDefault="000E76DD" w:rsidP="00925A3F">
      <w:pPr>
        <w:spacing w:after="0"/>
        <w:ind w:left="720" w:hanging="720"/>
        <w:rPr>
          <w:rFonts w:cstheme="minorHAnsi"/>
        </w:rPr>
      </w:pPr>
      <w:r w:rsidRPr="00C73E7D">
        <w:rPr>
          <w:rFonts w:cstheme="minorHAnsi"/>
        </w:rPr>
        <w:t xml:space="preserve">10. </w:t>
      </w:r>
      <w:r w:rsidR="00096F16" w:rsidRPr="00C73E7D">
        <w:rPr>
          <w:rFonts w:cstheme="minorHAnsi"/>
        </w:rPr>
        <w:t>Byrd ME, Costello J, Gremel K, Schwager J, Blanchette L, Malloy TE. Political astuteness of baccalaureate nursing students following an active learning experience in health policy. </w:t>
      </w:r>
      <w:r w:rsidR="00096F16" w:rsidRPr="00C73E7D">
        <w:rPr>
          <w:rFonts w:cstheme="minorHAnsi"/>
          <w:i/>
          <w:iCs/>
        </w:rPr>
        <w:t>Public Health Nurs</w:t>
      </w:r>
      <w:r w:rsidR="00096F16" w:rsidRPr="00C73E7D">
        <w:rPr>
          <w:rFonts w:cstheme="minorHAnsi"/>
        </w:rPr>
        <w:t>. 2012; </w:t>
      </w:r>
      <w:r w:rsidR="00096F16" w:rsidRPr="00C73E7D">
        <w:rPr>
          <w:rFonts w:cstheme="minorHAnsi"/>
          <w:b/>
          <w:bCs/>
        </w:rPr>
        <w:t>29</w:t>
      </w:r>
      <w:r w:rsidR="00096F16" w:rsidRPr="00C73E7D">
        <w:rPr>
          <w:rFonts w:cstheme="minorHAnsi"/>
        </w:rPr>
        <w:t>( 5): 433‐ 443. </w:t>
      </w:r>
      <w:hyperlink r:id="rId57" w:history="1">
        <w:r w:rsidR="00096F16" w:rsidRPr="00C73E7D">
          <w:rPr>
            <w:rStyle w:val="Hyperlink"/>
            <w:rFonts w:cstheme="minorHAnsi"/>
          </w:rPr>
          <w:t>https://doi.org/10.1111/j.1525‐1446.2012.01032.x</w:t>
        </w:r>
      </w:hyperlink>
    </w:p>
    <w:p w14:paraId="5DC26665" w14:textId="6E99B9B7" w:rsidR="00096F16" w:rsidRPr="00C73E7D" w:rsidRDefault="000E76DD" w:rsidP="00925A3F">
      <w:pPr>
        <w:spacing w:after="0"/>
        <w:ind w:left="720" w:hanging="720"/>
        <w:rPr>
          <w:rFonts w:cstheme="minorHAnsi"/>
        </w:rPr>
      </w:pPr>
      <w:r w:rsidRPr="00C73E7D">
        <w:rPr>
          <w:rFonts w:cstheme="minorHAnsi"/>
        </w:rPr>
        <w:t xml:space="preserve">11. </w:t>
      </w:r>
      <w:r w:rsidR="00096F16" w:rsidRPr="00C73E7D">
        <w:rPr>
          <w:rFonts w:cstheme="minorHAnsi"/>
        </w:rPr>
        <w:t>Primomo J. Changes in political astuteness after a health system and policy course. </w:t>
      </w:r>
      <w:r w:rsidR="00096F16" w:rsidRPr="00C73E7D">
        <w:rPr>
          <w:rFonts w:cstheme="minorHAnsi"/>
          <w:i/>
          <w:iCs/>
        </w:rPr>
        <w:t>Nurse Educ</w:t>
      </w:r>
      <w:r w:rsidR="00096F16" w:rsidRPr="00C73E7D">
        <w:rPr>
          <w:rFonts w:cstheme="minorHAnsi"/>
        </w:rPr>
        <w:t>. 2007; </w:t>
      </w:r>
      <w:r w:rsidR="00096F16" w:rsidRPr="00C73E7D">
        <w:rPr>
          <w:rFonts w:cstheme="minorHAnsi"/>
          <w:b/>
          <w:bCs/>
        </w:rPr>
        <w:t>32</w:t>
      </w:r>
      <w:r w:rsidR="00096F16" w:rsidRPr="00C73E7D">
        <w:rPr>
          <w:rFonts w:cstheme="minorHAnsi"/>
        </w:rPr>
        <w:t>( 6): 260‐ 264. </w:t>
      </w:r>
      <w:hyperlink r:id="rId58" w:history="1">
        <w:r w:rsidR="00096F16" w:rsidRPr="00C73E7D">
          <w:rPr>
            <w:rStyle w:val="Hyperlink"/>
            <w:rFonts w:cstheme="minorHAnsi"/>
          </w:rPr>
          <w:t>https://doi.org/10.1097/01.NNE.0000299480.54506.44</w:t>
        </w:r>
      </w:hyperlink>
    </w:p>
    <w:p w14:paraId="58EBB1D8" w14:textId="4826013C" w:rsidR="00096F16" w:rsidRPr="00C73E7D" w:rsidRDefault="000E76DD" w:rsidP="00925A3F">
      <w:pPr>
        <w:spacing w:after="0"/>
        <w:ind w:left="720" w:hanging="720"/>
        <w:rPr>
          <w:rFonts w:cstheme="minorHAnsi"/>
        </w:rPr>
      </w:pPr>
      <w:r w:rsidRPr="00C73E7D">
        <w:rPr>
          <w:rFonts w:cstheme="minorHAnsi"/>
        </w:rPr>
        <w:t xml:space="preserve">12. </w:t>
      </w:r>
      <w:r w:rsidR="00096F16" w:rsidRPr="00C73E7D">
        <w:rPr>
          <w:rFonts w:cstheme="minorHAnsi"/>
        </w:rPr>
        <w:t>R Core Team. </w:t>
      </w:r>
      <w:r w:rsidR="00096F16" w:rsidRPr="00C73E7D">
        <w:rPr>
          <w:rFonts w:cstheme="minorHAnsi"/>
          <w:i/>
          <w:iCs/>
        </w:rPr>
        <w:t>R: A Language and Environment for Statistical Computing</w:t>
      </w:r>
      <w:r w:rsidR="00096F16" w:rsidRPr="00C73E7D">
        <w:rPr>
          <w:rFonts w:cstheme="minorHAnsi"/>
        </w:rPr>
        <w:t>. Vienna, Austria: R Foundation for Statistical Computing; 2017. Retrieved from. </w:t>
      </w:r>
      <w:hyperlink r:id="rId59" w:history="1">
        <w:r w:rsidR="00096F16" w:rsidRPr="00C73E7D">
          <w:rPr>
            <w:rStyle w:val="Hyperlink"/>
            <w:rFonts w:cstheme="minorHAnsi"/>
          </w:rPr>
          <w:t>https://www.R‐project.org/</w:t>
        </w:r>
      </w:hyperlink>
    </w:p>
    <w:p w14:paraId="144E8554" w14:textId="2227CADC" w:rsidR="00096F16" w:rsidRPr="00C73E7D" w:rsidRDefault="000E76DD" w:rsidP="00925A3F">
      <w:pPr>
        <w:spacing w:after="0"/>
        <w:ind w:left="720" w:hanging="720"/>
        <w:rPr>
          <w:rFonts w:cstheme="minorHAnsi"/>
        </w:rPr>
      </w:pPr>
      <w:r w:rsidRPr="00C73E7D">
        <w:rPr>
          <w:rFonts w:cstheme="minorHAnsi"/>
        </w:rPr>
        <w:t xml:space="preserve">13. </w:t>
      </w:r>
      <w:r w:rsidR="00096F16" w:rsidRPr="00C73E7D">
        <w:rPr>
          <w:rFonts w:cstheme="minorHAnsi"/>
        </w:rPr>
        <w:t>Erdfelder E, Faul F, Buchner A. GPOWER: a general power analysis program. </w:t>
      </w:r>
      <w:r w:rsidR="00096F16" w:rsidRPr="00C73E7D">
        <w:rPr>
          <w:rFonts w:cstheme="minorHAnsi"/>
          <w:i/>
          <w:iCs/>
        </w:rPr>
        <w:t>Behav Res Methods Instrum Comput</w:t>
      </w:r>
      <w:r w:rsidR="00096F16" w:rsidRPr="00C73E7D">
        <w:rPr>
          <w:rFonts w:cstheme="minorHAnsi"/>
        </w:rPr>
        <w:t>. 1996; </w:t>
      </w:r>
      <w:r w:rsidR="00096F16" w:rsidRPr="00C73E7D">
        <w:rPr>
          <w:rFonts w:cstheme="minorHAnsi"/>
          <w:b/>
          <w:bCs/>
        </w:rPr>
        <w:t>28</w:t>
      </w:r>
      <w:r w:rsidR="00096F16" w:rsidRPr="00C73E7D">
        <w:rPr>
          <w:rFonts w:cstheme="minorHAnsi"/>
        </w:rPr>
        <w:t>: 1‐ 11.</w:t>
      </w:r>
    </w:p>
    <w:p w14:paraId="5B011D92" w14:textId="19FABB9C" w:rsidR="00096F16" w:rsidRPr="00C73E7D" w:rsidRDefault="000E76DD" w:rsidP="00925A3F">
      <w:pPr>
        <w:spacing w:after="0"/>
        <w:ind w:left="720" w:hanging="720"/>
        <w:rPr>
          <w:rFonts w:cstheme="minorHAnsi"/>
        </w:rPr>
      </w:pPr>
      <w:r w:rsidRPr="00C73E7D">
        <w:rPr>
          <w:rFonts w:cstheme="minorHAnsi"/>
        </w:rPr>
        <w:t xml:space="preserve">14. </w:t>
      </w:r>
      <w:r w:rsidR="00096F16" w:rsidRPr="00C73E7D">
        <w:rPr>
          <w:rFonts w:cstheme="minorHAnsi"/>
        </w:rPr>
        <w:t>American Association of Colleges of Nursing (AACN) (2017). National Snapshot. Retrieved from: </w:t>
      </w:r>
      <w:hyperlink r:id="rId60" w:history="1">
        <w:r w:rsidR="00096F16" w:rsidRPr="00C73E7D">
          <w:rPr>
            <w:rStyle w:val="Hyperlink"/>
            <w:rFonts w:cstheme="minorHAnsi"/>
          </w:rPr>
          <w:t>http://www.aacn.nche.edu/government-affairs/US-Nursing-Education-Snapshot.pdf</w:t>
        </w:r>
      </w:hyperlink>
    </w:p>
    <w:p w14:paraId="0A03E5A5" w14:textId="14A1B5B4" w:rsidR="00096F16" w:rsidRPr="00C73E7D" w:rsidRDefault="000E76DD" w:rsidP="00925A3F">
      <w:pPr>
        <w:spacing w:after="0"/>
        <w:ind w:left="720" w:hanging="720"/>
        <w:rPr>
          <w:rFonts w:cstheme="minorHAnsi"/>
        </w:rPr>
      </w:pPr>
      <w:r w:rsidRPr="00C73E7D">
        <w:rPr>
          <w:rFonts w:cstheme="minorHAnsi"/>
        </w:rPr>
        <w:t xml:space="preserve">15. </w:t>
      </w:r>
      <w:r w:rsidR="00096F16" w:rsidRPr="00C73E7D">
        <w:rPr>
          <w:rFonts w:cstheme="minorHAnsi"/>
        </w:rPr>
        <w:t>American Association of Colleges of Nursing (AACN). (2011). The essentials of baccalaureate education for professional nursing. Retrieved from </w:t>
      </w:r>
      <w:hyperlink r:id="rId61" w:history="1">
        <w:r w:rsidR="00096F16" w:rsidRPr="00C73E7D">
          <w:rPr>
            <w:rStyle w:val="Hyperlink"/>
            <w:rFonts w:cstheme="minorHAnsi"/>
          </w:rPr>
          <w:t>http://www.aacnnursing.org/Portals/42/Publications/BaccEssentials08.pdf</w:t>
        </w:r>
      </w:hyperlink>
      <w:r w:rsidR="00096F16" w:rsidRPr="00C73E7D">
        <w:rPr>
          <w:rFonts w:cstheme="minorHAnsi"/>
        </w:rPr>
        <w:t>.</w:t>
      </w:r>
    </w:p>
    <w:p w14:paraId="1C9630F8" w14:textId="648AF987" w:rsidR="00096F16" w:rsidRPr="00C73E7D" w:rsidRDefault="000E76DD" w:rsidP="00925A3F">
      <w:pPr>
        <w:spacing w:after="0"/>
        <w:ind w:left="720" w:hanging="720"/>
        <w:rPr>
          <w:rFonts w:cstheme="minorHAnsi"/>
        </w:rPr>
      </w:pPr>
      <w:r w:rsidRPr="00C73E7D">
        <w:rPr>
          <w:rFonts w:cstheme="minorHAnsi"/>
        </w:rPr>
        <w:t xml:space="preserve">16. </w:t>
      </w:r>
      <w:r w:rsidR="00096F16" w:rsidRPr="00C73E7D">
        <w:rPr>
          <w:rFonts w:cstheme="minorHAnsi"/>
        </w:rPr>
        <w:t>Primomo J, Björling EA. Changes in political astuteness following nurse legislative day. </w:t>
      </w:r>
      <w:r w:rsidR="00096F16" w:rsidRPr="00C73E7D">
        <w:rPr>
          <w:rFonts w:cstheme="minorHAnsi"/>
          <w:i/>
          <w:iCs/>
        </w:rPr>
        <w:t>Policy Polit Nurs Pract</w:t>
      </w:r>
      <w:r w:rsidR="00096F16" w:rsidRPr="00C73E7D">
        <w:rPr>
          <w:rFonts w:cstheme="minorHAnsi"/>
        </w:rPr>
        <w:t>. 2013; </w:t>
      </w:r>
      <w:r w:rsidR="00096F16" w:rsidRPr="00C73E7D">
        <w:rPr>
          <w:rFonts w:cstheme="minorHAnsi"/>
          <w:b/>
          <w:bCs/>
        </w:rPr>
        <w:t>14</w:t>
      </w:r>
      <w:r w:rsidR="00096F16" w:rsidRPr="00C73E7D">
        <w:rPr>
          <w:rFonts w:cstheme="minorHAnsi"/>
        </w:rPr>
        <w:t>( 2): 97‐ 108. </w:t>
      </w:r>
      <w:hyperlink r:id="rId62" w:history="1">
        <w:r w:rsidR="00096F16" w:rsidRPr="00C73E7D">
          <w:rPr>
            <w:rStyle w:val="Hyperlink"/>
            <w:rFonts w:cstheme="minorHAnsi"/>
          </w:rPr>
          <w:t>https://doi.org/10.1177/1527154413485901</w:t>
        </w:r>
      </w:hyperlink>
    </w:p>
    <w:p w14:paraId="0A0A21F1" w14:textId="177C741D" w:rsidR="00096F16" w:rsidRPr="00C73E7D" w:rsidRDefault="000E76DD" w:rsidP="00925A3F">
      <w:pPr>
        <w:spacing w:after="0"/>
        <w:ind w:left="720" w:hanging="720"/>
        <w:rPr>
          <w:rFonts w:cstheme="minorHAnsi"/>
        </w:rPr>
      </w:pPr>
      <w:r w:rsidRPr="00C73E7D">
        <w:rPr>
          <w:rFonts w:cstheme="minorHAnsi"/>
        </w:rPr>
        <w:t xml:space="preserve">17. </w:t>
      </w:r>
      <w:r w:rsidR="00096F16" w:rsidRPr="00C73E7D">
        <w:rPr>
          <w:rFonts w:cstheme="minorHAnsi"/>
        </w:rPr>
        <w:t>Cohen SS, Milone‐Nuzzo P. Advancing health policy in nursing education through service learning. </w:t>
      </w:r>
      <w:r w:rsidR="00096F16" w:rsidRPr="00C73E7D">
        <w:rPr>
          <w:rFonts w:cstheme="minorHAnsi"/>
          <w:i/>
          <w:iCs/>
        </w:rPr>
        <w:t>ANS Adv Nurs Sci</w:t>
      </w:r>
      <w:r w:rsidR="00096F16" w:rsidRPr="00C73E7D">
        <w:rPr>
          <w:rFonts w:cstheme="minorHAnsi"/>
        </w:rPr>
        <w:t>. 2001; </w:t>
      </w:r>
      <w:r w:rsidR="00096F16" w:rsidRPr="00C73E7D">
        <w:rPr>
          <w:rFonts w:cstheme="minorHAnsi"/>
          <w:b/>
          <w:bCs/>
        </w:rPr>
        <w:t>23</w:t>
      </w:r>
      <w:r w:rsidR="00096F16" w:rsidRPr="00C73E7D">
        <w:rPr>
          <w:rFonts w:cstheme="minorHAnsi"/>
        </w:rPr>
        <w:t>( 3): 28‐ 40.</w:t>
      </w:r>
    </w:p>
    <w:p w14:paraId="1E62AD09" w14:textId="77777777" w:rsidR="00960D0A" w:rsidRPr="00C73E7D" w:rsidRDefault="00960D0A" w:rsidP="00925A3F">
      <w:pPr>
        <w:spacing w:after="0"/>
        <w:rPr>
          <w:rFonts w:cstheme="minorHAnsi"/>
        </w:rPr>
      </w:pPr>
    </w:p>
    <w:sectPr w:rsidR="00960D0A" w:rsidRPr="00C73E7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25626"/>
    <w:multiLevelType w:val="multilevel"/>
    <w:tmpl w:val="49CC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CF5B5F"/>
    <w:multiLevelType w:val="multilevel"/>
    <w:tmpl w:val="47309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A90884"/>
    <w:multiLevelType w:val="multilevel"/>
    <w:tmpl w:val="E178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0D0F28"/>
    <w:multiLevelType w:val="multilevel"/>
    <w:tmpl w:val="4920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D8263A"/>
    <w:multiLevelType w:val="multilevel"/>
    <w:tmpl w:val="7FA67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0018AE"/>
    <w:multiLevelType w:val="multilevel"/>
    <w:tmpl w:val="1A765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597EED"/>
    <w:multiLevelType w:val="hybridMultilevel"/>
    <w:tmpl w:val="09AEB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SkJ0TV9nxnNRJs/ZeYbbK3B5jIQ2Bakl/Woh5WGN/BiByGcd7Xkk1jmREouA36HEZAvZqkiZCd4CqBBRTt/fTA==" w:salt="AF2zqkR6VQEv2vzmt1HHX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565"/>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9D8"/>
    <w:rsid w:val="00083102"/>
    <w:rsid w:val="000846CC"/>
    <w:rsid w:val="00085797"/>
    <w:rsid w:val="000862E1"/>
    <w:rsid w:val="00087367"/>
    <w:rsid w:val="0009064A"/>
    <w:rsid w:val="00091815"/>
    <w:rsid w:val="00092DFF"/>
    <w:rsid w:val="00093C1A"/>
    <w:rsid w:val="00096F16"/>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6DD"/>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25E5"/>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2474"/>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B7390"/>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6E6A"/>
    <w:rsid w:val="00360206"/>
    <w:rsid w:val="003624EE"/>
    <w:rsid w:val="003632E1"/>
    <w:rsid w:val="00363CD3"/>
    <w:rsid w:val="003656A9"/>
    <w:rsid w:val="00366852"/>
    <w:rsid w:val="003706EF"/>
    <w:rsid w:val="00370AF7"/>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5DBA"/>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87FB1"/>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6619"/>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1867"/>
    <w:rsid w:val="00821A3D"/>
    <w:rsid w:val="00822617"/>
    <w:rsid w:val="00824B15"/>
    <w:rsid w:val="008322E3"/>
    <w:rsid w:val="00833DBB"/>
    <w:rsid w:val="00834DF7"/>
    <w:rsid w:val="00836F01"/>
    <w:rsid w:val="008406F5"/>
    <w:rsid w:val="00841243"/>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3712"/>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3611"/>
    <w:rsid w:val="00925107"/>
    <w:rsid w:val="00925421"/>
    <w:rsid w:val="00925A3F"/>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0D0A"/>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5228"/>
    <w:rsid w:val="00A11F34"/>
    <w:rsid w:val="00A1350A"/>
    <w:rsid w:val="00A231A4"/>
    <w:rsid w:val="00A310DA"/>
    <w:rsid w:val="00A32FCB"/>
    <w:rsid w:val="00A3561C"/>
    <w:rsid w:val="00A400BC"/>
    <w:rsid w:val="00A40701"/>
    <w:rsid w:val="00A418D2"/>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4B41"/>
    <w:rsid w:val="00A868FB"/>
    <w:rsid w:val="00A915ED"/>
    <w:rsid w:val="00A91CF2"/>
    <w:rsid w:val="00A93BA4"/>
    <w:rsid w:val="00A9416E"/>
    <w:rsid w:val="00AA493D"/>
    <w:rsid w:val="00AA6360"/>
    <w:rsid w:val="00AB0E99"/>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3E7D"/>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27BB3"/>
    <w:rsid w:val="00D31043"/>
    <w:rsid w:val="00D32077"/>
    <w:rsid w:val="00D324C0"/>
    <w:rsid w:val="00D34A13"/>
    <w:rsid w:val="00D3640D"/>
    <w:rsid w:val="00D3698B"/>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05C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36A4"/>
    <w:rsid w:val="00E95F4D"/>
    <w:rsid w:val="00E97067"/>
    <w:rsid w:val="00EA6E8E"/>
    <w:rsid w:val="00EA7978"/>
    <w:rsid w:val="00EA7D19"/>
    <w:rsid w:val="00EB6443"/>
    <w:rsid w:val="00EB7F70"/>
    <w:rsid w:val="00EC4C2A"/>
    <w:rsid w:val="00EC6764"/>
    <w:rsid w:val="00EC726F"/>
    <w:rsid w:val="00EC7743"/>
    <w:rsid w:val="00EC7B8C"/>
    <w:rsid w:val="00ED2540"/>
    <w:rsid w:val="00ED48A6"/>
    <w:rsid w:val="00ED4B74"/>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205C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205C1"/>
    <w:rPr>
      <w:color w:val="0000FF"/>
      <w:u w:val="single"/>
    </w:rPr>
  </w:style>
  <w:style w:type="character" w:customStyle="1" w:styleId="number">
    <w:name w:val="number"/>
    <w:basedOn w:val="DefaultParagraphFont"/>
    <w:rsid w:val="00E205C1"/>
  </w:style>
  <w:style w:type="character" w:customStyle="1" w:styleId="table-captionlabel">
    <w:name w:val="table-caption__label"/>
    <w:basedOn w:val="DefaultParagraphFont"/>
    <w:rsid w:val="00E205C1"/>
  </w:style>
  <w:style w:type="character" w:styleId="UnresolvedMention">
    <w:name w:val="Unresolved Mention"/>
    <w:basedOn w:val="DefaultParagraphFont"/>
    <w:uiPriority w:val="99"/>
    <w:semiHidden/>
    <w:unhideWhenUsed/>
    <w:rsid w:val="00960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687910">
      <w:bodyDiv w:val="1"/>
      <w:marLeft w:val="0"/>
      <w:marRight w:val="0"/>
      <w:marTop w:val="0"/>
      <w:marBottom w:val="0"/>
      <w:divBdr>
        <w:top w:val="none" w:sz="0" w:space="0" w:color="auto"/>
        <w:left w:val="none" w:sz="0" w:space="0" w:color="auto"/>
        <w:bottom w:val="none" w:sz="0" w:space="0" w:color="auto"/>
        <w:right w:val="none" w:sz="0" w:space="0" w:color="auto"/>
      </w:divBdr>
      <w:divsChild>
        <w:div w:id="1712534486">
          <w:marLeft w:val="0"/>
          <w:marRight w:val="0"/>
          <w:marTop w:val="0"/>
          <w:marBottom w:val="0"/>
          <w:divBdr>
            <w:top w:val="none" w:sz="0" w:space="0" w:color="auto"/>
            <w:left w:val="none" w:sz="0" w:space="0" w:color="auto"/>
            <w:bottom w:val="none" w:sz="0" w:space="0" w:color="auto"/>
            <w:right w:val="none" w:sz="0" w:space="0" w:color="auto"/>
          </w:divBdr>
          <w:divsChild>
            <w:div w:id="397947967">
              <w:marLeft w:val="0"/>
              <w:marRight w:val="0"/>
              <w:marTop w:val="0"/>
              <w:marBottom w:val="0"/>
              <w:divBdr>
                <w:top w:val="none" w:sz="0" w:space="0" w:color="auto"/>
                <w:left w:val="none" w:sz="0" w:space="0" w:color="auto"/>
                <w:bottom w:val="none" w:sz="0" w:space="0" w:color="auto"/>
                <w:right w:val="none" w:sz="0" w:space="0" w:color="auto"/>
              </w:divBdr>
              <w:divsChild>
                <w:div w:id="1406338276">
                  <w:marLeft w:val="0"/>
                  <w:marRight w:val="0"/>
                  <w:marTop w:val="0"/>
                  <w:marBottom w:val="0"/>
                  <w:divBdr>
                    <w:top w:val="none" w:sz="0" w:space="0" w:color="auto"/>
                    <w:left w:val="none" w:sz="0" w:space="0" w:color="auto"/>
                    <w:bottom w:val="none" w:sz="0" w:space="0" w:color="auto"/>
                    <w:right w:val="none" w:sz="0" w:space="0" w:color="auto"/>
                  </w:divBdr>
                </w:div>
                <w:div w:id="800151760">
                  <w:marLeft w:val="0"/>
                  <w:marRight w:val="0"/>
                  <w:marTop w:val="0"/>
                  <w:marBottom w:val="0"/>
                  <w:divBdr>
                    <w:top w:val="none" w:sz="0" w:space="0" w:color="auto"/>
                    <w:left w:val="none" w:sz="0" w:space="0" w:color="auto"/>
                    <w:bottom w:val="none" w:sz="0" w:space="0" w:color="auto"/>
                    <w:right w:val="none" w:sz="0" w:space="0" w:color="auto"/>
                  </w:divBdr>
                </w:div>
                <w:div w:id="1367834464">
                  <w:marLeft w:val="0"/>
                  <w:marRight w:val="0"/>
                  <w:marTop w:val="0"/>
                  <w:marBottom w:val="0"/>
                  <w:divBdr>
                    <w:top w:val="none" w:sz="0" w:space="0" w:color="auto"/>
                    <w:left w:val="none" w:sz="0" w:space="0" w:color="auto"/>
                    <w:bottom w:val="none" w:sz="0" w:space="0" w:color="auto"/>
                    <w:right w:val="none" w:sz="0" w:space="0" w:color="auto"/>
                  </w:divBdr>
                </w:div>
                <w:div w:id="87824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853951">
          <w:marLeft w:val="0"/>
          <w:marRight w:val="0"/>
          <w:marTop w:val="0"/>
          <w:marBottom w:val="0"/>
          <w:divBdr>
            <w:top w:val="none" w:sz="0" w:space="0" w:color="auto"/>
            <w:left w:val="none" w:sz="0" w:space="0" w:color="auto"/>
            <w:bottom w:val="none" w:sz="0" w:space="0" w:color="auto"/>
            <w:right w:val="none" w:sz="0" w:space="0" w:color="auto"/>
          </w:divBdr>
        </w:div>
        <w:div w:id="700470877">
          <w:marLeft w:val="0"/>
          <w:marRight w:val="0"/>
          <w:marTop w:val="0"/>
          <w:marBottom w:val="0"/>
          <w:divBdr>
            <w:top w:val="none" w:sz="0" w:space="0" w:color="auto"/>
            <w:left w:val="none" w:sz="0" w:space="0" w:color="auto"/>
            <w:bottom w:val="none" w:sz="0" w:space="0" w:color="auto"/>
            <w:right w:val="none" w:sz="0" w:space="0" w:color="auto"/>
          </w:divBdr>
        </w:div>
        <w:div w:id="721057267">
          <w:marLeft w:val="0"/>
          <w:marRight w:val="0"/>
          <w:marTop w:val="0"/>
          <w:marBottom w:val="0"/>
          <w:divBdr>
            <w:top w:val="none" w:sz="0" w:space="0" w:color="auto"/>
            <w:left w:val="none" w:sz="0" w:space="0" w:color="auto"/>
            <w:bottom w:val="none" w:sz="0" w:space="0" w:color="auto"/>
            <w:right w:val="none" w:sz="0" w:space="0" w:color="auto"/>
          </w:divBdr>
          <w:divsChild>
            <w:div w:id="997617403">
              <w:marLeft w:val="0"/>
              <w:marRight w:val="0"/>
              <w:marTop w:val="0"/>
              <w:marBottom w:val="450"/>
              <w:divBdr>
                <w:top w:val="none" w:sz="0" w:space="0" w:color="auto"/>
                <w:left w:val="none" w:sz="0" w:space="0" w:color="auto"/>
                <w:bottom w:val="none" w:sz="0" w:space="0" w:color="auto"/>
                <w:right w:val="none" w:sz="0" w:space="0" w:color="auto"/>
              </w:divBdr>
              <w:divsChild>
                <w:div w:id="470176801">
                  <w:marLeft w:val="0"/>
                  <w:marRight w:val="0"/>
                  <w:marTop w:val="0"/>
                  <w:marBottom w:val="0"/>
                  <w:divBdr>
                    <w:top w:val="none" w:sz="0" w:space="0" w:color="auto"/>
                    <w:left w:val="none" w:sz="0" w:space="0" w:color="auto"/>
                    <w:bottom w:val="none" w:sz="0" w:space="0" w:color="auto"/>
                    <w:right w:val="none" w:sz="0" w:space="0" w:color="auto"/>
                  </w:divBdr>
                </w:div>
                <w:div w:id="637345045">
                  <w:marLeft w:val="0"/>
                  <w:marRight w:val="0"/>
                  <w:marTop w:val="0"/>
                  <w:marBottom w:val="0"/>
                  <w:divBdr>
                    <w:top w:val="single" w:sz="6" w:space="11" w:color="BDBBB7"/>
                    <w:left w:val="none" w:sz="0" w:space="0" w:color="auto"/>
                    <w:bottom w:val="none" w:sz="0" w:space="0" w:color="auto"/>
                    <w:right w:val="none" w:sz="0" w:space="0" w:color="auto"/>
                  </w:divBdr>
                </w:div>
              </w:divsChild>
            </w:div>
            <w:div w:id="927539134">
              <w:marLeft w:val="0"/>
              <w:marRight w:val="0"/>
              <w:marTop w:val="0"/>
              <w:marBottom w:val="450"/>
              <w:divBdr>
                <w:top w:val="none" w:sz="0" w:space="0" w:color="auto"/>
                <w:left w:val="none" w:sz="0" w:space="0" w:color="auto"/>
                <w:bottom w:val="none" w:sz="0" w:space="0" w:color="auto"/>
                <w:right w:val="none" w:sz="0" w:space="0" w:color="auto"/>
              </w:divBdr>
              <w:divsChild>
                <w:div w:id="1224222706">
                  <w:marLeft w:val="0"/>
                  <w:marRight w:val="0"/>
                  <w:marTop w:val="0"/>
                  <w:marBottom w:val="0"/>
                  <w:divBdr>
                    <w:top w:val="none" w:sz="0" w:space="0" w:color="auto"/>
                    <w:left w:val="none" w:sz="0" w:space="0" w:color="auto"/>
                    <w:bottom w:val="none" w:sz="0" w:space="0" w:color="auto"/>
                    <w:right w:val="none" w:sz="0" w:space="0" w:color="auto"/>
                  </w:divBdr>
                </w:div>
                <w:div w:id="1670714678">
                  <w:marLeft w:val="0"/>
                  <w:marRight w:val="0"/>
                  <w:marTop w:val="0"/>
                  <w:marBottom w:val="0"/>
                  <w:divBdr>
                    <w:top w:val="single" w:sz="6" w:space="11" w:color="BDBBB7"/>
                    <w:left w:val="none" w:sz="0" w:space="0" w:color="auto"/>
                    <w:bottom w:val="none" w:sz="0" w:space="0" w:color="auto"/>
                    <w:right w:val="none" w:sz="0" w:space="0" w:color="auto"/>
                  </w:divBdr>
                </w:div>
              </w:divsChild>
            </w:div>
            <w:div w:id="1394698969">
              <w:marLeft w:val="0"/>
              <w:marRight w:val="0"/>
              <w:marTop w:val="0"/>
              <w:marBottom w:val="450"/>
              <w:divBdr>
                <w:top w:val="none" w:sz="0" w:space="0" w:color="auto"/>
                <w:left w:val="none" w:sz="0" w:space="0" w:color="auto"/>
                <w:bottom w:val="none" w:sz="0" w:space="0" w:color="auto"/>
                <w:right w:val="none" w:sz="0" w:space="0" w:color="auto"/>
              </w:divBdr>
              <w:divsChild>
                <w:div w:id="1391609604">
                  <w:marLeft w:val="0"/>
                  <w:marRight w:val="0"/>
                  <w:marTop w:val="0"/>
                  <w:marBottom w:val="0"/>
                  <w:divBdr>
                    <w:top w:val="none" w:sz="0" w:space="0" w:color="auto"/>
                    <w:left w:val="none" w:sz="0" w:space="0" w:color="auto"/>
                    <w:bottom w:val="none" w:sz="0" w:space="0" w:color="auto"/>
                    <w:right w:val="none" w:sz="0" w:space="0" w:color="auto"/>
                  </w:divBdr>
                </w:div>
                <w:div w:id="2105958142">
                  <w:marLeft w:val="0"/>
                  <w:marRight w:val="0"/>
                  <w:marTop w:val="0"/>
                  <w:marBottom w:val="0"/>
                  <w:divBdr>
                    <w:top w:val="single" w:sz="6" w:space="11" w:color="BDBBB7"/>
                    <w:left w:val="none" w:sz="0" w:space="0" w:color="auto"/>
                    <w:bottom w:val="none" w:sz="0" w:space="0" w:color="auto"/>
                    <w:right w:val="none" w:sz="0" w:space="0" w:color="auto"/>
                  </w:divBdr>
                </w:div>
              </w:divsChild>
            </w:div>
          </w:divsChild>
        </w:div>
        <w:div w:id="243147429">
          <w:marLeft w:val="0"/>
          <w:marRight w:val="0"/>
          <w:marTop w:val="0"/>
          <w:marBottom w:val="0"/>
          <w:divBdr>
            <w:top w:val="none" w:sz="0" w:space="0" w:color="auto"/>
            <w:left w:val="none" w:sz="0" w:space="0" w:color="auto"/>
            <w:bottom w:val="none" w:sz="0" w:space="0" w:color="auto"/>
            <w:right w:val="none" w:sz="0" w:space="0" w:color="auto"/>
          </w:divBdr>
        </w:div>
        <w:div w:id="753552269">
          <w:marLeft w:val="0"/>
          <w:marRight w:val="0"/>
          <w:marTop w:val="0"/>
          <w:marBottom w:val="0"/>
          <w:divBdr>
            <w:top w:val="none" w:sz="0" w:space="0" w:color="auto"/>
            <w:left w:val="none" w:sz="0" w:space="0" w:color="auto"/>
            <w:bottom w:val="none" w:sz="0" w:space="0" w:color="auto"/>
            <w:right w:val="none" w:sz="0" w:space="0" w:color="auto"/>
          </w:divBdr>
        </w:div>
        <w:div w:id="159126768">
          <w:marLeft w:val="0"/>
          <w:marRight w:val="0"/>
          <w:marTop w:val="0"/>
          <w:marBottom w:val="0"/>
          <w:divBdr>
            <w:top w:val="none" w:sz="0" w:space="0" w:color="auto"/>
            <w:left w:val="none" w:sz="0" w:space="0" w:color="auto"/>
            <w:bottom w:val="none" w:sz="0" w:space="0" w:color="auto"/>
            <w:right w:val="none" w:sz="0" w:space="0" w:color="auto"/>
          </w:divBdr>
        </w:div>
        <w:div w:id="1372417919">
          <w:marLeft w:val="0"/>
          <w:marRight w:val="0"/>
          <w:marTop w:val="0"/>
          <w:marBottom w:val="0"/>
          <w:divBdr>
            <w:top w:val="none" w:sz="0" w:space="0" w:color="auto"/>
            <w:left w:val="none" w:sz="0" w:space="0" w:color="auto"/>
            <w:bottom w:val="none" w:sz="0" w:space="0" w:color="auto"/>
            <w:right w:val="none" w:sz="0" w:space="0" w:color="auto"/>
          </w:divBdr>
        </w:div>
      </w:divsChild>
    </w:div>
    <w:div w:id="427236819">
      <w:bodyDiv w:val="1"/>
      <w:marLeft w:val="0"/>
      <w:marRight w:val="0"/>
      <w:marTop w:val="0"/>
      <w:marBottom w:val="0"/>
      <w:divBdr>
        <w:top w:val="none" w:sz="0" w:space="0" w:color="auto"/>
        <w:left w:val="none" w:sz="0" w:space="0" w:color="auto"/>
        <w:bottom w:val="none" w:sz="0" w:space="0" w:color="auto"/>
        <w:right w:val="none" w:sz="0" w:space="0" w:color="auto"/>
      </w:divBdr>
      <w:divsChild>
        <w:div w:id="1027215357">
          <w:marLeft w:val="0"/>
          <w:marRight w:val="0"/>
          <w:marTop w:val="0"/>
          <w:marBottom w:val="0"/>
          <w:divBdr>
            <w:top w:val="none" w:sz="0" w:space="0" w:color="auto"/>
            <w:left w:val="none" w:sz="0" w:space="0" w:color="auto"/>
            <w:bottom w:val="none" w:sz="0" w:space="0" w:color="auto"/>
            <w:right w:val="none" w:sz="0" w:space="0" w:color="auto"/>
          </w:divBdr>
        </w:div>
        <w:div w:id="2081558417">
          <w:marLeft w:val="0"/>
          <w:marRight w:val="0"/>
          <w:marTop w:val="0"/>
          <w:marBottom w:val="0"/>
          <w:divBdr>
            <w:top w:val="none" w:sz="0" w:space="0" w:color="auto"/>
            <w:left w:val="none" w:sz="0" w:space="0" w:color="auto"/>
            <w:bottom w:val="none" w:sz="0" w:space="0" w:color="auto"/>
            <w:right w:val="none" w:sz="0" w:space="0" w:color="auto"/>
          </w:divBdr>
        </w:div>
        <w:div w:id="1179810525">
          <w:marLeft w:val="0"/>
          <w:marRight w:val="0"/>
          <w:marTop w:val="0"/>
          <w:marBottom w:val="0"/>
          <w:divBdr>
            <w:top w:val="none" w:sz="0" w:space="0" w:color="auto"/>
            <w:left w:val="none" w:sz="0" w:space="0" w:color="auto"/>
            <w:bottom w:val="none" w:sz="0" w:space="0" w:color="auto"/>
            <w:right w:val="none" w:sz="0" w:space="0" w:color="auto"/>
          </w:divBdr>
        </w:div>
        <w:div w:id="206454829">
          <w:marLeft w:val="0"/>
          <w:marRight w:val="0"/>
          <w:marTop w:val="0"/>
          <w:marBottom w:val="0"/>
          <w:divBdr>
            <w:top w:val="none" w:sz="0" w:space="0" w:color="auto"/>
            <w:left w:val="none" w:sz="0" w:space="0" w:color="auto"/>
            <w:bottom w:val="none" w:sz="0" w:space="0" w:color="auto"/>
            <w:right w:val="none" w:sz="0" w:space="0" w:color="auto"/>
          </w:divBdr>
        </w:div>
        <w:div w:id="555505571">
          <w:marLeft w:val="0"/>
          <w:marRight w:val="0"/>
          <w:marTop w:val="0"/>
          <w:marBottom w:val="0"/>
          <w:divBdr>
            <w:top w:val="none" w:sz="0" w:space="0" w:color="auto"/>
            <w:left w:val="none" w:sz="0" w:space="0" w:color="auto"/>
            <w:bottom w:val="none" w:sz="0" w:space="0" w:color="auto"/>
            <w:right w:val="none" w:sz="0" w:space="0" w:color="auto"/>
          </w:divBdr>
        </w:div>
        <w:div w:id="443352783">
          <w:marLeft w:val="0"/>
          <w:marRight w:val="0"/>
          <w:marTop w:val="0"/>
          <w:marBottom w:val="0"/>
          <w:divBdr>
            <w:top w:val="none" w:sz="0" w:space="0" w:color="auto"/>
            <w:left w:val="none" w:sz="0" w:space="0" w:color="auto"/>
            <w:bottom w:val="none" w:sz="0" w:space="0" w:color="auto"/>
            <w:right w:val="none" w:sz="0" w:space="0" w:color="auto"/>
          </w:divBdr>
        </w:div>
        <w:div w:id="1015763805">
          <w:marLeft w:val="0"/>
          <w:marRight w:val="0"/>
          <w:marTop w:val="0"/>
          <w:marBottom w:val="0"/>
          <w:divBdr>
            <w:top w:val="none" w:sz="0" w:space="0" w:color="auto"/>
            <w:left w:val="none" w:sz="0" w:space="0" w:color="auto"/>
            <w:bottom w:val="none" w:sz="0" w:space="0" w:color="auto"/>
            <w:right w:val="none" w:sz="0" w:space="0" w:color="auto"/>
          </w:divBdr>
        </w:div>
        <w:div w:id="741564646">
          <w:marLeft w:val="0"/>
          <w:marRight w:val="0"/>
          <w:marTop w:val="0"/>
          <w:marBottom w:val="0"/>
          <w:divBdr>
            <w:top w:val="none" w:sz="0" w:space="0" w:color="auto"/>
            <w:left w:val="none" w:sz="0" w:space="0" w:color="auto"/>
            <w:bottom w:val="none" w:sz="0" w:space="0" w:color="auto"/>
            <w:right w:val="none" w:sz="0" w:space="0" w:color="auto"/>
          </w:divBdr>
        </w:div>
        <w:div w:id="206453858">
          <w:marLeft w:val="0"/>
          <w:marRight w:val="0"/>
          <w:marTop w:val="0"/>
          <w:marBottom w:val="0"/>
          <w:divBdr>
            <w:top w:val="none" w:sz="0" w:space="0" w:color="auto"/>
            <w:left w:val="none" w:sz="0" w:space="0" w:color="auto"/>
            <w:bottom w:val="none" w:sz="0" w:space="0" w:color="auto"/>
            <w:right w:val="none" w:sz="0" w:space="0" w:color="auto"/>
          </w:divBdr>
        </w:div>
        <w:div w:id="521631510">
          <w:marLeft w:val="0"/>
          <w:marRight w:val="0"/>
          <w:marTop w:val="0"/>
          <w:marBottom w:val="0"/>
          <w:divBdr>
            <w:top w:val="none" w:sz="0" w:space="0" w:color="auto"/>
            <w:left w:val="none" w:sz="0" w:space="0" w:color="auto"/>
            <w:bottom w:val="none" w:sz="0" w:space="0" w:color="auto"/>
            <w:right w:val="none" w:sz="0" w:space="0" w:color="auto"/>
          </w:divBdr>
        </w:div>
        <w:div w:id="794909698">
          <w:marLeft w:val="0"/>
          <w:marRight w:val="0"/>
          <w:marTop w:val="0"/>
          <w:marBottom w:val="0"/>
          <w:divBdr>
            <w:top w:val="none" w:sz="0" w:space="0" w:color="auto"/>
            <w:left w:val="none" w:sz="0" w:space="0" w:color="auto"/>
            <w:bottom w:val="none" w:sz="0" w:space="0" w:color="auto"/>
            <w:right w:val="none" w:sz="0" w:space="0" w:color="auto"/>
          </w:divBdr>
        </w:div>
        <w:div w:id="1269002840">
          <w:marLeft w:val="0"/>
          <w:marRight w:val="0"/>
          <w:marTop w:val="0"/>
          <w:marBottom w:val="0"/>
          <w:divBdr>
            <w:top w:val="none" w:sz="0" w:space="0" w:color="auto"/>
            <w:left w:val="none" w:sz="0" w:space="0" w:color="auto"/>
            <w:bottom w:val="none" w:sz="0" w:space="0" w:color="auto"/>
            <w:right w:val="none" w:sz="0" w:space="0" w:color="auto"/>
          </w:divBdr>
        </w:div>
        <w:div w:id="1387531886">
          <w:marLeft w:val="0"/>
          <w:marRight w:val="0"/>
          <w:marTop w:val="0"/>
          <w:marBottom w:val="0"/>
          <w:divBdr>
            <w:top w:val="none" w:sz="0" w:space="0" w:color="auto"/>
            <w:left w:val="none" w:sz="0" w:space="0" w:color="auto"/>
            <w:bottom w:val="none" w:sz="0" w:space="0" w:color="auto"/>
            <w:right w:val="none" w:sz="0" w:space="0" w:color="auto"/>
          </w:divBdr>
        </w:div>
      </w:divsChild>
    </w:div>
    <w:div w:id="658968945">
      <w:bodyDiv w:val="1"/>
      <w:marLeft w:val="0"/>
      <w:marRight w:val="0"/>
      <w:marTop w:val="0"/>
      <w:marBottom w:val="0"/>
      <w:divBdr>
        <w:top w:val="none" w:sz="0" w:space="0" w:color="auto"/>
        <w:left w:val="none" w:sz="0" w:space="0" w:color="auto"/>
        <w:bottom w:val="none" w:sz="0" w:space="0" w:color="auto"/>
        <w:right w:val="none" w:sz="0" w:space="0" w:color="auto"/>
      </w:divBdr>
      <w:divsChild>
        <w:div w:id="1769108976">
          <w:marLeft w:val="0"/>
          <w:marRight w:val="0"/>
          <w:marTop w:val="0"/>
          <w:marBottom w:val="0"/>
          <w:divBdr>
            <w:top w:val="none" w:sz="0" w:space="0" w:color="auto"/>
            <w:left w:val="none" w:sz="0" w:space="0" w:color="auto"/>
            <w:bottom w:val="none" w:sz="0" w:space="0" w:color="auto"/>
            <w:right w:val="none" w:sz="0" w:space="0" w:color="auto"/>
          </w:divBdr>
        </w:div>
        <w:div w:id="473064038">
          <w:marLeft w:val="0"/>
          <w:marRight w:val="0"/>
          <w:marTop w:val="0"/>
          <w:marBottom w:val="0"/>
          <w:divBdr>
            <w:top w:val="none" w:sz="0" w:space="0" w:color="auto"/>
            <w:left w:val="none" w:sz="0" w:space="0" w:color="auto"/>
            <w:bottom w:val="none" w:sz="0" w:space="0" w:color="auto"/>
            <w:right w:val="none" w:sz="0" w:space="0" w:color="auto"/>
          </w:divBdr>
        </w:div>
        <w:div w:id="2094812985">
          <w:marLeft w:val="0"/>
          <w:marRight w:val="0"/>
          <w:marTop w:val="0"/>
          <w:marBottom w:val="0"/>
          <w:divBdr>
            <w:top w:val="none" w:sz="0" w:space="0" w:color="auto"/>
            <w:left w:val="none" w:sz="0" w:space="0" w:color="auto"/>
            <w:bottom w:val="none" w:sz="0" w:space="0" w:color="auto"/>
            <w:right w:val="none" w:sz="0" w:space="0" w:color="auto"/>
          </w:divBdr>
        </w:div>
        <w:div w:id="1591770209">
          <w:marLeft w:val="0"/>
          <w:marRight w:val="0"/>
          <w:marTop w:val="0"/>
          <w:marBottom w:val="0"/>
          <w:divBdr>
            <w:top w:val="none" w:sz="0" w:space="0" w:color="auto"/>
            <w:left w:val="none" w:sz="0" w:space="0" w:color="auto"/>
            <w:bottom w:val="none" w:sz="0" w:space="0" w:color="auto"/>
            <w:right w:val="none" w:sz="0" w:space="0" w:color="auto"/>
          </w:divBdr>
        </w:div>
        <w:div w:id="1174802099">
          <w:marLeft w:val="0"/>
          <w:marRight w:val="0"/>
          <w:marTop w:val="0"/>
          <w:marBottom w:val="0"/>
          <w:divBdr>
            <w:top w:val="none" w:sz="0" w:space="0" w:color="auto"/>
            <w:left w:val="none" w:sz="0" w:space="0" w:color="auto"/>
            <w:bottom w:val="none" w:sz="0" w:space="0" w:color="auto"/>
            <w:right w:val="none" w:sz="0" w:space="0" w:color="auto"/>
          </w:divBdr>
        </w:div>
        <w:div w:id="1739282174">
          <w:marLeft w:val="0"/>
          <w:marRight w:val="0"/>
          <w:marTop w:val="0"/>
          <w:marBottom w:val="0"/>
          <w:divBdr>
            <w:top w:val="none" w:sz="0" w:space="0" w:color="auto"/>
            <w:left w:val="none" w:sz="0" w:space="0" w:color="auto"/>
            <w:bottom w:val="none" w:sz="0" w:space="0" w:color="auto"/>
            <w:right w:val="none" w:sz="0" w:space="0" w:color="auto"/>
          </w:divBdr>
        </w:div>
        <w:div w:id="1899126909">
          <w:marLeft w:val="0"/>
          <w:marRight w:val="0"/>
          <w:marTop w:val="0"/>
          <w:marBottom w:val="0"/>
          <w:divBdr>
            <w:top w:val="none" w:sz="0" w:space="0" w:color="auto"/>
            <w:left w:val="none" w:sz="0" w:space="0" w:color="auto"/>
            <w:bottom w:val="none" w:sz="0" w:space="0" w:color="auto"/>
            <w:right w:val="none" w:sz="0" w:space="0" w:color="auto"/>
          </w:divBdr>
        </w:div>
        <w:div w:id="1226139476">
          <w:marLeft w:val="0"/>
          <w:marRight w:val="0"/>
          <w:marTop w:val="0"/>
          <w:marBottom w:val="0"/>
          <w:divBdr>
            <w:top w:val="none" w:sz="0" w:space="0" w:color="auto"/>
            <w:left w:val="none" w:sz="0" w:space="0" w:color="auto"/>
            <w:bottom w:val="none" w:sz="0" w:space="0" w:color="auto"/>
            <w:right w:val="none" w:sz="0" w:space="0" w:color="auto"/>
          </w:divBdr>
        </w:div>
      </w:divsChild>
    </w:div>
    <w:div w:id="660888740">
      <w:bodyDiv w:val="1"/>
      <w:marLeft w:val="0"/>
      <w:marRight w:val="0"/>
      <w:marTop w:val="0"/>
      <w:marBottom w:val="0"/>
      <w:divBdr>
        <w:top w:val="none" w:sz="0" w:space="0" w:color="auto"/>
        <w:left w:val="none" w:sz="0" w:space="0" w:color="auto"/>
        <w:bottom w:val="none" w:sz="0" w:space="0" w:color="auto"/>
        <w:right w:val="none" w:sz="0" w:space="0" w:color="auto"/>
      </w:divBdr>
    </w:div>
    <w:div w:id="1324159913">
      <w:bodyDiv w:val="1"/>
      <w:marLeft w:val="0"/>
      <w:marRight w:val="0"/>
      <w:marTop w:val="0"/>
      <w:marBottom w:val="0"/>
      <w:divBdr>
        <w:top w:val="none" w:sz="0" w:space="0" w:color="auto"/>
        <w:left w:val="none" w:sz="0" w:space="0" w:color="auto"/>
        <w:bottom w:val="none" w:sz="0" w:space="0" w:color="auto"/>
        <w:right w:val="none" w:sz="0" w:space="0" w:color="auto"/>
      </w:divBdr>
      <w:divsChild>
        <w:div w:id="1094669562">
          <w:marLeft w:val="0"/>
          <w:marRight w:val="0"/>
          <w:marTop w:val="0"/>
          <w:marBottom w:val="0"/>
          <w:divBdr>
            <w:top w:val="none" w:sz="0" w:space="0" w:color="auto"/>
            <w:left w:val="none" w:sz="0" w:space="0" w:color="auto"/>
            <w:bottom w:val="none" w:sz="0" w:space="0" w:color="auto"/>
            <w:right w:val="none" w:sz="0" w:space="0" w:color="auto"/>
          </w:divBdr>
        </w:div>
        <w:div w:id="584345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library.wiley.com/doi/full/10.1111/nuf.12295" TargetMode="External"/><Relationship Id="rId18" Type="http://schemas.openxmlformats.org/officeDocument/2006/relationships/hyperlink" Target="https://onlinelibrary.wiley.com/doi/full/10.1111/nuf.12295" TargetMode="External"/><Relationship Id="rId26" Type="http://schemas.openxmlformats.org/officeDocument/2006/relationships/hyperlink" Target="https://onlinelibrary.wiley.com/doi/full/10.1111/nuf.12295" TargetMode="External"/><Relationship Id="rId39" Type="http://schemas.openxmlformats.org/officeDocument/2006/relationships/hyperlink" Target="https://onlinelibrary.wiley.com/doi/full/10.1111/nuf.12295" TargetMode="External"/><Relationship Id="rId21" Type="http://schemas.openxmlformats.org/officeDocument/2006/relationships/hyperlink" Target="https://onlinelibrary.wiley.com/doi/full/10.1111/nuf.12295" TargetMode="External"/><Relationship Id="rId34" Type="http://schemas.openxmlformats.org/officeDocument/2006/relationships/hyperlink" Target="https://onlinelibrary.wiley.com/doi/full/10.1111/nuf.12295" TargetMode="External"/><Relationship Id="rId42" Type="http://schemas.openxmlformats.org/officeDocument/2006/relationships/hyperlink" Target="https://onlinelibrary.wiley.com/doi/full/10.1111/nuf.12295" TargetMode="External"/><Relationship Id="rId47" Type="http://schemas.openxmlformats.org/officeDocument/2006/relationships/hyperlink" Target="https://onlinelibrary.wiley.com/doi/full/10.1111/nuf.12295" TargetMode="External"/><Relationship Id="rId50" Type="http://schemas.openxmlformats.org/officeDocument/2006/relationships/hyperlink" Target="http://www.nationalacademies.org/hmd/Reports/2010/The-Future-of-Nursing-Leading-Change-Advancing-Health.aspx" TargetMode="External"/><Relationship Id="rId55" Type="http://schemas.openxmlformats.org/officeDocument/2006/relationships/hyperlink" Target="https://doi.org/10.1016/S0001-2092(06)61679-7" TargetMode="Externa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onlinelibrary.wiley.com/doi/full/10.1111/nuf.12295" TargetMode="External"/><Relationship Id="rId29" Type="http://schemas.openxmlformats.org/officeDocument/2006/relationships/hyperlink" Target="https://onlinelibrary.wiley.com/doi/full/10.1111/nuf.12295" TargetMode="External"/><Relationship Id="rId11" Type="http://schemas.openxmlformats.org/officeDocument/2006/relationships/hyperlink" Target="https://onlinelibrary.wiley.com/doi/full/10.1111/nuf.12295" TargetMode="External"/><Relationship Id="rId24" Type="http://schemas.openxmlformats.org/officeDocument/2006/relationships/hyperlink" Target="https://onlinelibrary.wiley.com/doi/full/10.1111/nuf.12295" TargetMode="External"/><Relationship Id="rId32" Type="http://schemas.openxmlformats.org/officeDocument/2006/relationships/hyperlink" Target="https://onlinelibrary.wiley.com/doi/full/10.1111/nuf.12295" TargetMode="External"/><Relationship Id="rId37" Type="http://schemas.openxmlformats.org/officeDocument/2006/relationships/hyperlink" Target="https://onlinelibrary.wiley.com/doi/full/10.1111/nuf.12295" TargetMode="External"/><Relationship Id="rId40" Type="http://schemas.openxmlformats.org/officeDocument/2006/relationships/hyperlink" Target="https://onlinelibrary.wiley.com/doi/full/10.1111/nuf.12295" TargetMode="External"/><Relationship Id="rId45" Type="http://schemas.openxmlformats.org/officeDocument/2006/relationships/hyperlink" Target="https://onlinelibrary.wiley.com/doi/full/10.1111/nuf.12295" TargetMode="External"/><Relationship Id="rId53" Type="http://schemas.openxmlformats.org/officeDocument/2006/relationships/hyperlink" Target="http://www.aacn.nche.edu/media-relations/fact-sheets/nursing-fact-sheet" TargetMode="External"/><Relationship Id="rId58" Type="http://schemas.openxmlformats.org/officeDocument/2006/relationships/hyperlink" Target="https://doi.org/10.1097/01.NNE.0000299480.54506.44" TargetMode="External"/><Relationship Id="rId5" Type="http://schemas.openxmlformats.org/officeDocument/2006/relationships/styles" Target="styles.xml"/><Relationship Id="rId61" Type="http://schemas.openxmlformats.org/officeDocument/2006/relationships/hyperlink" Target="http://www.aacnnursing.org/Portals/42/Publications/BaccEssentials08.pdf" TargetMode="External"/><Relationship Id="rId19" Type="http://schemas.openxmlformats.org/officeDocument/2006/relationships/hyperlink" Target="https://onlinelibrary.wiley.com/doi/full/10.1111/nuf.12295" TargetMode="External"/><Relationship Id="rId14" Type="http://schemas.openxmlformats.org/officeDocument/2006/relationships/hyperlink" Target="https://onlinelibrary.wiley.com/doi/full/10.1111/nuf.12295" TargetMode="External"/><Relationship Id="rId22" Type="http://schemas.openxmlformats.org/officeDocument/2006/relationships/hyperlink" Target="https://onlinelibrary.wiley.com/doi/full/10.1111/nuf.12295" TargetMode="External"/><Relationship Id="rId27" Type="http://schemas.openxmlformats.org/officeDocument/2006/relationships/hyperlink" Target="https://onlinelibrary.wiley.com/doi/full/10.1111/nuf.12295" TargetMode="External"/><Relationship Id="rId30" Type="http://schemas.openxmlformats.org/officeDocument/2006/relationships/hyperlink" Target="http://www.surveymonkey.com/" TargetMode="External"/><Relationship Id="rId35" Type="http://schemas.openxmlformats.org/officeDocument/2006/relationships/hyperlink" Target="https://onlinelibrary.wiley.com/doi/full/10.1111/nuf.12295" TargetMode="External"/><Relationship Id="rId43" Type="http://schemas.openxmlformats.org/officeDocument/2006/relationships/hyperlink" Target="https://onlinelibrary.wiley.com/doi/full/10.1111/nuf.12295" TargetMode="External"/><Relationship Id="rId48" Type="http://schemas.openxmlformats.org/officeDocument/2006/relationships/hyperlink" Target="http://www.who.int/topics/health_policy/en/" TargetMode="External"/><Relationship Id="rId56" Type="http://schemas.openxmlformats.org/officeDocument/2006/relationships/hyperlink" Target="https://doi.org/10.1016/j.cptl.2011.10.005" TargetMode="External"/><Relationship Id="rId64" Type="http://schemas.openxmlformats.org/officeDocument/2006/relationships/theme" Target="theme/theme1.xml"/><Relationship Id="rId8" Type="http://schemas.openxmlformats.org/officeDocument/2006/relationships/hyperlink" Target="10.1111/nuf.12295" TargetMode="External"/><Relationship Id="rId51" Type="http://schemas.openxmlformats.org/officeDocument/2006/relationships/hyperlink" Target="http://www.aacn.nche.edu/education-resources/MastersEssentials11.pdf" TargetMode="External"/><Relationship Id="rId3" Type="http://schemas.openxmlformats.org/officeDocument/2006/relationships/customXml" Target="../customXml/item3.xml"/><Relationship Id="rId12" Type="http://schemas.openxmlformats.org/officeDocument/2006/relationships/hyperlink" Target="https://onlinelibrary.wiley.com/doi/full/10.1111/nuf.12295" TargetMode="External"/><Relationship Id="rId17" Type="http://schemas.openxmlformats.org/officeDocument/2006/relationships/hyperlink" Target="https://onlinelibrary.wiley.com/doi/full/10.1111/nuf.12295" TargetMode="External"/><Relationship Id="rId25" Type="http://schemas.openxmlformats.org/officeDocument/2006/relationships/hyperlink" Target="https://onlinelibrary.wiley.com/doi/full/10.1111/nuf.12295" TargetMode="External"/><Relationship Id="rId33" Type="http://schemas.openxmlformats.org/officeDocument/2006/relationships/hyperlink" Target="https://onlinelibrary.wiley.com/doi/full/10.1111/nuf.12295" TargetMode="External"/><Relationship Id="rId38" Type="http://schemas.openxmlformats.org/officeDocument/2006/relationships/hyperlink" Target="https://onlinelibrary.wiley.com/doi/full/10.1111/nuf.12295" TargetMode="External"/><Relationship Id="rId46" Type="http://schemas.openxmlformats.org/officeDocument/2006/relationships/hyperlink" Target="https://onlinelibrary.wiley.com/doi/full/10.1111/nuf.12295" TargetMode="External"/><Relationship Id="rId59" Type="http://schemas.openxmlformats.org/officeDocument/2006/relationships/hyperlink" Target="https://www.r-project.org/" TargetMode="External"/><Relationship Id="rId20" Type="http://schemas.openxmlformats.org/officeDocument/2006/relationships/hyperlink" Target="https://onlinelibrary.wiley.com/doi/full/10.1111/nuf.12295" TargetMode="External"/><Relationship Id="rId41" Type="http://schemas.openxmlformats.org/officeDocument/2006/relationships/hyperlink" Target="https://onlinelibrary.wiley.com/doi/full/10.1111/nuf.12295" TargetMode="External"/><Relationship Id="rId54" Type="http://schemas.openxmlformats.org/officeDocument/2006/relationships/hyperlink" Target="https://doi.org/10.1016/j.profnurs.2017.04.001" TargetMode="External"/><Relationship Id="rId62" Type="http://schemas.openxmlformats.org/officeDocument/2006/relationships/hyperlink" Target="https://doi.org/10.1177/15271544134859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onlinelibrary.wiley.com/doi/full/10.1111/nuf.12295" TargetMode="External"/><Relationship Id="rId23" Type="http://schemas.openxmlformats.org/officeDocument/2006/relationships/hyperlink" Target="https://onlinelibrary.wiley.com/doi/full/10.1111/nuf.12295" TargetMode="External"/><Relationship Id="rId28" Type="http://schemas.openxmlformats.org/officeDocument/2006/relationships/hyperlink" Target="https://onlinelibrary.wiley.com/doi/full/10.1111/nuf.12295" TargetMode="External"/><Relationship Id="rId36" Type="http://schemas.openxmlformats.org/officeDocument/2006/relationships/hyperlink" Target="https://onlinelibrary.wiley.com/doi/full/10.1111/nuf.12295" TargetMode="External"/><Relationship Id="rId49" Type="http://schemas.openxmlformats.org/officeDocument/2006/relationships/hyperlink" Target="https://www.rwjf.org/en/library/articles-and-news/2014/02/preparing-nurses-for-leadership-in-public-policy.html" TargetMode="External"/><Relationship Id="rId57" Type="http://schemas.openxmlformats.org/officeDocument/2006/relationships/hyperlink" Target="https://doi.org/10.1111/j.1525-1446.2012.01032.x" TargetMode="External"/><Relationship Id="rId10" Type="http://schemas.openxmlformats.org/officeDocument/2006/relationships/hyperlink" Target="https://onlinelibrary.wiley.com/doi/full/10.1111/nuf.12295" TargetMode="External"/><Relationship Id="rId31" Type="http://schemas.openxmlformats.org/officeDocument/2006/relationships/hyperlink" Target="https://onlinelibrary.wiley.com/doi/full/10.1111/nuf.12295" TargetMode="External"/><Relationship Id="rId44" Type="http://schemas.openxmlformats.org/officeDocument/2006/relationships/hyperlink" Target="https://onlinelibrary.wiley.com/doi/full/10.1111/nuf.12295" TargetMode="External"/><Relationship Id="rId52" Type="http://schemas.openxmlformats.org/officeDocument/2006/relationships/hyperlink" Target="http://www.aacnnursing.org/Portals/42/Publications/DNPEssentials.pdf" TargetMode="External"/><Relationship Id="rId60" Type="http://schemas.openxmlformats.org/officeDocument/2006/relationships/hyperlink" Target="http://www.aacn.nche.edu/government-affairs/US-Nursing-Education-Snapshot.pd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8B0016-A26B-4198-A435-4FAF4E4B4576}">
  <ds:schemaRefs>
    <ds:schemaRef ds:uri="http://schemas.microsoft.com/sharepoint/v3/contenttype/forms"/>
  </ds:schemaRefs>
</ds:datastoreItem>
</file>

<file path=customXml/itemProps2.xml><?xml version="1.0" encoding="utf-8"?>
<ds:datastoreItem xmlns:ds="http://schemas.openxmlformats.org/officeDocument/2006/customXml" ds:itemID="{84FBE954-116B-41CE-BB61-BBF19F42EE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E16CE1-2B23-43D5-B4AC-303906047F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5243</Words>
  <Characters>31621</Characters>
  <Application>Microsoft Office Word</Application>
  <DocSecurity>8</DocSecurity>
  <Lines>672</Lines>
  <Paragraphs>388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2019-07-30T16:45:00Z</dcterms:created>
  <dcterms:modified xsi:type="dcterms:W3CDTF">2019-12-06T18:01:00Z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