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26788DD" w:rsidR="000A7622" w:rsidRPr="00C04F25" w:rsidRDefault="00E26275" w:rsidP="00D14423">
      <w:pPr>
        <w:autoSpaceDE w:val="0"/>
        <w:autoSpaceDN w:val="0"/>
        <w:adjustRightInd w:val="0"/>
        <w:rPr>
          <w:rFonts w:cstheme="minorHAnsi"/>
          <w:b/>
          <w:bCs/>
          <w:i/>
          <w:iCs/>
          <w:sz w:val="32"/>
          <w:szCs w:val="32"/>
        </w:rPr>
      </w:pPr>
      <w:r>
        <w:rPr>
          <w:rFonts w:cstheme="minorHAnsi"/>
          <w:b/>
          <w:bCs/>
          <w:i/>
          <w:iCs/>
          <w:sz w:val="32"/>
          <w:szCs w:val="32"/>
        </w:rPr>
        <w:t xml:space="preserve">Biomedical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1152EC9" w:rsidR="000A7622" w:rsidRDefault="00176CC4" w:rsidP="00D14423">
      <w:pPr>
        <w:rPr>
          <w:rFonts w:cstheme="minorHAnsi"/>
          <w:sz w:val="24"/>
          <w:szCs w:val="24"/>
        </w:rPr>
      </w:pPr>
      <w:proofErr w:type="spellStart"/>
      <w:r>
        <w:rPr>
          <w:rFonts w:cstheme="minorHAnsi"/>
          <w:i/>
          <w:sz w:val="24"/>
          <w:szCs w:val="24"/>
          <w:lang w:val="fr-FR"/>
        </w:rPr>
        <w:t>Nephron</w:t>
      </w:r>
      <w:proofErr w:type="spellEnd"/>
      <w:r w:rsidR="000A7622" w:rsidRPr="00C04F25">
        <w:rPr>
          <w:rFonts w:cstheme="minorHAnsi"/>
          <w:sz w:val="24"/>
          <w:szCs w:val="24"/>
          <w:lang w:val="fr-FR"/>
        </w:rPr>
        <w:t xml:space="preserve">, Vol. </w:t>
      </w:r>
      <w:r>
        <w:rPr>
          <w:rFonts w:cstheme="minorHAnsi"/>
          <w:sz w:val="24"/>
          <w:szCs w:val="24"/>
          <w:lang w:val="fr-FR"/>
        </w:rPr>
        <w:t>145</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proofErr w:type="spellStart"/>
      <w:r>
        <w:rPr>
          <w:rFonts w:cstheme="minorHAnsi"/>
          <w:sz w:val="24"/>
          <w:szCs w:val="24"/>
          <w:lang w:val="fr-FR"/>
        </w:rPr>
        <w:t>January</w:t>
      </w:r>
      <w:proofErr w:type="spellEnd"/>
      <w:r>
        <w:rPr>
          <w:rFonts w:cstheme="minorHAnsi"/>
          <w:sz w:val="24"/>
          <w:szCs w:val="24"/>
          <w:lang w:val="fr-FR"/>
        </w:rPr>
        <w:t xml:space="preserve">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35-43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F3417">
        <w:rPr>
          <w:rFonts w:cstheme="minorHAnsi"/>
          <w:sz w:val="24"/>
          <w:szCs w:val="24"/>
        </w:rPr>
        <w:t>Karger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0F5AB4">
        <w:rPr>
          <w:rFonts w:cstheme="minorHAnsi"/>
          <w:sz w:val="24"/>
          <w:szCs w:val="24"/>
        </w:rPr>
        <w:t>Karger</w:t>
      </w:r>
      <w:r w:rsidR="000A7622" w:rsidRPr="00C04F25">
        <w:rPr>
          <w:rFonts w:cstheme="minorHAnsi"/>
          <w:sz w:val="24"/>
          <w:szCs w:val="24"/>
        </w:rPr>
        <w:t xml:space="preserve"> does not grant permission for this article to be further copied/distributed or hosted elsewhere without the express permission from </w:t>
      </w:r>
      <w:r w:rsidR="000F5AB4">
        <w:rPr>
          <w:rFonts w:cstheme="minorHAnsi"/>
          <w:sz w:val="24"/>
          <w:szCs w:val="24"/>
        </w:rPr>
        <w:t>Karger</w:t>
      </w:r>
      <w:r w:rsidR="000A7622" w:rsidRPr="00C04F25">
        <w:rPr>
          <w:rFonts w:cstheme="minorHAnsi"/>
          <w:sz w:val="24"/>
          <w:szCs w:val="24"/>
        </w:rPr>
        <w:t xml:space="preserve">. </w:t>
      </w:r>
      <w:bookmarkEnd w:id="1"/>
    </w:p>
    <w:p w14:paraId="12AE3DBC" w14:textId="08A31D32" w:rsidR="00050265" w:rsidRDefault="00050265" w:rsidP="00D14423">
      <w:pPr>
        <w:rPr>
          <w:rFonts w:cstheme="minorHAnsi"/>
          <w:sz w:val="24"/>
          <w:szCs w:val="24"/>
        </w:rPr>
      </w:pPr>
    </w:p>
    <w:p w14:paraId="158C3FC9" w14:textId="09FF104C" w:rsidR="00050265" w:rsidRDefault="00050265" w:rsidP="00050265">
      <w:pPr>
        <w:pStyle w:val="Title"/>
      </w:pPr>
      <w:r w:rsidRPr="00050265">
        <w:t xml:space="preserve">Changes </w:t>
      </w:r>
      <w:r>
        <w:t>i</w:t>
      </w:r>
      <w:r w:rsidRPr="00050265">
        <w:t xml:space="preserve">n Cerebral Volume </w:t>
      </w:r>
      <w:r>
        <w:t>a</w:t>
      </w:r>
      <w:r w:rsidRPr="00050265">
        <w:t xml:space="preserve">nd White Matter Integrity </w:t>
      </w:r>
      <w:r>
        <w:t>i</w:t>
      </w:r>
      <w:r w:rsidRPr="00050265">
        <w:t xml:space="preserve">n Adults </w:t>
      </w:r>
      <w:r>
        <w:t>o</w:t>
      </w:r>
      <w:r w:rsidRPr="00050265">
        <w:t xml:space="preserve">n Hemodialysis </w:t>
      </w:r>
      <w:r>
        <w:t>a</w:t>
      </w:r>
      <w:r w:rsidRPr="00050265">
        <w:t xml:space="preserve">nd Relationship </w:t>
      </w:r>
      <w:r>
        <w:t>t</w:t>
      </w:r>
      <w:r w:rsidRPr="00050265">
        <w:t>o Cognitive Function</w:t>
      </w:r>
    </w:p>
    <w:p w14:paraId="07133A9F" w14:textId="07BC9F9C" w:rsidR="0060436B" w:rsidRDefault="0060436B" w:rsidP="00050265"/>
    <w:p w14:paraId="5532E0BB" w14:textId="734B80A3" w:rsidR="00E26275" w:rsidRPr="00D7532A" w:rsidRDefault="00E26275" w:rsidP="00D7532A">
      <w:pPr>
        <w:pStyle w:val="NoSpacing"/>
        <w:rPr>
          <w:sz w:val="32"/>
          <w:szCs w:val="32"/>
        </w:rPr>
      </w:pPr>
      <w:r w:rsidRPr="00D7532A">
        <w:rPr>
          <w:sz w:val="32"/>
          <w:szCs w:val="32"/>
        </w:rPr>
        <w:t>W.T.</w:t>
      </w:r>
      <w:r w:rsidRPr="00D7532A">
        <w:rPr>
          <w:sz w:val="32"/>
          <w:szCs w:val="32"/>
        </w:rPr>
        <w:t xml:space="preserve"> </w:t>
      </w:r>
      <w:proofErr w:type="spellStart"/>
      <w:r w:rsidR="00424256" w:rsidRPr="00D7532A">
        <w:rPr>
          <w:sz w:val="32"/>
          <w:szCs w:val="32"/>
        </w:rPr>
        <w:t>Richerson</w:t>
      </w:r>
      <w:proofErr w:type="spellEnd"/>
    </w:p>
    <w:p w14:paraId="20DC44AB" w14:textId="3292DEF5" w:rsidR="00E26275" w:rsidRPr="00D7532A" w:rsidRDefault="00E26275" w:rsidP="00D7532A">
      <w:pPr>
        <w:pStyle w:val="NoSpacing"/>
        <w:rPr>
          <w:sz w:val="24"/>
          <w:szCs w:val="24"/>
        </w:rPr>
      </w:pPr>
      <w:r w:rsidRPr="00D7532A">
        <w:rPr>
          <w:sz w:val="24"/>
          <w:szCs w:val="24"/>
        </w:rPr>
        <w:t>Department of Biomedical Engineering, Marquette University and Medical College of Wisconsin, Milwaukee, WI</w:t>
      </w:r>
    </w:p>
    <w:p w14:paraId="540AD644" w14:textId="33BBC9A8" w:rsidR="00E26275" w:rsidRPr="00D7532A" w:rsidRDefault="00E26275" w:rsidP="00D7532A">
      <w:pPr>
        <w:pStyle w:val="NoSpacing"/>
        <w:rPr>
          <w:sz w:val="32"/>
          <w:szCs w:val="32"/>
        </w:rPr>
      </w:pPr>
      <w:r w:rsidRPr="00D7532A">
        <w:rPr>
          <w:sz w:val="32"/>
          <w:szCs w:val="32"/>
        </w:rPr>
        <w:t>L.G.</w:t>
      </w:r>
      <w:r w:rsidRPr="00D7532A">
        <w:rPr>
          <w:sz w:val="32"/>
          <w:szCs w:val="32"/>
        </w:rPr>
        <w:t xml:space="preserve"> </w:t>
      </w:r>
      <w:proofErr w:type="spellStart"/>
      <w:r w:rsidR="00424256" w:rsidRPr="00D7532A">
        <w:rPr>
          <w:sz w:val="32"/>
          <w:szCs w:val="32"/>
        </w:rPr>
        <w:t>Umfleet</w:t>
      </w:r>
      <w:proofErr w:type="spellEnd"/>
    </w:p>
    <w:p w14:paraId="035CDB1B" w14:textId="16C95810" w:rsidR="00E26275" w:rsidRPr="00D7532A" w:rsidRDefault="00E26275" w:rsidP="00D7532A">
      <w:pPr>
        <w:pStyle w:val="NoSpacing"/>
        <w:rPr>
          <w:sz w:val="24"/>
          <w:szCs w:val="24"/>
        </w:rPr>
      </w:pPr>
      <w:r w:rsidRPr="00D7532A">
        <w:rPr>
          <w:sz w:val="24"/>
          <w:szCs w:val="24"/>
        </w:rPr>
        <w:t>Department of Neurology, Medical College of Wisconsin, Milwaukee, WI</w:t>
      </w:r>
    </w:p>
    <w:p w14:paraId="01916A0B" w14:textId="0C2DE269" w:rsidR="00E26275" w:rsidRPr="00D7532A" w:rsidRDefault="00E26275" w:rsidP="00D7532A">
      <w:pPr>
        <w:pStyle w:val="NoSpacing"/>
        <w:rPr>
          <w:sz w:val="32"/>
          <w:szCs w:val="32"/>
        </w:rPr>
      </w:pPr>
      <w:r w:rsidRPr="00D7532A">
        <w:rPr>
          <w:sz w:val="32"/>
          <w:szCs w:val="32"/>
        </w:rPr>
        <w:t>B.D.</w:t>
      </w:r>
      <w:r w:rsidRPr="00D7532A">
        <w:rPr>
          <w:sz w:val="32"/>
          <w:szCs w:val="32"/>
        </w:rPr>
        <w:t xml:space="preserve"> </w:t>
      </w:r>
      <w:r w:rsidR="00424256" w:rsidRPr="00D7532A">
        <w:rPr>
          <w:sz w:val="32"/>
          <w:szCs w:val="32"/>
        </w:rPr>
        <w:t>Schmit</w:t>
      </w:r>
    </w:p>
    <w:p w14:paraId="3BE58F0C" w14:textId="5EFDBDF7" w:rsidR="00E26275" w:rsidRPr="00D7532A" w:rsidRDefault="00E26275" w:rsidP="00D7532A">
      <w:pPr>
        <w:pStyle w:val="NoSpacing"/>
        <w:rPr>
          <w:sz w:val="24"/>
          <w:szCs w:val="24"/>
        </w:rPr>
      </w:pPr>
      <w:r w:rsidRPr="00D7532A">
        <w:rPr>
          <w:sz w:val="24"/>
          <w:szCs w:val="24"/>
        </w:rPr>
        <w:t>Department of Biomedical Engineering, Marquette University and Medical College of Wisconsin, Milwaukee, WI</w:t>
      </w:r>
    </w:p>
    <w:p w14:paraId="287A3657" w14:textId="24E18689" w:rsidR="00424256" w:rsidRPr="00D7532A" w:rsidRDefault="00E26275" w:rsidP="00D7532A">
      <w:pPr>
        <w:pStyle w:val="NoSpacing"/>
        <w:rPr>
          <w:sz w:val="24"/>
          <w:szCs w:val="24"/>
        </w:rPr>
      </w:pPr>
      <w:r w:rsidRPr="00D7532A">
        <w:rPr>
          <w:sz w:val="32"/>
          <w:szCs w:val="32"/>
        </w:rPr>
        <w:t>D.F.</w:t>
      </w:r>
      <w:r w:rsidRPr="00D7532A">
        <w:rPr>
          <w:sz w:val="32"/>
          <w:szCs w:val="32"/>
        </w:rPr>
        <w:t xml:space="preserve"> </w:t>
      </w:r>
      <w:proofErr w:type="spellStart"/>
      <w:r w:rsidR="00424256" w:rsidRPr="00D7532A">
        <w:rPr>
          <w:sz w:val="32"/>
          <w:szCs w:val="32"/>
        </w:rPr>
        <w:t>Wolfgram</w:t>
      </w:r>
      <w:proofErr w:type="spellEnd"/>
      <w:r w:rsidR="00424256" w:rsidRPr="00D7532A">
        <w:rPr>
          <w:sz w:val="32"/>
          <w:szCs w:val="32"/>
        </w:rPr>
        <w:br/>
      </w:r>
      <w:r w:rsidR="00424256" w:rsidRPr="00D7532A">
        <w:rPr>
          <w:sz w:val="24"/>
          <w:szCs w:val="24"/>
        </w:rPr>
        <w:t xml:space="preserve">Department of Medicine, Medical College of Wisconsin and </w:t>
      </w:r>
      <w:proofErr w:type="spellStart"/>
      <w:r w:rsidR="00424256" w:rsidRPr="00D7532A">
        <w:rPr>
          <w:sz w:val="24"/>
          <w:szCs w:val="24"/>
        </w:rPr>
        <w:t>Zablocki</w:t>
      </w:r>
      <w:proofErr w:type="spellEnd"/>
      <w:r w:rsidR="00424256" w:rsidRPr="00D7532A">
        <w:rPr>
          <w:sz w:val="24"/>
          <w:szCs w:val="24"/>
        </w:rPr>
        <w:t xml:space="preserve"> Veterans Affairs Medical Center, Milwaukee, WI, USA</w:t>
      </w:r>
    </w:p>
    <w:p w14:paraId="68A2CBE5" w14:textId="77777777" w:rsidR="00D7532A" w:rsidRDefault="00A15277" w:rsidP="00D7532A">
      <w:pPr>
        <w:pStyle w:val="Heading1"/>
      </w:pPr>
      <w:r w:rsidRPr="00A15277">
        <w:lastRenderedPageBreak/>
        <w:t>Keywords</w:t>
      </w:r>
    </w:p>
    <w:p w14:paraId="306BD27E" w14:textId="16B2E909" w:rsidR="00A15277" w:rsidRPr="00A15277" w:rsidRDefault="00A15277" w:rsidP="00A15277">
      <w:pPr>
        <w:rPr>
          <w:sz w:val="24"/>
          <w:szCs w:val="24"/>
        </w:rPr>
      </w:pPr>
      <w:r w:rsidRPr="00A15277">
        <w:rPr>
          <w:sz w:val="24"/>
          <w:szCs w:val="24"/>
        </w:rPr>
        <w:t>Hemodialysis</w:t>
      </w:r>
      <w:r>
        <w:rPr>
          <w:sz w:val="24"/>
          <w:szCs w:val="24"/>
        </w:rPr>
        <w:t xml:space="preserve">, </w:t>
      </w:r>
      <w:r w:rsidRPr="00A15277">
        <w:rPr>
          <w:sz w:val="24"/>
          <w:szCs w:val="24"/>
        </w:rPr>
        <w:t>Cognition</w:t>
      </w:r>
      <w:r>
        <w:rPr>
          <w:sz w:val="24"/>
          <w:szCs w:val="24"/>
        </w:rPr>
        <w:t xml:space="preserve">, </w:t>
      </w:r>
      <w:r w:rsidRPr="00A15277">
        <w:rPr>
          <w:sz w:val="24"/>
          <w:szCs w:val="24"/>
        </w:rPr>
        <w:t>White matter integrity</w:t>
      </w:r>
      <w:r>
        <w:rPr>
          <w:sz w:val="24"/>
          <w:szCs w:val="24"/>
        </w:rPr>
        <w:t xml:space="preserve">, </w:t>
      </w:r>
      <w:proofErr w:type="gramStart"/>
      <w:r w:rsidRPr="00A15277">
        <w:rPr>
          <w:sz w:val="24"/>
          <w:szCs w:val="24"/>
        </w:rPr>
        <w:t>Gray</w:t>
      </w:r>
      <w:proofErr w:type="gramEnd"/>
      <w:r w:rsidRPr="00A15277">
        <w:rPr>
          <w:sz w:val="24"/>
          <w:szCs w:val="24"/>
        </w:rPr>
        <w:t xml:space="preserve"> matter volume</w:t>
      </w:r>
    </w:p>
    <w:p w14:paraId="1CB132D9" w14:textId="77777777" w:rsidR="00981A4F" w:rsidRPr="00981A4F" w:rsidRDefault="00981A4F" w:rsidP="00D7532A">
      <w:pPr>
        <w:pStyle w:val="Heading1"/>
      </w:pPr>
      <w:r w:rsidRPr="00981A4F">
        <w:t>Abstract</w:t>
      </w:r>
    </w:p>
    <w:p w14:paraId="54F8606F" w14:textId="5F9CCC22" w:rsidR="00981A4F" w:rsidRPr="00981A4F" w:rsidRDefault="00981A4F" w:rsidP="00981A4F">
      <w:pPr>
        <w:rPr>
          <w:sz w:val="24"/>
          <w:szCs w:val="24"/>
        </w:rPr>
      </w:pPr>
      <w:r w:rsidRPr="00981A4F">
        <w:rPr>
          <w:noProof/>
          <w:sz w:val="24"/>
          <w:szCs w:val="24"/>
        </w:rPr>
        <w:drawing>
          <wp:inline distT="0" distB="0" distL="0" distR="0" wp14:anchorId="565048DA" wp14:editId="3B3628CD">
            <wp:extent cx="3657600" cy="2057400"/>
            <wp:effectExtent l="0" t="0" r="0" b="0"/>
            <wp:docPr id="28" name="Picture 28" descr="Visual Abstr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Visual Abstra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057400"/>
                    </a:xfrm>
                    <a:prstGeom prst="rect">
                      <a:avLst/>
                    </a:prstGeom>
                    <a:noFill/>
                    <a:ln>
                      <a:noFill/>
                    </a:ln>
                  </pic:spPr>
                </pic:pic>
              </a:graphicData>
            </a:graphic>
          </wp:inline>
        </w:drawing>
      </w:r>
    </w:p>
    <w:p w14:paraId="5798659A" w14:textId="77777777" w:rsidR="00981A4F" w:rsidRPr="00981A4F" w:rsidRDefault="00981A4F" w:rsidP="00981A4F">
      <w:pPr>
        <w:rPr>
          <w:sz w:val="24"/>
          <w:szCs w:val="24"/>
        </w:rPr>
      </w:pPr>
      <w:r w:rsidRPr="00981A4F">
        <w:rPr>
          <w:b/>
          <w:bCs/>
          <w:i/>
          <w:iCs/>
          <w:sz w:val="24"/>
          <w:szCs w:val="24"/>
        </w:rPr>
        <w:t>Introduction:</w:t>
      </w:r>
      <w:r w:rsidRPr="00981A4F">
        <w:rPr>
          <w:sz w:val="24"/>
          <w:szCs w:val="24"/>
        </w:rPr>
        <w:t> Patients on hemodialysis (HD) have a significant burden of cognitive impairment. Characterizing the cerebral structural changes in HD patients compared to healthy controls and evaluating the relationship of cerebral structural integrity with cognitive performance in HD patients can help clarify the pathophysiology of the cognitive impairment in HD patients. </w:t>
      </w:r>
      <w:r w:rsidRPr="00981A4F">
        <w:rPr>
          <w:b/>
          <w:bCs/>
          <w:i/>
          <w:iCs/>
          <w:sz w:val="24"/>
          <w:szCs w:val="24"/>
        </w:rPr>
        <w:t>Methods:</w:t>
      </w:r>
      <w:r w:rsidRPr="00981A4F">
        <w:rPr>
          <w:sz w:val="24"/>
          <w:szCs w:val="24"/>
        </w:rPr>
        <w:t> In this cross-sectional study, in-center HD patients ≥50 years of age underwent brain structural and diffusion MRIs and cognitive assessment using the NIH Toolbox cognition battery. The cerebral imaging measures of the HD participants were compared to imaging from age-matched controls. Gray matter volume, white matter volume, and white matter integrity determined by diffusion tensor imaging parameters (including fractional anisotropy [FA]) were measured in both cohorts to determine differences in the cerebral structure between HD participants and healthy controls. The association between cognitive performance on the NIH Toolbox cognition battery and cerebral structural integrity was evaluated using multiple linear regression models. </w:t>
      </w:r>
      <w:r w:rsidRPr="00981A4F">
        <w:rPr>
          <w:b/>
          <w:bCs/>
          <w:i/>
          <w:iCs/>
          <w:sz w:val="24"/>
          <w:szCs w:val="24"/>
        </w:rPr>
        <w:t>Results:</w:t>
      </w:r>
      <w:r w:rsidRPr="00981A4F">
        <w:rPr>
          <w:sz w:val="24"/>
          <w:szCs w:val="24"/>
        </w:rPr>
        <w:t> We compared imaging measures form 23 HD participants and 15 age-matched controls. The HD participants had decreased gray matter volumes (526.8 vs. 589.5 cm</w:t>
      </w:r>
      <w:r w:rsidRPr="00981A4F">
        <w:rPr>
          <w:sz w:val="24"/>
          <w:szCs w:val="24"/>
          <w:vertAlign w:val="superscript"/>
        </w:rPr>
        <w:t>3</w:t>
      </w:r>
      <w:r w:rsidRPr="00981A4F">
        <w:rPr>
          <w:sz w:val="24"/>
          <w:szCs w:val="24"/>
        </w:rPr>
        <w:t>, </w:t>
      </w:r>
      <w:r w:rsidRPr="00981A4F">
        <w:rPr>
          <w:i/>
          <w:iCs/>
          <w:sz w:val="24"/>
          <w:szCs w:val="24"/>
        </w:rPr>
        <w:t>p</w:t>
      </w:r>
      <w:r w:rsidRPr="00981A4F">
        <w:rPr>
          <w:sz w:val="24"/>
          <w:szCs w:val="24"/>
        </w:rPr>
        <w:t> &lt; 0.01) and worsened white matter integrity overall (FA values of 0.2864 vs. 0.3441, </w:t>
      </w:r>
      <w:r w:rsidRPr="00981A4F">
        <w:rPr>
          <w:i/>
          <w:iCs/>
          <w:sz w:val="24"/>
          <w:szCs w:val="24"/>
        </w:rPr>
        <w:t>p</w:t>
      </w:r>
      <w:r w:rsidRPr="00981A4F">
        <w:rPr>
          <w:sz w:val="24"/>
          <w:szCs w:val="24"/>
        </w:rPr>
        <w:t> &lt; 0.01) within major white matter tracts compared to healthy controls. Decreases in white matter integrity in the left superior longitudinal fasciculus was associated with lower executive function scores (</w:t>
      </w:r>
      <w:r w:rsidRPr="00981A4F">
        <w:rPr>
          <w:i/>
          <w:iCs/>
          <w:sz w:val="24"/>
          <w:szCs w:val="24"/>
        </w:rPr>
        <w:t>r</w:t>
      </w:r>
      <w:r w:rsidRPr="00981A4F">
        <w:rPr>
          <w:i/>
          <w:iCs/>
          <w:sz w:val="24"/>
          <w:szCs w:val="24"/>
          <w:vertAlign w:val="superscript"/>
        </w:rPr>
        <w:t>2</w:t>
      </w:r>
      <w:r w:rsidRPr="00981A4F">
        <w:rPr>
          <w:sz w:val="24"/>
          <w:szCs w:val="24"/>
        </w:rPr>
        <w:t> = 0.24, </w:t>
      </w:r>
      <w:r w:rsidRPr="00981A4F">
        <w:rPr>
          <w:i/>
          <w:iCs/>
          <w:sz w:val="24"/>
          <w:szCs w:val="24"/>
        </w:rPr>
        <w:t>p</w:t>
      </w:r>
      <w:r w:rsidRPr="00981A4F">
        <w:rPr>
          <w:sz w:val="24"/>
          <w:szCs w:val="24"/>
        </w:rPr>
        <w:t> = 0.02) and inferior longitudinal fasciculus with lower memory scores (</w:t>
      </w:r>
      <w:r w:rsidRPr="00981A4F">
        <w:rPr>
          <w:i/>
          <w:iCs/>
          <w:sz w:val="24"/>
          <w:szCs w:val="24"/>
        </w:rPr>
        <w:t>r</w:t>
      </w:r>
      <w:r w:rsidRPr="00981A4F">
        <w:rPr>
          <w:sz w:val="24"/>
          <w:szCs w:val="24"/>
        </w:rPr>
        <w:t> = 0.25 and </w:t>
      </w:r>
      <w:r w:rsidRPr="00981A4F">
        <w:rPr>
          <w:i/>
          <w:iCs/>
          <w:sz w:val="24"/>
          <w:szCs w:val="24"/>
        </w:rPr>
        <w:t>p</w:t>
      </w:r>
      <w:r w:rsidRPr="00981A4F">
        <w:rPr>
          <w:sz w:val="24"/>
          <w:szCs w:val="24"/>
        </w:rPr>
        <w:t> = 0.03 for left and </w:t>
      </w:r>
      <w:r w:rsidRPr="00981A4F">
        <w:rPr>
          <w:i/>
          <w:iCs/>
          <w:sz w:val="24"/>
          <w:szCs w:val="24"/>
        </w:rPr>
        <w:t>r</w:t>
      </w:r>
      <w:r w:rsidRPr="00981A4F">
        <w:rPr>
          <w:sz w:val="24"/>
          <w:szCs w:val="24"/>
          <w:vertAlign w:val="superscript"/>
        </w:rPr>
        <w:t>2</w:t>
      </w:r>
      <w:r w:rsidRPr="00981A4F">
        <w:rPr>
          <w:sz w:val="24"/>
          <w:szCs w:val="24"/>
        </w:rPr>
        <w:t> = 0.21 and </w:t>
      </w:r>
      <w:r w:rsidRPr="00981A4F">
        <w:rPr>
          <w:i/>
          <w:iCs/>
          <w:sz w:val="24"/>
          <w:szCs w:val="24"/>
        </w:rPr>
        <w:t>p</w:t>
      </w:r>
      <w:r w:rsidRPr="00981A4F">
        <w:rPr>
          <w:sz w:val="24"/>
          <w:szCs w:val="24"/>
        </w:rPr>
        <w:t> = 0.03 for right). </w:t>
      </w:r>
      <w:r w:rsidRPr="00981A4F">
        <w:rPr>
          <w:b/>
          <w:bCs/>
          <w:i/>
          <w:iCs/>
          <w:sz w:val="24"/>
          <w:szCs w:val="24"/>
        </w:rPr>
        <w:t>Conclusions:</w:t>
      </w:r>
      <w:r w:rsidRPr="00981A4F">
        <w:rPr>
          <w:sz w:val="24"/>
          <w:szCs w:val="24"/>
        </w:rPr>
        <w:t> HD patients have a pattern of decreased white matter integrity and gray matter atrophy compared to controls. Decreases in white matter integrity were associated with decreased cognitive performance in the HD population.</w:t>
      </w:r>
    </w:p>
    <w:p w14:paraId="225551F9" w14:textId="77777777" w:rsidR="00981A4F" w:rsidRPr="00981A4F" w:rsidRDefault="00981A4F" w:rsidP="00D7532A">
      <w:pPr>
        <w:pStyle w:val="Heading1"/>
      </w:pPr>
      <w:bookmarkStart w:id="2" w:name="ID0EE"/>
      <w:bookmarkEnd w:id="2"/>
      <w:r w:rsidRPr="00981A4F">
        <w:t>Introduction</w:t>
      </w:r>
    </w:p>
    <w:p w14:paraId="3E3673A1" w14:textId="0BE3A485" w:rsidR="00981A4F" w:rsidRPr="00981A4F" w:rsidRDefault="00981A4F" w:rsidP="00981A4F">
      <w:pPr>
        <w:rPr>
          <w:sz w:val="24"/>
          <w:szCs w:val="24"/>
        </w:rPr>
      </w:pPr>
      <w:r w:rsidRPr="00981A4F">
        <w:rPr>
          <w:sz w:val="24"/>
          <w:szCs w:val="24"/>
        </w:rPr>
        <w:t>Cognitive impairment (CI) in patients with end-stage renal disease (ESRD) treated with hemodialysis (HD) is increasingly apparent and concerning. Cohort studies demonstrate that two-thirds of HD patients suffer from CI and half of those have severe impairment that is consistent with dementia [</w:t>
      </w:r>
      <w:r w:rsidRPr="006D2283">
        <w:rPr>
          <w:sz w:val="24"/>
          <w:szCs w:val="24"/>
        </w:rPr>
        <w:t>1</w:t>
      </w:r>
      <w:r w:rsidRPr="00981A4F">
        <w:rPr>
          <w:sz w:val="24"/>
          <w:szCs w:val="24"/>
        </w:rPr>
        <w:t>-</w:t>
      </w:r>
      <w:r w:rsidRPr="006D2283">
        <w:rPr>
          <w:sz w:val="24"/>
          <w:szCs w:val="24"/>
        </w:rPr>
        <w:t>4</w:t>
      </w:r>
      <w:r w:rsidRPr="00981A4F">
        <w:rPr>
          <w:sz w:val="24"/>
          <w:szCs w:val="24"/>
        </w:rPr>
        <w:t>]. CI in the HD population is associated with higher mortality, increased hospitalization rates, and lower functional status and quality of life [</w:t>
      </w:r>
      <w:r w:rsidRPr="006D2283">
        <w:rPr>
          <w:sz w:val="24"/>
          <w:szCs w:val="24"/>
        </w:rPr>
        <w:t>5</w:t>
      </w:r>
      <w:r w:rsidRPr="00981A4F">
        <w:rPr>
          <w:sz w:val="24"/>
          <w:szCs w:val="24"/>
        </w:rPr>
        <w:t>, </w:t>
      </w:r>
      <w:r w:rsidRPr="006D2283">
        <w:rPr>
          <w:sz w:val="24"/>
          <w:szCs w:val="24"/>
        </w:rPr>
        <w:t>6</w:t>
      </w:r>
      <w:r w:rsidRPr="00981A4F">
        <w:rPr>
          <w:sz w:val="24"/>
          <w:szCs w:val="24"/>
        </w:rPr>
        <w:t xml:space="preserve">]. In the dialysis population, CI can reduce the patients’ </w:t>
      </w:r>
      <w:r w:rsidRPr="00981A4F">
        <w:rPr>
          <w:sz w:val="24"/>
          <w:szCs w:val="24"/>
        </w:rPr>
        <w:lastRenderedPageBreak/>
        <w:t>ability to adhere to medications and dietary restrictions that are complex and central to dialysis care. In addition, it compromises decision-making capacity regarding care. The pathophysiology of cognitive decline in this population is unclear. However, the HD population is noted to have generalized cortical atrophy and white matter disease on imaging [</w:t>
      </w:r>
      <w:r w:rsidRPr="006D2283">
        <w:rPr>
          <w:sz w:val="24"/>
          <w:szCs w:val="24"/>
        </w:rPr>
        <w:t>7</w:t>
      </w:r>
      <w:r w:rsidRPr="00981A4F">
        <w:rPr>
          <w:sz w:val="24"/>
          <w:szCs w:val="24"/>
        </w:rPr>
        <w:t>-</w:t>
      </w:r>
      <w:r w:rsidRPr="006D2283">
        <w:rPr>
          <w:sz w:val="24"/>
          <w:szCs w:val="24"/>
        </w:rPr>
        <w:t>10</w:t>
      </w:r>
      <w:r w:rsidRPr="00981A4F">
        <w:rPr>
          <w:sz w:val="24"/>
          <w:szCs w:val="24"/>
        </w:rPr>
        <w:t>]. This indicates that there may be cerebral structural changes that lead to the CI in this population.</w:t>
      </w:r>
    </w:p>
    <w:p w14:paraId="49FECDD7" w14:textId="2DD89CA0" w:rsidR="00981A4F" w:rsidRPr="00981A4F" w:rsidRDefault="00981A4F" w:rsidP="00981A4F">
      <w:pPr>
        <w:rPr>
          <w:sz w:val="24"/>
          <w:szCs w:val="24"/>
        </w:rPr>
      </w:pPr>
      <w:r w:rsidRPr="00981A4F">
        <w:rPr>
          <w:sz w:val="24"/>
          <w:szCs w:val="24"/>
        </w:rPr>
        <w:t xml:space="preserve">Characterizing cerebral microstructural changes in HD patients can be used to identify how brain injury might be occurring and inform prevention therapies. The pathophysiology for CI is likely multifactorial with uremic toxins, inflammation, anemia, electrolyte disturbances, and </w:t>
      </w:r>
      <w:proofErr w:type="spellStart"/>
      <w:r w:rsidRPr="00981A4F">
        <w:rPr>
          <w:sz w:val="24"/>
          <w:szCs w:val="24"/>
        </w:rPr>
        <w:t>proteinopathies</w:t>
      </w:r>
      <w:proofErr w:type="spellEnd"/>
      <w:r w:rsidRPr="00981A4F">
        <w:rPr>
          <w:sz w:val="24"/>
          <w:szCs w:val="24"/>
        </w:rPr>
        <w:t xml:space="preserve"> all contributing; however, cerebral ischemia appears to play a key role. Prior evidence demonstrates an increased risk of cerebrovascular disease after initiation of HD [</w:t>
      </w:r>
      <w:r w:rsidRPr="006D2283">
        <w:rPr>
          <w:sz w:val="24"/>
          <w:szCs w:val="24"/>
        </w:rPr>
        <w:t>11</w:t>
      </w:r>
      <w:r w:rsidRPr="00981A4F">
        <w:rPr>
          <w:sz w:val="24"/>
          <w:szCs w:val="24"/>
        </w:rPr>
        <w:t>]. There is evidence of white matter disease, lacunae and infarcts, and atrophy on brain imaging in HD patients [</w:t>
      </w:r>
      <w:r w:rsidRPr="006D2283">
        <w:rPr>
          <w:sz w:val="24"/>
          <w:szCs w:val="24"/>
        </w:rPr>
        <w:t>1</w:t>
      </w:r>
      <w:r w:rsidRPr="00981A4F">
        <w:rPr>
          <w:sz w:val="24"/>
          <w:szCs w:val="24"/>
        </w:rPr>
        <w:t>, </w:t>
      </w:r>
      <w:r w:rsidRPr="006D2283">
        <w:rPr>
          <w:sz w:val="24"/>
          <w:szCs w:val="24"/>
        </w:rPr>
        <w:t>8</w:t>
      </w:r>
      <w:r w:rsidRPr="00981A4F">
        <w:rPr>
          <w:sz w:val="24"/>
          <w:szCs w:val="24"/>
        </w:rPr>
        <w:t>, </w:t>
      </w:r>
      <w:r w:rsidRPr="006D2283">
        <w:rPr>
          <w:sz w:val="24"/>
          <w:szCs w:val="24"/>
        </w:rPr>
        <w:t>12</w:t>
      </w:r>
      <w:r w:rsidRPr="00981A4F">
        <w:rPr>
          <w:sz w:val="24"/>
          <w:szCs w:val="24"/>
        </w:rPr>
        <w:t>, </w:t>
      </w:r>
      <w:r w:rsidRPr="006D2283">
        <w:rPr>
          <w:sz w:val="24"/>
          <w:szCs w:val="24"/>
        </w:rPr>
        <w:t>13</w:t>
      </w:r>
      <w:r w:rsidRPr="00981A4F">
        <w:rPr>
          <w:sz w:val="24"/>
          <w:szCs w:val="24"/>
        </w:rPr>
        <w:t>]. These ischemic-type lesions may be due to the circulatory stress that is induced by HD in the setting of vascular disease [</w:t>
      </w:r>
      <w:r w:rsidRPr="006D2283">
        <w:rPr>
          <w:sz w:val="24"/>
          <w:szCs w:val="24"/>
        </w:rPr>
        <w:t>14</w:t>
      </w:r>
      <w:r w:rsidRPr="00981A4F">
        <w:rPr>
          <w:sz w:val="24"/>
          <w:szCs w:val="24"/>
        </w:rPr>
        <w:t xml:space="preserve">]. Cerebral hypoperfusion during HD has been demonstrated using </w:t>
      </w:r>
      <w:proofErr w:type="gramStart"/>
      <w:r w:rsidRPr="00981A4F">
        <w:rPr>
          <w:sz w:val="24"/>
          <w:szCs w:val="24"/>
        </w:rPr>
        <w:t>a number of</w:t>
      </w:r>
      <w:proofErr w:type="gramEnd"/>
      <w:r w:rsidRPr="00981A4F">
        <w:rPr>
          <w:sz w:val="24"/>
          <w:szCs w:val="24"/>
        </w:rPr>
        <w:t xml:space="preserve"> methods [</w:t>
      </w:r>
      <w:r w:rsidRPr="006D2283">
        <w:rPr>
          <w:sz w:val="24"/>
          <w:szCs w:val="24"/>
        </w:rPr>
        <w:t>15</w:t>
      </w:r>
      <w:r w:rsidRPr="00981A4F">
        <w:rPr>
          <w:sz w:val="24"/>
          <w:szCs w:val="24"/>
        </w:rPr>
        <w:t>-</w:t>
      </w:r>
      <w:r w:rsidRPr="006D2283">
        <w:rPr>
          <w:sz w:val="24"/>
          <w:szCs w:val="24"/>
        </w:rPr>
        <w:t>17</w:t>
      </w:r>
      <w:r w:rsidRPr="00981A4F">
        <w:rPr>
          <w:sz w:val="24"/>
          <w:szCs w:val="24"/>
        </w:rPr>
        <w:t>]. In addition to infarcts and atrophy, there may also be microstructural changes in white matter integrity that occur. These ischemic lesions, atrophy, and loss of integrity of neural pathways and structures may be the link to compromised cognitive function.</w:t>
      </w:r>
    </w:p>
    <w:p w14:paraId="4F2B8F97" w14:textId="77777777" w:rsidR="00981A4F" w:rsidRPr="00981A4F" w:rsidRDefault="00981A4F" w:rsidP="00981A4F">
      <w:pPr>
        <w:rPr>
          <w:sz w:val="24"/>
          <w:szCs w:val="24"/>
        </w:rPr>
      </w:pPr>
      <w:r w:rsidRPr="00981A4F">
        <w:rPr>
          <w:sz w:val="24"/>
          <w:szCs w:val="24"/>
        </w:rPr>
        <w:t>To provide further information on cerebral structural and cognitive changes in the HD population, we conducted a cross-sectional analysis using magnetic resonance imaging (MRI) and cognitive testing in an HD cohort with comparison to MRI data from healthy controls. We utilized state-of-the-art image processing methodology to improve accuracy of the measurements of white matter integrity, focusing on parameters of fractional anisotropy (FA, a measure of directional diffusion along neuronal tracts) and mean diffusivity (MD, a measure of dispersion along a tract). We hypothesized that the HD cohort would have decreased gray and white matter volumes and indicators of decreased white matter integrity compared to healthy controls. Furthermore, we hypothesized that cerebral volumes and white matter integrity would be associated with cognitive performance in the HD cohort.</w:t>
      </w:r>
    </w:p>
    <w:p w14:paraId="55306F91" w14:textId="77777777" w:rsidR="00981A4F" w:rsidRPr="00981A4F" w:rsidRDefault="00981A4F" w:rsidP="00D7532A">
      <w:pPr>
        <w:pStyle w:val="Heading1"/>
      </w:pPr>
      <w:bookmarkStart w:id="3" w:name="ID0EDC"/>
      <w:bookmarkEnd w:id="3"/>
      <w:r w:rsidRPr="00981A4F">
        <w:t>Methods</w:t>
      </w:r>
    </w:p>
    <w:p w14:paraId="3E34F41A" w14:textId="77777777" w:rsidR="00981A4F" w:rsidRPr="00981A4F" w:rsidRDefault="00981A4F" w:rsidP="00D7532A">
      <w:pPr>
        <w:pStyle w:val="Heading2"/>
      </w:pPr>
      <w:bookmarkStart w:id="4" w:name="ID0EFC"/>
      <w:bookmarkEnd w:id="4"/>
      <w:r w:rsidRPr="00981A4F">
        <w:t>Participants</w:t>
      </w:r>
    </w:p>
    <w:p w14:paraId="10856EE7" w14:textId="44D17B12" w:rsidR="00981A4F" w:rsidRPr="00981A4F" w:rsidRDefault="00981A4F" w:rsidP="00981A4F">
      <w:pPr>
        <w:rPr>
          <w:sz w:val="24"/>
          <w:szCs w:val="24"/>
        </w:rPr>
      </w:pPr>
      <w:r w:rsidRPr="00981A4F">
        <w:rPr>
          <w:sz w:val="24"/>
          <w:szCs w:val="24"/>
        </w:rPr>
        <w:t xml:space="preserve">In this cross-sectional analysis from an ongoing longitudinal study, we recruited participants with ESRD treated with HD from 4 community dialysis units in Milwaukee, WI. Each ESRD participant provided informed written consent to the protocol, which was approved by the Institutional Review Board at the Medical College of Wisconsin. Inclusion criteria were age ≥50 years and receiving thrice weekly conventional in-center HD. Participants also had to be on dialysis over 1 month but &lt;2 years at enrollment. The 1 month was to avoid the complicating effects of untreated uremia, and the &lt;2-year requirement was to capture when cognitive changes may be more commonly occurring as part of the longitudinal study. Exclusion criteria included a history of stroke, traumatic brain injury, brain tumor or surgery within the past year, non-English speaking, </w:t>
      </w:r>
      <w:proofErr w:type="gramStart"/>
      <w:r w:rsidRPr="00981A4F">
        <w:rPr>
          <w:sz w:val="24"/>
          <w:szCs w:val="24"/>
        </w:rPr>
        <w:t>hearing</w:t>
      </w:r>
      <w:proofErr w:type="gramEnd"/>
      <w:r w:rsidRPr="00981A4F">
        <w:rPr>
          <w:sz w:val="24"/>
          <w:szCs w:val="24"/>
        </w:rPr>
        <w:t xml:space="preserve"> or vision impairment enough to preclude the ability to take the cognitive tests, severe CI that would prevent them from completing cognitive testing, or diagnosis of dementia. Healthy control data were used from a previous study [</w:t>
      </w:r>
      <w:r w:rsidRPr="006D2283">
        <w:rPr>
          <w:sz w:val="24"/>
          <w:szCs w:val="24"/>
        </w:rPr>
        <w:t>18</w:t>
      </w:r>
      <w:r w:rsidRPr="00981A4F">
        <w:rPr>
          <w:sz w:val="24"/>
          <w:szCs w:val="24"/>
        </w:rPr>
        <w:t xml:space="preserve">]. The healthy control group had the same imaging protocol as the HD cohort but did not have the cognitive </w:t>
      </w:r>
      <w:r w:rsidRPr="00981A4F">
        <w:rPr>
          <w:sz w:val="24"/>
          <w:szCs w:val="24"/>
        </w:rPr>
        <w:lastRenderedPageBreak/>
        <w:t>testing. Both the HD and control groups’ imaging were processed and analyzed using the same processing pipeline described below.</w:t>
      </w:r>
    </w:p>
    <w:p w14:paraId="69FC4525" w14:textId="77777777" w:rsidR="00981A4F" w:rsidRPr="00981A4F" w:rsidRDefault="00981A4F" w:rsidP="00D7532A">
      <w:pPr>
        <w:pStyle w:val="Heading2"/>
      </w:pPr>
      <w:bookmarkStart w:id="5" w:name="ID0ENC"/>
      <w:bookmarkEnd w:id="5"/>
      <w:r w:rsidRPr="00981A4F">
        <w:t>Cognitive Testing</w:t>
      </w:r>
    </w:p>
    <w:p w14:paraId="0DF5833F" w14:textId="30236D60" w:rsidR="00981A4F" w:rsidRPr="00981A4F" w:rsidRDefault="00981A4F" w:rsidP="00981A4F">
      <w:pPr>
        <w:rPr>
          <w:sz w:val="24"/>
          <w:szCs w:val="24"/>
        </w:rPr>
      </w:pPr>
      <w:r w:rsidRPr="00981A4F">
        <w:rPr>
          <w:sz w:val="24"/>
          <w:szCs w:val="24"/>
        </w:rPr>
        <w:t>Each HD participant completed the NIH Toolbox cognition battery, which includes 7 assessments that evaluate the following domains: language, attention, processing speed, executive function, working memory, and episodic memory, as well as 3 composite scores [</w:t>
      </w:r>
      <w:r w:rsidRPr="006D2283">
        <w:rPr>
          <w:sz w:val="24"/>
          <w:szCs w:val="24"/>
        </w:rPr>
        <w:t>19</w:t>
      </w:r>
      <w:r w:rsidRPr="00981A4F">
        <w:rPr>
          <w:sz w:val="24"/>
          <w:szCs w:val="24"/>
        </w:rPr>
        <w:t>]. Testing was performed the day after the participant’s 2nd dialysis session of the week. This was to avoid the immediate changes in cognition during and immediately after a dialysis session [</w:t>
      </w:r>
      <w:r w:rsidRPr="006D2283">
        <w:rPr>
          <w:sz w:val="24"/>
          <w:szCs w:val="24"/>
        </w:rPr>
        <w:t>20</w:t>
      </w:r>
      <w:r w:rsidRPr="00981A4F">
        <w:rPr>
          <w:sz w:val="24"/>
          <w:szCs w:val="24"/>
        </w:rPr>
        <w:t>]. All testing was carried out in a quiet room with a test administrator and completed on an iPad.</w:t>
      </w:r>
    </w:p>
    <w:p w14:paraId="1EB8C375" w14:textId="77777777" w:rsidR="00981A4F" w:rsidRPr="00981A4F" w:rsidRDefault="00981A4F" w:rsidP="00D7532A">
      <w:pPr>
        <w:pStyle w:val="Heading2"/>
      </w:pPr>
      <w:bookmarkStart w:id="6" w:name="ID0EZC"/>
      <w:bookmarkEnd w:id="6"/>
      <w:r w:rsidRPr="00981A4F">
        <w:t>Magnetic Resonance Imaging</w:t>
      </w:r>
    </w:p>
    <w:p w14:paraId="312F227E" w14:textId="77777777" w:rsidR="00981A4F" w:rsidRPr="00981A4F" w:rsidRDefault="00981A4F" w:rsidP="00981A4F">
      <w:pPr>
        <w:rPr>
          <w:sz w:val="24"/>
          <w:szCs w:val="24"/>
        </w:rPr>
      </w:pPr>
      <w:r w:rsidRPr="00981A4F">
        <w:rPr>
          <w:sz w:val="24"/>
          <w:szCs w:val="24"/>
        </w:rPr>
        <w:t xml:space="preserve">MRI was performed on the same day as the cognitive testing, immediately following the cognitive testing. No participant was given anti-anxiety or sedative medications for the scan. Every participant completed an MRI safety screen prior to the scan. T1-weighted anatomical images were acquired using an axial fast spoiled gradient recall 3D sequence (TE = 3.2 </w:t>
      </w:r>
      <w:proofErr w:type="spellStart"/>
      <w:r w:rsidRPr="00981A4F">
        <w:rPr>
          <w:sz w:val="24"/>
          <w:szCs w:val="24"/>
        </w:rPr>
        <w:t>ms</w:t>
      </w:r>
      <w:proofErr w:type="spellEnd"/>
      <w:r w:rsidRPr="00981A4F">
        <w:rPr>
          <w:sz w:val="24"/>
          <w:szCs w:val="24"/>
        </w:rPr>
        <w:t xml:space="preserve">, TR = 8.16 </w:t>
      </w:r>
      <w:proofErr w:type="spellStart"/>
      <w:r w:rsidRPr="00981A4F">
        <w:rPr>
          <w:sz w:val="24"/>
          <w:szCs w:val="24"/>
        </w:rPr>
        <w:t>ms</w:t>
      </w:r>
      <w:proofErr w:type="spellEnd"/>
      <w:r w:rsidRPr="00981A4F">
        <w:rPr>
          <w:sz w:val="24"/>
          <w:szCs w:val="24"/>
        </w:rPr>
        <w:t xml:space="preserve">, flip angle = 12°, prep time = 450, bandwidth = 22.73, FOV = 240 mm, 156 1-mm slices, and matrix = 256 × 240). The diffusion-weighted volumes were acquired using an axial q-ball high angular resolution diffusion imaging sequence using single-shot echo-planar imaging (TE = 72.3 </w:t>
      </w:r>
      <w:proofErr w:type="spellStart"/>
      <w:r w:rsidRPr="00981A4F">
        <w:rPr>
          <w:sz w:val="24"/>
          <w:szCs w:val="24"/>
        </w:rPr>
        <w:t>ms</w:t>
      </w:r>
      <w:proofErr w:type="spellEnd"/>
      <w:r w:rsidRPr="00981A4F">
        <w:rPr>
          <w:sz w:val="24"/>
          <w:szCs w:val="24"/>
        </w:rPr>
        <w:t xml:space="preserve">, TR = 5,700 </w:t>
      </w:r>
      <w:proofErr w:type="spellStart"/>
      <w:r w:rsidRPr="00981A4F">
        <w:rPr>
          <w:sz w:val="24"/>
          <w:szCs w:val="24"/>
        </w:rPr>
        <w:t>ms</w:t>
      </w:r>
      <w:proofErr w:type="spellEnd"/>
      <w:r w:rsidRPr="00981A4F">
        <w:rPr>
          <w:sz w:val="24"/>
          <w:szCs w:val="24"/>
        </w:rPr>
        <w:t>, </w:t>
      </w:r>
      <w:r w:rsidRPr="00981A4F">
        <w:rPr>
          <w:i/>
          <w:iCs/>
          <w:sz w:val="24"/>
          <w:szCs w:val="24"/>
        </w:rPr>
        <w:t>b</w:t>
      </w:r>
      <w:r w:rsidRPr="00981A4F">
        <w:rPr>
          <w:sz w:val="24"/>
          <w:szCs w:val="24"/>
        </w:rPr>
        <w:t>-value = 1,500 s/mm</w:t>
      </w:r>
      <w:r w:rsidRPr="00981A4F">
        <w:rPr>
          <w:sz w:val="24"/>
          <w:szCs w:val="24"/>
          <w:vertAlign w:val="superscript"/>
        </w:rPr>
        <w:t>2</w:t>
      </w:r>
      <w:r w:rsidRPr="00981A4F">
        <w:rPr>
          <w:sz w:val="24"/>
          <w:szCs w:val="24"/>
        </w:rPr>
        <w:t>, 5 b0 images, 150 directions, FOV = 256 mm, 59 2.5-mm slices, and matrix = 128 × 128).</w:t>
      </w:r>
    </w:p>
    <w:p w14:paraId="784AFE15" w14:textId="77777777" w:rsidR="00981A4F" w:rsidRPr="00981A4F" w:rsidRDefault="00981A4F" w:rsidP="00D7532A">
      <w:pPr>
        <w:pStyle w:val="Heading2"/>
      </w:pPr>
      <w:bookmarkStart w:id="7" w:name="ID0EBD"/>
      <w:bookmarkEnd w:id="7"/>
      <w:r w:rsidRPr="00981A4F">
        <w:t>Image Processing</w:t>
      </w:r>
    </w:p>
    <w:p w14:paraId="70026250" w14:textId="662B0FEC" w:rsidR="00981A4F" w:rsidRPr="00981A4F" w:rsidRDefault="00981A4F" w:rsidP="00981A4F">
      <w:pPr>
        <w:rPr>
          <w:sz w:val="24"/>
          <w:szCs w:val="24"/>
        </w:rPr>
      </w:pPr>
      <w:r w:rsidRPr="00981A4F">
        <w:rPr>
          <w:sz w:val="24"/>
          <w:szCs w:val="24"/>
        </w:rPr>
        <w:t>Anatomical morphometry processing, including bias correction, skull stripping, spatial normalization, and segmentation, was completed using cat12 (http://www.neuro.uni-jena.de/cat/). Total volumes of gray matter, white matter, and cerebrospinal fluid and total intracranial volume were calculated with segmented anatomical volumes. Region of interest analysis was carried out by masking the gray matter segmentation of each participant with the Harvard-Oxford Cortical and Subcortical Atlases and the Probabilistic Cerebellar Atlas [</w:t>
      </w:r>
      <w:r w:rsidRPr="006D2283">
        <w:rPr>
          <w:sz w:val="24"/>
          <w:szCs w:val="24"/>
        </w:rPr>
        <w:t>21</w:t>
      </w:r>
      <w:r w:rsidRPr="00981A4F">
        <w:rPr>
          <w:sz w:val="24"/>
          <w:szCs w:val="24"/>
        </w:rPr>
        <w:t>, </w:t>
      </w:r>
      <w:r w:rsidRPr="006D2283">
        <w:rPr>
          <w:sz w:val="24"/>
          <w:szCs w:val="24"/>
        </w:rPr>
        <w:t>22</w:t>
      </w:r>
      <w:r w:rsidRPr="00981A4F">
        <w:rPr>
          <w:sz w:val="24"/>
          <w:szCs w:val="24"/>
        </w:rPr>
        <w:t xml:space="preserve">]. For the diffusion processing, diffusion volumes were skull stripped and corrected for susceptibility in the images, interslice and </w:t>
      </w:r>
      <w:proofErr w:type="spellStart"/>
      <w:r w:rsidRPr="00981A4F">
        <w:rPr>
          <w:sz w:val="24"/>
          <w:szCs w:val="24"/>
        </w:rPr>
        <w:t>intraslice</w:t>
      </w:r>
      <w:proofErr w:type="spellEnd"/>
      <w:r w:rsidRPr="00981A4F">
        <w:rPr>
          <w:sz w:val="24"/>
          <w:szCs w:val="24"/>
        </w:rPr>
        <w:t xml:space="preserve"> and volume motion, signal dropout, and b-vector correction [</w:t>
      </w:r>
      <w:r w:rsidRPr="006D2283">
        <w:rPr>
          <w:sz w:val="24"/>
          <w:szCs w:val="24"/>
        </w:rPr>
        <w:t>23</w:t>
      </w:r>
      <w:r w:rsidRPr="00981A4F">
        <w:rPr>
          <w:sz w:val="24"/>
          <w:szCs w:val="24"/>
        </w:rPr>
        <w:t>, </w:t>
      </w:r>
      <w:r w:rsidRPr="006D2283">
        <w:rPr>
          <w:sz w:val="24"/>
          <w:szCs w:val="24"/>
        </w:rPr>
        <w:t>24</w:t>
      </w:r>
      <w:r w:rsidRPr="00981A4F">
        <w:rPr>
          <w:sz w:val="24"/>
          <w:szCs w:val="24"/>
        </w:rPr>
        <w:t>]. Diffusion volumes were registered using a rigid transform from diffusion to anatomical space, and a combination of affine and nonlinear registration was used to obtain the transforms from anatomical to standard MNI 152 Nonlinear 1-mm space.</w:t>
      </w:r>
    </w:p>
    <w:p w14:paraId="26828C7A" w14:textId="054A598C" w:rsidR="00981A4F" w:rsidRPr="00981A4F" w:rsidRDefault="00981A4F" w:rsidP="00981A4F">
      <w:pPr>
        <w:rPr>
          <w:sz w:val="24"/>
          <w:szCs w:val="24"/>
        </w:rPr>
      </w:pPr>
      <w:r w:rsidRPr="00981A4F">
        <w:rPr>
          <w:sz w:val="24"/>
          <w:szCs w:val="24"/>
        </w:rPr>
        <w:t xml:space="preserve">After completing registration, the tensor model was then fit to each voxel in the diffusion volume to get the diffusion tensor imaging (DTI) measures of microstructural integrity (FA, axial diffusion [AD], radial diffusion [RD], and MD). FA is a measure of the strength of diffusion in the primary direction relative to the nonprimary diffusion directions, MD is the average diffusivity in a certain voxel, AD is the magnitude of diffusion in the primary direction, and RD is the average of the diffusivity in the 2 nonprimary diffusion directions. FA is correlated positively with general white matter integrity. MD is negatively correlated with white matter integrity as more diffusion in all directions would mean less white matter tracts to restrict diffusion. An increase in RD may indicate demyelination as the nonprimary diffusion directions are perpendicular to the white matter tracts, and any increased diffusion in these directions is a marker of decreased restriction of diffusion in these directions. AD has been previously correlated with axon density as it measures the diffusion along the white matter </w:t>
      </w:r>
      <w:r w:rsidRPr="00981A4F">
        <w:rPr>
          <w:sz w:val="24"/>
          <w:szCs w:val="24"/>
        </w:rPr>
        <w:lastRenderedPageBreak/>
        <w:t>tracts; a decrease indicates a loss of white matter organization to channel diffusion in the direction of the white matter tract [</w:t>
      </w:r>
      <w:r w:rsidRPr="006D2283">
        <w:rPr>
          <w:sz w:val="24"/>
          <w:szCs w:val="24"/>
        </w:rPr>
        <w:t>25</w:t>
      </w:r>
      <w:r w:rsidRPr="00981A4F">
        <w:rPr>
          <w:sz w:val="24"/>
          <w:szCs w:val="24"/>
        </w:rPr>
        <w:t>-</w:t>
      </w:r>
      <w:r w:rsidRPr="006D2283">
        <w:rPr>
          <w:sz w:val="24"/>
          <w:szCs w:val="24"/>
        </w:rPr>
        <w:t>28</w:t>
      </w:r>
      <w:r w:rsidRPr="00981A4F">
        <w:rPr>
          <w:sz w:val="24"/>
          <w:szCs w:val="24"/>
        </w:rPr>
        <w:t>].</w:t>
      </w:r>
    </w:p>
    <w:p w14:paraId="7953F012" w14:textId="77777777" w:rsidR="00981A4F" w:rsidRPr="00981A4F" w:rsidRDefault="00981A4F" w:rsidP="00D7532A">
      <w:pPr>
        <w:pStyle w:val="Heading2"/>
      </w:pPr>
      <w:bookmarkStart w:id="8" w:name="ID0E6D"/>
      <w:bookmarkEnd w:id="8"/>
      <w:r w:rsidRPr="00981A4F">
        <w:t>Identifying Tract Regions of Interest</w:t>
      </w:r>
    </w:p>
    <w:p w14:paraId="242DD4E2" w14:textId="0D036A7A" w:rsidR="00981A4F" w:rsidRPr="00981A4F" w:rsidRDefault="00981A4F" w:rsidP="00981A4F">
      <w:pPr>
        <w:rPr>
          <w:sz w:val="24"/>
          <w:szCs w:val="24"/>
        </w:rPr>
      </w:pPr>
      <w:r w:rsidRPr="00981A4F">
        <w:rPr>
          <w:sz w:val="24"/>
          <w:szCs w:val="24"/>
        </w:rPr>
        <w:t>White matter tract regions of interest (</w:t>
      </w:r>
      <w:proofErr w:type="spellStart"/>
      <w:r w:rsidRPr="00981A4F">
        <w:rPr>
          <w:sz w:val="24"/>
          <w:szCs w:val="24"/>
        </w:rPr>
        <w:t>tROIs</w:t>
      </w:r>
      <w:proofErr w:type="spellEnd"/>
      <w:r w:rsidRPr="00981A4F">
        <w:rPr>
          <w:sz w:val="24"/>
          <w:szCs w:val="24"/>
        </w:rPr>
        <w:t xml:space="preserve">) were delineated for calculating diffusion parameters for specific tracts. FSL’s probabilistic tractography function </w:t>
      </w:r>
      <w:proofErr w:type="spellStart"/>
      <w:r w:rsidRPr="00981A4F">
        <w:rPr>
          <w:sz w:val="24"/>
          <w:szCs w:val="24"/>
        </w:rPr>
        <w:t>probtrackx</w:t>
      </w:r>
      <w:proofErr w:type="spellEnd"/>
      <w:r w:rsidRPr="00981A4F">
        <w:rPr>
          <w:sz w:val="24"/>
          <w:szCs w:val="24"/>
        </w:rPr>
        <w:t xml:space="preserve"> was used to generate white matter tracts [</w:t>
      </w:r>
      <w:r w:rsidRPr="006D2283">
        <w:rPr>
          <w:sz w:val="24"/>
          <w:szCs w:val="24"/>
        </w:rPr>
        <w:t>29</w:t>
      </w:r>
      <w:r w:rsidRPr="00981A4F">
        <w:rPr>
          <w:sz w:val="24"/>
          <w:szCs w:val="24"/>
        </w:rPr>
        <w:t>]. Seed, termination, and exclusion masks for 27 white matter tracts were used [</w:t>
      </w:r>
      <w:r w:rsidRPr="006D2283">
        <w:rPr>
          <w:sz w:val="24"/>
          <w:szCs w:val="24"/>
        </w:rPr>
        <w:t>30</w:t>
      </w:r>
      <w:r w:rsidRPr="00981A4F">
        <w:rPr>
          <w:sz w:val="24"/>
          <w:szCs w:val="24"/>
        </w:rPr>
        <w:t xml:space="preserve">]. For each tract, 5,000 streamlines were run per voxel seeded and the resulting tract density images were </w:t>
      </w:r>
      <w:proofErr w:type="spellStart"/>
      <w:r w:rsidRPr="00981A4F">
        <w:rPr>
          <w:sz w:val="24"/>
          <w:szCs w:val="24"/>
        </w:rPr>
        <w:t>thresholded</w:t>
      </w:r>
      <w:proofErr w:type="spellEnd"/>
      <w:r w:rsidRPr="00981A4F">
        <w:rPr>
          <w:sz w:val="24"/>
          <w:szCs w:val="24"/>
        </w:rPr>
        <w:t xml:space="preserve"> at 0.2 to remove noisy tracts from the ROIs. The ROIs were then warped to anatomical space where non-white matter regions identified by using the FSL’s fast segmentation algorithm of the anatomical data were removed from the </w:t>
      </w:r>
      <w:proofErr w:type="spellStart"/>
      <w:r w:rsidRPr="00981A4F">
        <w:rPr>
          <w:sz w:val="24"/>
          <w:szCs w:val="24"/>
        </w:rPr>
        <w:t>tROIs</w:t>
      </w:r>
      <w:proofErr w:type="spellEnd"/>
      <w:r w:rsidRPr="00981A4F">
        <w:rPr>
          <w:sz w:val="24"/>
          <w:szCs w:val="24"/>
        </w:rPr>
        <w:t xml:space="preserve"> for each participant, resulting in 27 </w:t>
      </w:r>
      <w:proofErr w:type="spellStart"/>
      <w:r w:rsidRPr="00981A4F">
        <w:rPr>
          <w:sz w:val="24"/>
          <w:szCs w:val="24"/>
        </w:rPr>
        <w:t>tROIs</w:t>
      </w:r>
      <w:proofErr w:type="spellEnd"/>
      <w:r w:rsidRPr="00981A4F">
        <w:rPr>
          <w:sz w:val="24"/>
          <w:szCs w:val="24"/>
        </w:rPr>
        <w:t xml:space="preserve"> encompassing only white matter. Each measure of white matter microstructural integrity (FA, AD, RD, and MD) was then averaged within each </w:t>
      </w:r>
      <w:proofErr w:type="spellStart"/>
      <w:r w:rsidRPr="00981A4F">
        <w:rPr>
          <w:sz w:val="24"/>
          <w:szCs w:val="24"/>
        </w:rPr>
        <w:t>tROI</w:t>
      </w:r>
      <w:proofErr w:type="spellEnd"/>
      <w:r w:rsidRPr="00981A4F">
        <w:rPr>
          <w:sz w:val="24"/>
          <w:szCs w:val="24"/>
        </w:rPr>
        <w:t xml:space="preserve"> and used for statistical analyses.</w:t>
      </w:r>
    </w:p>
    <w:p w14:paraId="0D4C9CC6" w14:textId="77777777" w:rsidR="00981A4F" w:rsidRPr="00981A4F" w:rsidRDefault="00981A4F" w:rsidP="00D7532A">
      <w:pPr>
        <w:pStyle w:val="Heading1"/>
      </w:pPr>
      <w:bookmarkStart w:id="9" w:name="ID0ELE"/>
      <w:bookmarkEnd w:id="9"/>
      <w:r w:rsidRPr="00981A4F">
        <w:t>Analysis</w:t>
      </w:r>
    </w:p>
    <w:p w14:paraId="4F271406" w14:textId="77777777" w:rsidR="00981A4F" w:rsidRPr="00981A4F" w:rsidRDefault="00981A4F" w:rsidP="00D7532A">
      <w:pPr>
        <w:pStyle w:val="Heading2"/>
      </w:pPr>
      <w:bookmarkStart w:id="10" w:name="ID0ENE"/>
      <w:bookmarkEnd w:id="10"/>
      <w:r w:rsidRPr="00981A4F">
        <w:t>Cognitive Performance Analysis</w:t>
      </w:r>
    </w:p>
    <w:p w14:paraId="2937F795" w14:textId="77777777" w:rsidR="00981A4F" w:rsidRPr="00981A4F" w:rsidRDefault="00981A4F" w:rsidP="00981A4F">
      <w:pPr>
        <w:rPr>
          <w:sz w:val="24"/>
          <w:szCs w:val="24"/>
        </w:rPr>
      </w:pPr>
      <w:r w:rsidRPr="00981A4F">
        <w:rPr>
          <w:sz w:val="24"/>
          <w:szCs w:val="24"/>
        </w:rPr>
        <w:t>Tests were scored automatically in the NIH Toolbox app. The HD cohort scores were compared to age-corrected standard population means of 100 with an SD of 15 using one-sided </w:t>
      </w:r>
      <w:r w:rsidRPr="00981A4F">
        <w:rPr>
          <w:i/>
          <w:iCs/>
          <w:sz w:val="24"/>
          <w:szCs w:val="24"/>
        </w:rPr>
        <w:t>t</w:t>
      </w:r>
      <w:r w:rsidRPr="00981A4F">
        <w:rPr>
          <w:sz w:val="24"/>
          <w:szCs w:val="24"/>
        </w:rPr>
        <w:t> tests with a CI of 95%.</w:t>
      </w:r>
    </w:p>
    <w:p w14:paraId="6321DAF4" w14:textId="77777777" w:rsidR="00981A4F" w:rsidRPr="00981A4F" w:rsidRDefault="00981A4F" w:rsidP="00D7532A">
      <w:pPr>
        <w:pStyle w:val="Heading2"/>
      </w:pPr>
      <w:bookmarkStart w:id="11" w:name="ID0ETE"/>
      <w:bookmarkEnd w:id="11"/>
      <w:r w:rsidRPr="00981A4F">
        <w:t>Anatomical Statistical Analysis</w:t>
      </w:r>
    </w:p>
    <w:p w14:paraId="24D9BBF4" w14:textId="54E3F8C4" w:rsidR="00981A4F" w:rsidRPr="00981A4F" w:rsidRDefault="00981A4F" w:rsidP="00981A4F">
      <w:pPr>
        <w:rPr>
          <w:sz w:val="24"/>
          <w:szCs w:val="24"/>
        </w:rPr>
      </w:pPr>
      <w:r w:rsidRPr="00981A4F">
        <w:rPr>
          <w:sz w:val="24"/>
          <w:szCs w:val="24"/>
        </w:rPr>
        <w:t>Total gray matter, white matter, and cerebrospinal fluid were compared between the HD and control groups, controlling for total intracranial volume and age effects, using FSL’s PALM software in MATLAB. This comparison was repeated for each gray matter ROI identified using the Harvard-Oxford and Probabilistic Cerebellar Fusion Atlas [</w:t>
      </w:r>
      <w:r w:rsidRPr="006D2283">
        <w:rPr>
          <w:sz w:val="24"/>
          <w:szCs w:val="24"/>
        </w:rPr>
        <w:t>21</w:t>
      </w:r>
      <w:r w:rsidRPr="00981A4F">
        <w:rPr>
          <w:sz w:val="24"/>
          <w:szCs w:val="24"/>
        </w:rPr>
        <w:t>, </w:t>
      </w:r>
      <w:r w:rsidRPr="006D2283">
        <w:rPr>
          <w:sz w:val="24"/>
          <w:szCs w:val="24"/>
        </w:rPr>
        <w:t>22</w:t>
      </w:r>
      <w:r w:rsidRPr="00981A4F">
        <w:rPr>
          <w:sz w:val="24"/>
          <w:szCs w:val="24"/>
        </w:rPr>
        <w:t>, </w:t>
      </w:r>
      <w:r w:rsidRPr="006D2283">
        <w:rPr>
          <w:sz w:val="24"/>
          <w:szCs w:val="24"/>
        </w:rPr>
        <w:t>31</w:t>
      </w:r>
      <w:r w:rsidRPr="00981A4F">
        <w:rPr>
          <w:sz w:val="24"/>
          <w:szCs w:val="24"/>
        </w:rPr>
        <w:t>-</w:t>
      </w:r>
      <w:r w:rsidRPr="006D2283">
        <w:rPr>
          <w:sz w:val="24"/>
          <w:szCs w:val="24"/>
        </w:rPr>
        <w:t>33</w:t>
      </w:r>
      <w:r w:rsidRPr="00981A4F">
        <w:rPr>
          <w:sz w:val="24"/>
          <w:szCs w:val="24"/>
        </w:rPr>
        <w:t>] to identify cortical regions in which the volume was significantly smaller in the HD cohort compared to controls. False discovery rate was used to correct for multiple comparisons.</w:t>
      </w:r>
    </w:p>
    <w:p w14:paraId="500C360A" w14:textId="77777777" w:rsidR="00981A4F" w:rsidRPr="00981A4F" w:rsidRDefault="00981A4F" w:rsidP="00D7532A">
      <w:pPr>
        <w:pStyle w:val="Heading2"/>
      </w:pPr>
      <w:bookmarkStart w:id="12" w:name="ID0EHF"/>
      <w:bookmarkEnd w:id="12"/>
      <w:r w:rsidRPr="00981A4F">
        <w:t>Diffusion Statistical Analysis</w:t>
      </w:r>
    </w:p>
    <w:p w14:paraId="7F81F286" w14:textId="77777777" w:rsidR="00981A4F" w:rsidRPr="00981A4F" w:rsidRDefault="00981A4F" w:rsidP="00981A4F">
      <w:pPr>
        <w:rPr>
          <w:sz w:val="24"/>
          <w:szCs w:val="24"/>
        </w:rPr>
      </w:pPr>
      <w:r w:rsidRPr="00981A4F">
        <w:rPr>
          <w:sz w:val="24"/>
          <w:szCs w:val="24"/>
        </w:rPr>
        <w:t xml:space="preserve">Whole brain white matter DTI measures were compared between the 2 groups using an ANCOVA with age as a confounding variable. In addition, an ANCOVA analysis was conducted for each </w:t>
      </w:r>
      <w:proofErr w:type="spellStart"/>
      <w:r w:rsidRPr="00981A4F">
        <w:rPr>
          <w:sz w:val="24"/>
          <w:szCs w:val="24"/>
        </w:rPr>
        <w:t>tROI</w:t>
      </w:r>
      <w:proofErr w:type="spellEnd"/>
      <w:r w:rsidRPr="00981A4F">
        <w:rPr>
          <w:sz w:val="24"/>
          <w:szCs w:val="24"/>
        </w:rPr>
        <w:t xml:space="preserve"> identified with tractography using false discovery rate to correct for multiple comparisons (corrected </w:t>
      </w:r>
      <w:r w:rsidRPr="00981A4F">
        <w:rPr>
          <w:i/>
          <w:iCs/>
          <w:sz w:val="24"/>
          <w:szCs w:val="24"/>
        </w:rPr>
        <w:t>p</w:t>
      </w:r>
      <w:r w:rsidRPr="00981A4F">
        <w:rPr>
          <w:sz w:val="24"/>
          <w:szCs w:val="24"/>
        </w:rPr>
        <w:t xml:space="preserve"> &lt; 0.05). Whole brain white matter and </w:t>
      </w:r>
      <w:proofErr w:type="spellStart"/>
      <w:r w:rsidRPr="00981A4F">
        <w:rPr>
          <w:sz w:val="24"/>
          <w:szCs w:val="24"/>
        </w:rPr>
        <w:t>tROI</w:t>
      </w:r>
      <w:proofErr w:type="spellEnd"/>
      <w:r w:rsidRPr="00981A4F">
        <w:rPr>
          <w:sz w:val="24"/>
          <w:szCs w:val="24"/>
        </w:rPr>
        <w:t xml:space="preserve"> results were then used in multiple linear regression models with age and white matter microstructural integrity as 2 predictors and cognitive scores as the response variable; models were made for each tract and cognitive task. Although we evaluated 27 white matter tracts and 10 cognitive scores, we did not perform multiple comparisons on this specific analysis given the initial small dataset and preliminary nature of this component of the study.</w:t>
      </w:r>
    </w:p>
    <w:p w14:paraId="3741F72A" w14:textId="77777777" w:rsidR="00981A4F" w:rsidRPr="00981A4F" w:rsidRDefault="00981A4F" w:rsidP="00D7532A">
      <w:pPr>
        <w:pStyle w:val="Heading1"/>
      </w:pPr>
      <w:bookmarkStart w:id="13" w:name="ID0ENF"/>
      <w:bookmarkEnd w:id="13"/>
      <w:r w:rsidRPr="00981A4F">
        <w:t>Results</w:t>
      </w:r>
    </w:p>
    <w:p w14:paraId="78B3E317" w14:textId="34392DD9" w:rsidR="00981A4F" w:rsidRPr="00981A4F" w:rsidRDefault="00981A4F" w:rsidP="00981A4F">
      <w:pPr>
        <w:rPr>
          <w:sz w:val="24"/>
          <w:szCs w:val="24"/>
        </w:rPr>
      </w:pPr>
      <w:r w:rsidRPr="00981A4F">
        <w:rPr>
          <w:sz w:val="24"/>
          <w:szCs w:val="24"/>
        </w:rPr>
        <w:t xml:space="preserve">We had 190 HD patients met age and &lt;2 years on HD criteria, but of those, 123 were excluded due to exclusion criteria or too sick to complete study procedures. Out of the remaining 67 eligible participants, 32 consented to participate. Subsequently 3 changed their mind due to having to go off-site for MRI, 5 were unable to get MRI due to MRI screening failure or claustrophobia, and 1 image was not used due to large strokes that led to DTI parameters and volumes that were statistically noted as </w:t>
      </w:r>
      <w:r w:rsidRPr="00981A4F">
        <w:rPr>
          <w:sz w:val="24"/>
          <w:szCs w:val="24"/>
        </w:rPr>
        <w:lastRenderedPageBreak/>
        <w:t>outliers. We included 23 HD participants and 15 healthy controls in the analysis. The mean age of the HD cohort was 66.3 versus 62.3 in healthy controls, </w:t>
      </w:r>
      <w:r w:rsidRPr="00981A4F">
        <w:rPr>
          <w:i/>
          <w:iCs/>
          <w:sz w:val="24"/>
          <w:szCs w:val="24"/>
        </w:rPr>
        <w:t>p</w:t>
      </w:r>
      <w:r w:rsidRPr="00981A4F">
        <w:rPr>
          <w:sz w:val="24"/>
          <w:szCs w:val="24"/>
        </w:rPr>
        <w:t> = 0.11 (see Table </w:t>
      </w:r>
      <w:r w:rsidRPr="006D2283">
        <w:rPr>
          <w:sz w:val="24"/>
          <w:szCs w:val="24"/>
        </w:rPr>
        <w:t>1</w:t>
      </w:r>
      <w:r w:rsidRPr="00981A4F">
        <w:rPr>
          <w:sz w:val="24"/>
          <w:szCs w:val="24"/>
        </w:rPr>
        <w:t>). Demographics including age, race, and gender as well as HD duration and medical comorbidities are noted in Table </w:t>
      </w:r>
      <w:r w:rsidRPr="006D2283">
        <w:rPr>
          <w:sz w:val="24"/>
          <w:szCs w:val="24"/>
        </w:rPr>
        <w:t>1</w:t>
      </w:r>
      <w:r w:rsidRPr="00981A4F">
        <w:rPr>
          <w:sz w:val="24"/>
          <w:szCs w:val="24"/>
        </w:rPr>
        <w:t>.</w:t>
      </w:r>
    </w:p>
    <w:p w14:paraId="52298147" w14:textId="164C8C24" w:rsidR="00981A4F" w:rsidRDefault="00981A4F" w:rsidP="00D7532A">
      <w:pPr>
        <w:spacing w:after="0"/>
        <w:rPr>
          <w:sz w:val="24"/>
          <w:szCs w:val="24"/>
        </w:rPr>
      </w:pPr>
      <w:bookmarkStart w:id="14" w:name="t01"/>
      <w:bookmarkEnd w:id="14"/>
      <w:r w:rsidRPr="00981A4F">
        <w:rPr>
          <w:b/>
          <w:bCs/>
          <w:sz w:val="24"/>
          <w:szCs w:val="24"/>
        </w:rPr>
        <w:t>Table 1.</w:t>
      </w:r>
      <w:r w:rsidR="00D7532A">
        <w:rPr>
          <w:b/>
          <w:bCs/>
          <w:sz w:val="24"/>
          <w:szCs w:val="24"/>
        </w:rPr>
        <w:t xml:space="preserve"> </w:t>
      </w:r>
      <w:r w:rsidRPr="00981A4F">
        <w:rPr>
          <w:sz w:val="24"/>
          <w:szCs w:val="24"/>
        </w:rPr>
        <w:t>Age and gender differences between HD participants and healthy controls and HD comorbidities</w:t>
      </w:r>
    </w:p>
    <w:p w14:paraId="49E20687" w14:textId="77777777" w:rsidR="001B7E69" w:rsidRPr="001B7E69" w:rsidRDefault="001B7E69" w:rsidP="001B7E69">
      <w:pPr>
        <w:kinsoku w:val="0"/>
        <w:overflowPunct w:val="0"/>
        <w:autoSpaceDE w:val="0"/>
        <w:autoSpaceDN w:val="0"/>
        <w:adjustRightInd w:val="0"/>
        <w:spacing w:before="10" w:after="0" w:line="240" w:lineRule="auto"/>
        <w:rPr>
          <w:rFonts w:ascii="Times New Roman" w:hAnsi="Times New Roman" w:cs="Times New Roman"/>
          <w:sz w:val="5"/>
          <w:szCs w:val="5"/>
        </w:rPr>
      </w:pPr>
    </w:p>
    <w:tbl>
      <w:tblPr>
        <w:tblStyle w:val="TableGrid"/>
        <w:tblW w:w="0" w:type="auto"/>
        <w:tblLook w:val="0020" w:firstRow="1" w:lastRow="0" w:firstColumn="0" w:lastColumn="0" w:noHBand="0" w:noVBand="0"/>
      </w:tblPr>
      <w:tblGrid>
        <w:gridCol w:w="3417"/>
        <w:gridCol w:w="2493"/>
        <w:gridCol w:w="2556"/>
        <w:gridCol w:w="860"/>
      </w:tblGrid>
      <w:tr w:rsidR="001B7E69" w:rsidRPr="001B7E69" w14:paraId="62ED5F26" w14:textId="77777777" w:rsidTr="00002399">
        <w:trPr>
          <w:trHeight w:val="226"/>
        </w:trPr>
        <w:tc>
          <w:tcPr>
            <w:tcW w:w="0" w:type="auto"/>
          </w:tcPr>
          <w:p w14:paraId="10F3BA80" w14:textId="77777777" w:rsidR="001B7E69" w:rsidRPr="001B7E69" w:rsidRDefault="001B7E69" w:rsidP="001B7E69">
            <w:pPr>
              <w:pStyle w:val="NoSpacing"/>
            </w:pPr>
          </w:p>
        </w:tc>
        <w:tc>
          <w:tcPr>
            <w:tcW w:w="0" w:type="auto"/>
          </w:tcPr>
          <w:p w14:paraId="714673E6" w14:textId="17D68A8D" w:rsidR="001B7E69" w:rsidRPr="001B7E69" w:rsidRDefault="001B7E69" w:rsidP="001B7E69">
            <w:pPr>
              <w:pStyle w:val="NoSpacing"/>
            </w:pPr>
            <w:r>
              <w:t>Group</w:t>
            </w:r>
          </w:p>
        </w:tc>
        <w:tc>
          <w:tcPr>
            <w:tcW w:w="0" w:type="auto"/>
          </w:tcPr>
          <w:p w14:paraId="36D92F9F" w14:textId="77777777" w:rsidR="001B7E69" w:rsidRPr="001B7E69" w:rsidRDefault="001B7E69" w:rsidP="001B7E69">
            <w:pPr>
              <w:pStyle w:val="NoSpacing"/>
            </w:pPr>
          </w:p>
        </w:tc>
        <w:tc>
          <w:tcPr>
            <w:tcW w:w="0" w:type="auto"/>
          </w:tcPr>
          <w:p w14:paraId="4504C459" w14:textId="77777777" w:rsidR="001B7E69" w:rsidRPr="001B7E69" w:rsidRDefault="001B7E69" w:rsidP="001B7E69">
            <w:pPr>
              <w:pStyle w:val="NoSpacing"/>
            </w:pPr>
          </w:p>
        </w:tc>
      </w:tr>
      <w:tr w:rsidR="001B7E69" w:rsidRPr="001B7E69" w14:paraId="09D36264" w14:textId="77777777" w:rsidTr="00002399">
        <w:trPr>
          <w:trHeight w:val="226"/>
        </w:trPr>
        <w:tc>
          <w:tcPr>
            <w:tcW w:w="0" w:type="auto"/>
          </w:tcPr>
          <w:p w14:paraId="61ADA9C2" w14:textId="77777777" w:rsidR="001B7E69" w:rsidRPr="001B7E69" w:rsidRDefault="001B7E69" w:rsidP="001B7E69">
            <w:pPr>
              <w:pStyle w:val="NoSpacing"/>
            </w:pPr>
          </w:p>
        </w:tc>
        <w:tc>
          <w:tcPr>
            <w:tcW w:w="0" w:type="auto"/>
          </w:tcPr>
          <w:p w14:paraId="5E5671E8" w14:textId="6BDEE041" w:rsidR="001B7E69" w:rsidRPr="001B7E69" w:rsidRDefault="001B7E69" w:rsidP="001B7E69">
            <w:pPr>
              <w:pStyle w:val="NoSpacing"/>
            </w:pPr>
            <w:r>
              <w:t xml:space="preserve">HD participants </w:t>
            </w:r>
            <m:oMath>
              <m:r>
                <w:rPr>
                  <w:rFonts w:ascii="Cambria Math" w:hAnsi="Cambria Math"/>
                </w:rPr>
                <m:t>(n=23)</m:t>
              </m:r>
            </m:oMath>
          </w:p>
        </w:tc>
        <w:tc>
          <w:tcPr>
            <w:tcW w:w="0" w:type="auto"/>
          </w:tcPr>
          <w:p w14:paraId="355CC9D8" w14:textId="1433D9E9" w:rsidR="001B7E69" w:rsidRPr="001B7E69" w:rsidRDefault="001A107E" w:rsidP="001B7E69">
            <w:pPr>
              <w:pStyle w:val="NoSpacing"/>
            </w:pPr>
            <w:r>
              <w:t xml:space="preserve">healthy controls </w:t>
            </w:r>
            <m:oMath>
              <m:r>
                <w:rPr>
                  <w:rFonts w:ascii="Cambria Math" w:hAnsi="Cambria Math"/>
                </w:rPr>
                <m:t>(n=15)</m:t>
              </m:r>
            </m:oMath>
          </w:p>
        </w:tc>
        <w:tc>
          <w:tcPr>
            <w:tcW w:w="0" w:type="auto"/>
          </w:tcPr>
          <w:p w14:paraId="43B820E9" w14:textId="1E468E46" w:rsidR="001B7E69" w:rsidRPr="001B7E69" w:rsidRDefault="001A107E" w:rsidP="001B7E69">
            <w:pPr>
              <w:pStyle w:val="NoSpacing"/>
            </w:pPr>
            <w:r w:rsidRPr="001A107E">
              <w:rPr>
                <w:i/>
                <w:iCs/>
              </w:rPr>
              <w:t>p</w:t>
            </w:r>
            <w:r>
              <w:t xml:space="preserve"> value</w:t>
            </w:r>
          </w:p>
        </w:tc>
      </w:tr>
      <w:tr w:rsidR="001A107E" w:rsidRPr="001B7E69" w14:paraId="4EA675FD" w14:textId="77777777" w:rsidTr="00002399">
        <w:trPr>
          <w:trHeight w:val="226"/>
        </w:trPr>
        <w:tc>
          <w:tcPr>
            <w:tcW w:w="0" w:type="auto"/>
          </w:tcPr>
          <w:p w14:paraId="7F2148B9" w14:textId="77777777" w:rsidR="001B7E69" w:rsidRPr="001B7E69" w:rsidRDefault="001B7E69" w:rsidP="001B7E69">
            <w:pPr>
              <w:pStyle w:val="NoSpacing"/>
            </w:pPr>
            <w:bookmarkStart w:id="15" w:name="startTableBody"/>
            <w:bookmarkEnd w:id="15"/>
            <w:r w:rsidRPr="001B7E69">
              <w:t>Age (SD)</w:t>
            </w:r>
          </w:p>
        </w:tc>
        <w:tc>
          <w:tcPr>
            <w:tcW w:w="0" w:type="auto"/>
          </w:tcPr>
          <w:p w14:paraId="3AEFDFB0" w14:textId="77777777" w:rsidR="001B7E69" w:rsidRPr="001B7E69" w:rsidRDefault="001B7E69" w:rsidP="001B7E69">
            <w:pPr>
              <w:pStyle w:val="NoSpacing"/>
            </w:pPr>
            <w:r w:rsidRPr="001B7E69">
              <w:t>66.3</w:t>
            </w:r>
          </w:p>
        </w:tc>
        <w:tc>
          <w:tcPr>
            <w:tcW w:w="0" w:type="auto"/>
          </w:tcPr>
          <w:p w14:paraId="1F652DCB" w14:textId="77777777" w:rsidR="001B7E69" w:rsidRPr="001B7E69" w:rsidRDefault="001B7E69" w:rsidP="001B7E69">
            <w:pPr>
              <w:pStyle w:val="NoSpacing"/>
            </w:pPr>
            <w:r w:rsidRPr="001B7E69">
              <w:t>62.3</w:t>
            </w:r>
          </w:p>
        </w:tc>
        <w:tc>
          <w:tcPr>
            <w:tcW w:w="0" w:type="auto"/>
          </w:tcPr>
          <w:p w14:paraId="079A89D5" w14:textId="77777777" w:rsidR="001B7E69" w:rsidRPr="001B7E69" w:rsidRDefault="001B7E69" w:rsidP="001B7E69">
            <w:pPr>
              <w:pStyle w:val="NoSpacing"/>
            </w:pPr>
            <w:r w:rsidRPr="001B7E69">
              <w:t>0.11</w:t>
            </w:r>
          </w:p>
        </w:tc>
      </w:tr>
      <w:tr w:rsidR="001A107E" w:rsidRPr="001B7E69" w14:paraId="494639DA" w14:textId="77777777" w:rsidTr="00002399">
        <w:trPr>
          <w:trHeight w:val="211"/>
        </w:trPr>
        <w:tc>
          <w:tcPr>
            <w:tcW w:w="0" w:type="auto"/>
          </w:tcPr>
          <w:p w14:paraId="63093AEF" w14:textId="77777777" w:rsidR="001B7E69" w:rsidRPr="001B7E69" w:rsidRDefault="001B7E69" w:rsidP="001B7E69">
            <w:pPr>
              <w:pStyle w:val="NoSpacing"/>
            </w:pPr>
            <w:r w:rsidRPr="001B7E69">
              <w:t>Male, %</w:t>
            </w:r>
          </w:p>
        </w:tc>
        <w:tc>
          <w:tcPr>
            <w:tcW w:w="0" w:type="auto"/>
          </w:tcPr>
          <w:p w14:paraId="7426BC5C" w14:textId="77777777" w:rsidR="001B7E69" w:rsidRPr="001B7E69" w:rsidRDefault="001B7E69" w:rsidP="001B7E69">
            <w:pPr>
              <w:pStyle w:val="NoSpacing"/>
            </w:pPr>
            <w:r w:rsidRPr="001B7E69">
              <w:t>65.2</w:t>
            </w:r>
          </w:p>
        </w:tc>
        <w:tc>
          <w:tcPr>
            <w:tcW w:w="0" w:type="auto"/>
          </w:tcPr>
          <w:p w14:paraId="0D1517F3" w14:textId="77777777" w:rsidR="001B7E69" w:rsidRPr="001B7E69" w:rsidRDefault="001B7E69" w:rsidP="001B7E69">
            <w:pPr>
              <w:pStyle w:val="NoSpacing"/>
            </w:pPr>
            <w:r w:rsidRPr="001B7E69">
              <w:t>53.3</w:t>
            </w:r>
          </w:p>
        </w:tc>
        <w:tc>
          <w:tcPr>
            <w:tcW w:w="0" w:type="auto"/>
          </w:tcPr>
          <w:p w14:paraId="7D4488EF" w14:textId="77777777" w:rsidR="001B7E69" w:rsidRPr="001B7E69" w:rsidRDefault="001B7E69" w:rsidP="001B7E69">
            <w:pPr>
              <w:pStyle w:val="NoSpacing"/>
            </w:pPr>
            <w:r w:rsidRPr="001B7E69">
              <w:t>0.13</w:t>
            </w:r>
          </w:p>
        </w:tc>
      </w:tr>
      <w:tr w:rsidR="001A107E" w:rsidRPr="001B7E69" w14:paraId="78A87331" w14:textId="77777777" w:rsidTr="00002399">
        <w:trPr>
          <w:trHeight w:val="226"/>
        </w:trPr>
        <w:tc>
          <w:tcPr>
            <w:tcW w:w="0" w:type="auto"/>
          </w:tcPr>
          <w:p w14:paraId="262631F2" w14:textId="77777777" w:rsidR="001B7E69" w:rsidRPr="001B7E69" w:rsidRDefault="001B7E69" w:rsidP="001B7E69">
            <w:pPr>
              <w:pStyle w:val="NoSpacing"/>
              <w:rPr>
                <w:w w:val="105"/>
              </w:rPr>
            </w:pPr>
            <w:r w:rsidRPr="001B7E69">
              <w:rPr>
                <w:w w:val="105"/>
              </w:rPr>
              <w:t>Hemodialysis duration, months</w:t>
            </w:r>
          </w:p>
        </w:tc>
        <w:tc>
          <w:tcPr>
            <w:tcW w:w="0" w:type="auto"/>
          </w:tcPr>
          <w:p w14:paraId="2256CAE9" w14:textId="77777777" w:rsidR="001B7E69" w:rsidRPr="001B7E69" w:rsidRDefault="001B7E69" w:rsidP="001B7E69">
            <w:pPr>
              <w:pStyle w:val="NoSpacing"/>
            </w:pPr>
            <w:r w:rsidRPr="001B7E69">
              <w:t>7.8±6.7</w:t>
            </w:r>
          </w:p>
        </w:tc>
        <w:tc>
          <w:tcPr>
            <w:tcW w:w="0" w:type="auto"/>
          </w:tcPr>
          <w:p w14:paraId="76B316BF" w14:textId="77777777" w:rsidR="001B7E69" w:rsidRPr="001B7E69" w:rsidRDefault="001B7E69" w:rsidP="001B7E69">
            <w:pPr>
              <w:pStyle w:val="NoSpacing"/>
            </w:pPr>
            <w:r w:rsidRPr="001B7E69">
              <w:t>N/A</w:t>
            </w:r>
          </w:p>
        </w:tc>
        <w:tc>
          <w:tcPr>
            <w:tcW w:w="0" w:type="auto"/>
          </w:tcPr>
          <w:p w14:paraId="4F7C8FE0" w14:textId="77777777" w:rsidR="001B7E69" w:rsidRPr="001B7E69" w:rsidRDefault="001B7E69" w:rsidP="001B7E69">
            <w:pPr>
              <w:pStyle w:val="NoSpacing"/>
              <w:rPr>
                <w:w w:val="104"/>
              </w:rPr>
            </w:pPr>
            <w:r w:rsidRPr="001B7E69">
              <w:rPr>
                <w:w w:val="104"/>
              </w:rPr>
              <w:t>–</w:t>
            </w:r>
          </w:p>
        </w:tc>
      </w:tr>
      <w:tr w:rsidR="001A107E" w:rsidRPr="001B7E69" w14:paraId="5B85CA05" w14:textId="77777777" w:rsidTr="00002399">
        <w:trPr>
          <w:trHeight w:val="179"/>
        </w:trPr>
        <w:tc>
          <w:tcPr>
            <w:tcW w:w="0" w:type="auto"/>
          </w:tcPr>
          <w:p w14:paraId="71581170" w14:textId="77777777" w:rsidR="001B7E69" w:rsidRPr="001B7E69" w:rsidRDefault="001B7E69" w:rsidP="001B7E69">
            <w:pPr>
              <w:pStyle w:val="NoSpacing"/>
            </w:pPr>
            <w:r w:rsidRPr="001B7E69">
              <w:t xml:space="preserve">Comorbidities, </w:t>
            </w:r>
            <w:r w:rsidRPr="001B7E69">
              <w:rPr>
                <w:rFonts w:ascii="Book Antiqua" w:hAnsi="Book Antiqua" w:cs="Book Antiqua"/>
                <w:i/>
                <w:iCs/>
              </w:rPr>
              <w:t xml:space="preserve">n </w:t>
            </w:r>
            <w:r w:rsidRPr="001B7E69">
              <w:t>(%)</w:t>
            </w:r>
          </w:p>
        </w:tc>
        <w:tc>
          <w:tcPr>
            <w:tcW w:w="0" w:type="auto"/>
          </w:tcPr>
          <w:p w14:paraId="5AA1F297" w14:textId="77777777" w:rsidR="001B7E69" w:rsidRPr="001B7E69" w:rsidRDefault="001B7E69" w:rsidP="001B7E69">
            <w:pPr>
              <w:pStyle w:val="NoSpacing"/>
              <w:rPr>
                <w:sz w:val="12"/>
                <w:szCs w:val="12"/>
              </w:rPr>
            </w:pPr>
          </w:p>
        </w:tc>
        <w:tc>
          <w:tcPr>
            <w:tcW w:w="0" w:type="auto"/>
          </w:tcPr>
          <w:p w14:paraId="11E48345" w14:textId="77777777" w:rsidR="001B7E69" w:rsidRPr="001B7E69" w:rsidRDefault="001B7E69" w:rsidP="001B7E69">
            <w:pPr>
              <w:pStyle w:val="NoSpacing"/>
              <w:rPr>
                <w:sz w:val="12"/>
                <w:szCs w:val="12"/>
              </w:rPr>
            </w:pPr>
          </w:p>
        </w:tc>
        <w:tc>
          <w:tcPr>
            <w:tcW w:w="0" w:type="auto"/>
          </w:tcPr>
          <w:p w14:paraId="068C9D93" w14:textId="77777777" w:rsidR="001B7E69" w:rsidRPr="001B7E69" w:rsidRDefault="001B7E69" w:rsidP="001B7E69">
            <w:pPr>
              <w:pStyle w:val="NoSpacing"/>
              <w:rPr>
                <w:sz w:val="12"/>
                <w:szCs w:val="12"/>
              </w:rPr>
            </w:pPr>
          </w:p>
        </w:tc>
      </w:tr>
      <w:tr w:rsidR="001A107E" w:rsidRPr="001B7E69" w14:paraId="48BAF6A2" w14:textId="77777777" w:rsidTr="00002399">
        <w:trPr>
          <w:trHeight w:val="226"/>
        </w:trPr>
        <w:tc>
          <w:tcPr>
            <w:tcW w:w="0" w:type="auto"/>
          </w:tcPr>
          <w:p w14:paraId="36A415CE" w14:textId="77777777" w:rsidR="001B7E69" w:rsidRPr="001B7E69" w:rsidRDefault="001B7E69" w:rsidP="001A107E">
            <w:pPr>
              <w:pStyle w:val="NoSpacing"/>
              <w:ind w:left="334"/>
            </w:pPr>
            <w:r w:rsidRPr="001B7E69">
              <w:t>Hypertension</w:t>
            </w:r>
          </w:p>
        </w:tc>
        <w:tc>
          <w:tcPr>
            <w:tcW w:w="0" w:type="auto"/>
          </w:tcPr>
          <w:p w14:paraId="4FE56091" w14:textId="77777777" w:rsidR="001B7E69" w:rsidRPr="001B7E69" w:rsidRDefault="001B7E69" w:rsidP="001B7E69">
            <w:pPr>
              <w:pStyle w:val="NoSpacing"/>
            </w:pPr>
            <w:r w:rsidRPr="001B7E69">
              <w:t>18 (78.3)</w:t>
            </w:r>
          </w:p>
        </w:tc>
        <w:tc>
          <w:tcPr>
            <w:tcW w:w="0" w:type="auto"/>
          </w:tcPr>
          <w:p w14:paraId="2DB6879F" w14:textId="77777777" w:rsidR="001B7E69" w:rsidRPr="001B7E69" w:rsidRDefault="001B7E69" w:rsidP="001B7E69">
            <w:pPr>
              <w:pStyle w:val="NoSpacing"/>
            </w:pPr>
            <w:r w:rsidRPr="001B7E69">
              <w:t>N/A</w:t>
            </w:r>
          </w:p>
        </w:tc>
        <w:tc>
          <w:tcPr>
            <w:tcW w:w="0" w:type="auto"/>
          </w:tcPr>
          <w:p w14:paraId="4E7DBCA5" w14:textId="77777777" w:rsidR="001B7E69" w:rsidRPr="001B7E69" w:rsidRDefault="001B7E69" w:rsidP="001B7E69">
            <w:pPr>
              <w:pStyle w:val="NoSpacing"/>
              <w:rPr>
                <w:w w:val="104"/>
              </w:rPr>
            </w:pPr>
            <w:r w:rsidRPr="001B7E69">
              <w:rPr>
                <w:w w:val="104"/>
              </w:rPr>
              <w:t>–</w:t>
            </w:r>
          </w:p>
        </w:tc>
      </w:tr>
      <w:tr w:rsidR="001A107E" w:rsidRPr="001B7E69" w14:paraId="1279B7A1" w14:textId="77777777" w:rsidTr="00002399">
        <w:trPr>
          <w:trHeight w:val="211"/>
        </w:trPr>
        <w:tc>
          <w:tcPr>
            <w:tcW w:w="0" w:type="auto"/>
          </w:tcPr>
          <w:p w14:paraId="479485E2" w14:textId="77777777" w:rsidR="001B7E69" w:rsidRPr="001B7E69" w:rsidRDefault="001B7E69" w:rsidP="001A107E">
            <w:pPr>
              <w:pStyle w:val="NoSpacing"/>
              <w:ind w:left="334"/>
            </w:pPr>
            <w:r w:rsidRPr="001B7E69">
              <w:t>Diabetes</w:t>
            </w:r>
          </w:p>
        </w:tc>
        <w:tc>
          <w:tcPr>
            <w:tcW w:w="0" w:type="auto"/>
          </w:tcPr>
          <w:p w14:paraId="27E1118F" w14:textId="77777777" w:rsidR="001B7E69" w:rsidRPr="001B7E69" w:rsidRDefault="001B7E69" w:rsidP="001B7E69">
            <w:pPr>
              <w:pStyle w:val="NoSpacing"/>
            </w:pPr>
            <w:r w:rsidRPr="001B7E69">
              <w:t>15 (65.2)</w:t>
            </w:r>
          </w:p>
        </w:tc>
        <w:tc>
          <w:tcPr>
            <w:tcW w:w="0" w:type="auto"/>
          </w:tcPr>
          <w:p w14:paraId="006B685B" w14:textId="77777777" w:rsidR="001B7E69" w:rsidRPr="001B7E69" w:rsidRDefault="001B7E69" w:rsidP="001B7E69">
            <w:pPr>
              <w:pStyle w:val="NoSpacing"/>
              <w:rPr>
                <w:sz w:val="14"/>
                <w:szCs w:val="14"/>
              </w:rPr>
            </w:pPr>
          </w:p>
        </w:tc>
        <w:tc>
          <w:tcPr>
            <w:tcW w:w="0" w:type="auto"/>
          </w:tcPr>
          <w:p w14:paraId="338F1086" w14:textId="77777777" w:rsidR="001B7E69" w:rsidRPr="001B7E69" w:rsidRDefault="001B7E69" w:rsidP="001B7E69">
            <w:pPr>
              <w:pStyle w:val="NoSpacing"/>
              <w:rPr>
                <w:sz w:val="14"/>
                <w:szCs w:val="14"/>
              </w:rPr>
            </w:pPr>
          </w:p>
        </w:tc>
      </w:tr>
      <w:tr w:rsidR="001A107E" w:rsidRPr="001B7E69" w14:paraId="4F354ED4" w14:textId="77777777" w:rsidTr="00002399">
        <w:trPr>
          <w:trHeight w:val="211"/>
        </w:trPr>
        <w:tc>
          <w:tcPr>
            <w:tcW w:w="0" w:type="auto"/>
          </w:tcPr>
          <w:p w14:paraId="62865D63" w14:textId="77777777" w:rsidR="001B7E69" w:rsidRPr="001B7E69" w:rsidRDefault="001B7E69" w:rsidP="001A107E">
            <w:pPr>
              <w:pStyle w:val="NoSpacing"/>
              <w:ind w:left="334"/>
            </w:pPr>
            <w:r w:rsidRPr="001B7E69">
              <w:t>CAD</w:t>
            </w:r>
          </w:p>
        </w:tc>
        <w:tc>
          <w:tcPr>
            <w:tcW w:w="0" w:type="auto"/>
          </w:tcPr>
          <w:p w14:paraId="57B98282" w14:textId="77777777" w:rsidR="001B7E69" w:rsidRPr="001B7E69" w:rsidRDefault="001B7E69" w:rsidP="001B7E69">
            <w:pPr>
              <w:pStyle w:val="NoSpacing"/>
            </w:pPr>
            <w:r w:rsidRPr="001B7E69">
              <w:t>9 (39.1)</w:t>
            </w:r>
          </w:p>
        </w:tc>
        <w:tc>
          <w:tcPr>
            <w:tcW w:w="0" w:type="auto"/>
          </w:tcPr>
          <w:p w14:paraId="02D087CD" w14:textId="77777777" w:rsidR="001B7E69" w:rsidRPr="001B7E69" w:rsidRDefault="001B7E69" w:rsidP="001B7E69">
            <w:pPr>
              <w:pStyle w:val="NoSpacing"/>
              <w:rPr>
                <w:sz w:val="14"/>
                <w:szCs w:val="14"/>
              </w:rPr>
            </w:pPr>
          </w:p>
        </w:tc>
        <w:tc>
          <w:tcPr>
            <w:tcW w:w="0" w:type="auto"/>
          </w:tcPr>
          <w:p w14:paraId="14F67D65" w14:textId="77777777" w:rsidR="001B7E69" w:rsidRPr="001B7E69" w:rsidRDefault="001B7E69" w:rsidP="001B7E69">
            <w:pPr>
              <w:pStyle w:val="NoSpacing"/>
              <w:rPr>
                <w:sz w:val="14"/>
                <w:szCs w:val="14"/>
              </w:rPr>
            </w:pPr>
          </w:p>
        </w:tc>
      </w:tr>
      <w:tr w:rsidR="001A107E" w:rsidRPr="001B7E69" w14:paraId="34A3E99E" w14:textId="77777777" w:rsidTr="00002399">
        <w:trPr>
          <w:trHeight w:val="211"/>
        </w:trPr>
        <w:tc>
          <w:tcPr>
            <w:tcW w:w="0" w:type="auto"/>
          </w:tcPr>
          <w:p w14:paraId="4B1E0244" w14:textId="77777777" w:rsidR="001B7E69" w:rsidRPr="001B7E69" w:rsidRDefault="001B7E69" w:rsidP="001A107E">
            <w:pPr>
              <w:pStyle w:val="NoSpacing"/>
              <w:ind w:left="334"/>
            </w:pPr>
            <w:r w:rsidRPr="001B7E69">
              <w:t>PVD</w:t>
            </w:r>
          </w:p>
        </w:tc>
        <w:tc>
          <w:tcPr>
            <w:tcW w:w="0" w:type="auto"/>
          </w:tcPr>
          <w:p w14:paraId="5949D014" w14:textId="77777777" w:rsidR="001B7E69" w:rsidRPr="001B7E69" w:rsidRDefault="001B7E69" w:rsidP="001B7E69">
            <w:pPr>
              <w:pStyle w:val="NoSpacing"/>
            </w:pPr>
            <w:r w:rsidRPr="001B7E69">
              <w:t>3 (13.0)</w:t>
            </w:r>
          </w:p>
        </w:tc>
        <w:tc>
          <w:tcPr>
            <w:tcW w:w="0" w:type="auto"/>
          </w:tcPr>
          <w:p w14:paraId="7FC08640" w14:textId="77777777" w:rsidR="001B7E69" w:rsidRPr="001B7E69" w:rsidRDefault="001B7E69" w:rsidP="001B7E69">
            <w:pPr>
              <w:pStyle w:val="NoSpacing"/>
              <w:rPr>
                <w:sz w:val="14"/>
                <w:szCs w:val="14"/>
              </w:rPr>
            </w:pPr>
          </w:p>
        </w:tc>
        <w:tc>
          <w:tcPr>
            <w:tcW w:w="0" w:type="auto"/>
          </w:tcPr>
          <w:p w14:paraId="17EB302D" w14:textId="77777777" w:rsidR="001B7E69" w:rsidRPr="001B7E69" w:rsidRDefault="001B7E69" w:rsidP="001B7E69">
            <w:pPr>
              <w:pStyle w:val="NoSpacing"/>
              <w:rPr>
                <w:sz w:val="14"/>
                <w:szCs w:val="14"/>
              </w:rPr>
            </w:pPr>
          </w:p>
        </w:tc>
      </w:tr>
      <w:tr w:rsidR="001A107E" w:rsidRPr="001B7E69" w14:paraId="6CE0279D" w14:textId="77777777" w:rsidTr="00002399">
        <w:trPr>
          <w:trHeight w:val="226"/>
        </w:trPr>
        <w:tc>
          <w:tcPr>
            <w:tcW w:w="0" w:type="auto"/>
          </w:tcPr>
          <w:p w14:paraId="0F461FE1" w14:textId="77777777" w:rsidR="001B7E69" w:rsidRPr="001B7E69" w:rsidRDefault="001B7E69" w:rsidP="001A107E">
            <w:pPr>
              <w:pStyle w:val="NoSpacing"/>
              <w:ind w:left="334"/>
            </w:pPr>
            <w:r w:rsidRPr="001B7E69">
              <w:t>CHF</w:t>
            </w:r>
          </w:p>
        </w:tc>
        <w:tc>
          <w:tcPr>
            <w:tcW w:w="0" w:type="auto"/>
          </w:tcPr>
          <w:p w14:paraId="1041A72D" w14:textId="77777777" w:rsidR="001B7E69" w:rsidRPr="001B7E69" w:rsidRDefault="001B7E69" w:rsidP="001B7E69">
            <w:pPr>
              <w:pStyle w:val="NoSpacing"/>
            </w:pPr>
            <w:r w:rsidRPr="001B7E69">
              <w:t>9 (39.1)</w:t>
            </w:r>
          </w:p>
        </w:tc>
        <w:tc>
          <w:tcPr>
            <w:tcW w:w="0" w:type="auto"/>
          </w:tcPr>
          <w:p w14:paraId="41B711CF" w14:textId="77777777" w:rsidR="001B7E69" w:rsidRPr="001B7E69" w:rsidRDefault="001B7E69" w:rsidP="001B7E69">
            <w:pPr>
              <w:pStyle w:val="NoSpacing"/>
              <w:rPr>
                <w:sz w:val="16"/>
                <w:szCs w:val="16"/>
              </w:rPr>
            </w:pPr>
          </w:p>
        </w:tc>
        <w:tc>
          <w:tcPr>
            <w:tcW w:w="0" w:type="auto"/>
          </w:tcPr>
          <w:p w14:paraId="27330F56" w14:textId="77777777" w:rsidR="001B7E69" w:rsidRPr="001B7E69" w:rsidRDefault="001B7E69" w:rsidP="001B7E69">
            <w:pPr>
              <w:pStyle w:val="NoSpacing"/>
              <w:rPr>
                <w:sz w:val="16"/>
                <w:szCs w:val="16"/>
              </w:rPr>
            </w:pPr>
          </w:p>
        </w:tc>
      </w:tr>
      <w:tr w:rsidR="00002399" w:rsidRPr="001B7E69" w14:paraId="114843B8" w14:textId="77777777" w:rsidTr="00F52573">
        <w:trPr>
          <w:trHeight w:val="189"/>
        </w:trPr>
        <w:tc>
          <w:tcPr>
            <w:tcW w:w="0" w:type="auto"/>
          </w:tcPr>
          <w:p w14:paraId="734E9D6F" w14:textId="7D3F5A56" w:rsidR="00002399" w:rsidRPr="001B7E69" w:rsidRDefault="00002399" w:rsidP="001B7E69">
            <w:pPr>
              <w:pStyle w:val="NoSpacing"/>
            </w:pPr>
            <w:r w:rsidRPr="001B7E69">
              <w:t xml:space="preserve">Race, </w:t>
            </w:r>
            <w:r w:rsidRPr="001B7E69">
              <w:rPr>
                <w:rFonts w:ascii="Book Antiqua" w:hAnsi="Book Antiqua" w:cs="Book Antiqua"/>
                <w:i/>
                <w:iCs/>
              </w:rPr>
              <w:t xml:space="preserve">n </w:t>
            </w:r>
            <w:r w:rsidRPr="001B7E69">
              <w:t>(%)</w:t>
            </w:r>
          </w:p>
        </w:tc>
        <w:tc>
          <w:tcPr>
            <w:tcW w:w="0" w:type="auto"/>
          </w:tcPr>
          <w:p w14:paraId="7E7D3DA8" w14:textId="77777777" w:rsidR="00002399" w:rsidRPr="001B7E69" w:rsidRDefault="00002399" w:rsidP="001B7E69">
            <w:pPr>
              <w:pStyle w:val="NoSpacing"/>
            </w:pPr>
          </w:p>
        </w:tc>
        <w:tc>
          <w:tcPr>
            <w:tcW w:w="0" w:type="auto"/>
          </w:tcPr>
          <w:p w14:paraId="25B34F31" w14:textId="77777777" w:rsidR="00002399" w:rsidRPr="001B7E69" w:rsidRDefault="00002399" w:rsidP="001B7E69">
            <w:pPr>
              <w:pStyle w:val="NoSpacing"/>
            </w:pPr>
          </w:p>
        </w:tc>
        <w:tc>
          <w:tcPr>
            <w:tcW w:w="0" w:type="auto"/>
          </w:tcPr>
          <w:p w14:paraId="29FAB040" w14:textId="6E98FF0B" w:rsidR="00002399" w:rsidRPr="001B7E69" w:rsidRDefault="00002399" w:rsidP="001B7E69">
            <w:pPr>
              <w:pStyle w:val="NoSpacing"/>
            </w:pPr>
          </w:p>
        </w:tc>
      </w:tr>
      <w:tr w:rsidR="00002399" w:rsidRPr="001B7E69" w14:paraId="25C54267" w14:textId="77777777" w:rsidTr="0092445A">
        <w:trPr>
          <w:trHeight w:val="189"/>
        </w:trPr>
        <w:tc>
          <w:tcPr>
            <w:tcW w:w="0" w:type="auto"/>
          </w:tcPr>
          <w:p w14:paraId="5E388031" w14:textId="7F5712C9" w:rsidR="00002399" w:rsidRPr="001B7E69" w:rsidRDefault="00002399" w:rsidP="001A107E">
            <w:pPr>
              <w:pStyle w:val="NoSpacing"/>
              <w:ind w:left="334"/>
            </w:pPr>
            <w:r w:rsidRPr="001B7E69">
              <w:t>Caucasian</w:t>
            </w:r>
          </w:p>
        </w:tc>
        <w:tc>
          <w:tcPr>
            <w:tcW w:w="0" w:type="auto"/>
          </w:tcPr>
          <w:p w14:paraId="0C65EC17" w14:textId="77777777" w:rsidR="00002399" w:rsidRPr="001B7E69" w:rsidRDefault="00002399" w:rsidP="001B7E69">
            <w:pPr>
              <w:pStyle w:val="NoSpacing"/>
            </w:pPr>
            <w:r w:rsidRPr="001B7E69">
              <w:t>14 (60.9)</w:t>
            </w:r>
          </w:p>
        </w:tc>
        <w:tc>
          <w:tcPr>
            <w:tcW w:w="0" w:type="auto"/>
          </w:tcPr>
          <w:p w14:paraId="3D1EE13B" w14:textId="77777777" w:rsidR="00002399" w:rsidRPr="001B7E69" w:rsidRDefault="00002399" w:rsidP="001B7E69">
            <w:pPr>
              <w:pStyle w:val="NoSpacing"/>
            </w:pPr>
          </w:p>
        </w:tc>
        <w:tc>
          <w:tcPr>
            <w:tcW w:w="0" w:type="auto"/>
          </w:tcPr>
          <w:p w14:paraId="389ACD5D" w14:textId="6E9605B5" w:rsidR="00002399" w:rsidRPr="001B7E69" w:rsidRDefault="00002399" w:rsidP="001B7E69">
            <w:pPr>
              <w:pStyle w:val="NoSpacing"/>
            </w:pPr>
          </w:p>
        </w:tc>
      </w:tr>
      <w:tr w:rsidR="00002399" w:rsidRPr="001B7E69" w14:paraId="4FBC8A4E" w14:textId="77777777" w:rsidTr="004E567A">
        <w:trPr>
          <w:trHeight w:val="189"/>
        </w:trPr>
        <w:tc>
          <w:tcPr>
            <w:tcW w:w="0" w:type="auto"/>
          </w:tcPr>
          <w:p w14:paraId="3D1E3BFC" w14:textId="77777777" w:rsidR="00002399" w:rsidRPr="001B7E69" w:rsidRDefault="00002399" w:rsidP="001A107E">
            <w:pPr>
              <w:pStyle w:val="NoSpacing"/>
              <w:ind w:left="334"/>
            </w:pPr>
            <w:r w:rsidRPr="001B7E69">
              <w:t>African American</w:t>
            </w:r>
          </w:p>
        </w:tc>
        <w:tc>
          <w:tcPr>
            <w:tcW w:w="0" w:type="auto"/>
          </w:tcPr>
          <w:p w14:paraId="782B34F1" w14:textId="77777777" w:rsidR="00002399" w:rsidRPr="001B7E69" w:rsidRDefault="00002399" w:rsidP="001B7E69">
            <w:pPr>
              <w:pStyle w:val="NoSpacing"/>
            </w:pPr>
            <w:r w:rsidRPr="001B7E69">
              <w:t>7 (30.4)</w:t>
            </w:r>
          </w:p>
        </w:tc>
        <w:tc>
          <w:tcPr>
            <w:tcW w:w="0" w:type="auto"/>
          </w:tcPr>
          <w:p w14:paraId="2C9AF7A4" w14:textId="77777777" w:rsidR="00002399" w:rsidRPr="001B7E69" w:rsidRDefault="00002399" w:rsidP="001B7E69">
            <w:pPr>
              <w:pStyle w:val="NoSpacing"/>
            </w:pPr>
          </w:p>
        </w:tc>
        <w:tc>
          <w:tcPr>
            <w:tcW w:w="0" w:type="auto"/>
          </w:tcPr>
          <w:p w14:paraId="4BEFF5FB" w14:textId="142C0792" w:rsidR="00002399" w:rsidRPr="001B7E69" w:rsidRDefault="00002399" w:rsidP="001B7E69">
            <w:pPr>
              <w:pStyle w:val="NoSpacing"/>
            </w:pPr>
          </w:p>
        </w:tc>
      </w:tr>
      <w:tr w:rsidR="00002399" w:rsidRPr="001B7E69" w14:paraId="7C4EB530" w14:textId="77777777" w:rsidTr="004E567A">
        <w:trPr>
          <w:trHeight w:val="226"/>
        </w:trPr>
        <w:tc>
          <w:tcPr>
            <w:tcW w:w="0" w:type="auto"/>
          </w:tcPr>
          <w:p w14:paraId="0F12B04D" w14:textId="77777777" w:rsidR="00002399" w:rsidRPr="001B7E69" w:rsidRDefault="00002399" w:rsidP="001A107E">
            <w:pPr>
              <w:pStyle w:val="NoSpacing"/>
              <w:ind w:left="334"/>
              <w:rPr>
                <w:w w:val="105"/>
              </w:rPr>
            </w:pPr>
            <w:r w:rsidRPr="001B7E69">
              <w:rPr>
                <w:w w:val="105"/>
              </w:rPr>
              <w:t>Others</w:t>
            </w:r>
          </w:p>
        </w:tc>
        <w:tc>
          <w:tcPr>
            <w:tcW w:w="0" w:type="auto"/>
          </w:tcPr>
          <w:p w14:paraId="4BE8CF7F" w14:textId="77777777" w:rsidR="00002399" w:rsidRPr="001B7E69" w:rsidRDefault="00002399" w:rsidP="001B7E69">
            <w:pPr>
              <w:pStyle w:val="NoSpacing"/>
            </w:pPr>
            <w:r w:rsidRPr="001B7E69">
              <w:t>2 (8.7)</w:t>
            </w:r>
          </w:p>
        </w:tc>
        <w:tc>
          <w:tcPr>
            <w:tcW w:w="0" w:type="auto"/>
          </w:tcPr>
          <w:p w14:paraId="3D6D10B5" w14:textId="77777777" w:rsidR="00002399" w:rsidRPr="001B7E69" w:rsidRDefault="00002399" w:rsidP="001B7E69">
            <w:pPr>
              <w:pStyle w:val="NoSpacing"/>
            </w:pPr>
          </w:p>
        </w:tc>
        <w:tc>
          <w:tcPr>
            <w:tcW w:w="0" w:type="auto"/>
          </w:tcPr>
          <w:p w14:paraId="5B0224E8" w14:textId="2AC11253" w:rsidR="00002399" w:rsidRPr="001B7E69" w:rsidRDefault="00002399" w:rsidP="001B7E69">
            <w:pPr>
              <w:pStyle w:val="NoSpacing"/>
            </w:pPr>
          </w:p>
        </w:tc>
      </w:tr>
      <w:tr w:rsidR="001A107E" w:rsidRPr="001B7E69" w14:paraId="370B10F6" w14:textId="77777777" w:rsidTr="00002399">
        <w:trPr>
          <w:trHeight w:val="179"/>
        </w:trPr>
        <w:tc>
          <w:tcPr>
            <w:tcW w:w="0" w:type="auto"/>
          </w:tcPr>
          <w:p w14:paraId="7289FBA1" w14:textId="77777777" w:rsidR="001B7E69" w:rsidRPr="001B7E69" w:rsidRDefault="001B7E69" w:rsidP="001B7E69">
            <w:pPr>
              <w:pStyle w:val="NoSpacing"/>
            </w:pPr>
            <w:r w:rsidRPr="001B7E69">
              <w:t xml:space="preserve">Cause of ESRD, </w:t>
            </w:r>
            <w:r w:rsidRPr="001B7E69">
              <w:rPr>
                <w:rFonts w:ascii="Book Antiqua" w:hAnsi="Book Antiqua" w:cs="Book Antiqua"/>
                <w:i/>
                <w:iCs/>
              </w:rPr>
              <w:t xml:space="preserve">n </w:t>
            </w:r>
            <w:r w:rsidRPr="001B7E69">
              <w:t>(%)</w:t>
            </w:r>
          </w:p>
        </w:tc>
        <w:tc>
          <w:tcPr>
            <w:tcW w:w="0" w:type="auto"/>
          </w:tcPr>
          <w:p w14:paraId="32873FCF" w14:textId="77777777" w:rsidR="001B7E69" w:rsidRPr="001B7E69" w:rsidRDefault="001B7E69" w:rsidP="001B7E69">
            <w:pPr>
              <w:pStyle w:val="NoSpacing"/>
              <w:rPr>
                <w:sz w:val="12"/>
                <w:szCs w:val="12"/>
              </w:rPr>
            </w:pPr>
          </w:p>
        </w:tc>
        <w:tc>
          <w:tcPr>
            <w:tcW w:w="0" w:type="auto"/>
          </w:tcPr>
          <w:p w14:paraId="09A7A678" w14:textId="77777777" w:rsidR="001B7E69" w:rsidRPr="001B7E69" w:rsidRDefault="001B7E69" w:rsidP="001B7E69">
            <w:pPr>
              <w:pStyle w:val="NoSpacing"/>
              <w:rPr>
                <w:sz w:val="12"/>
                <w:szCs w:val="12"/>
              </w:rPr>
            </w:pPr>
          </w:p>
        </w:tc>
        <w:tc>
          <w:tcPr>
            <w:tcW w:w="0" w:type="auto"/>
          </w:tcPr>
          <w:p w14:paraId="7FA9FAE5" w14:textId="77777777" w:rsidR="001B7E69" w:rsidRPr="001B7E69" w:rsidRDefault="001B7E69" w:rsidP="001B7E69">
            <w:pPr>
              <w:pStyle w:val="NoSpacing"/>
              <w:rPr>
                <w:sz w:val="12"/>
                <w:szCs w:val="12"/>
              </w:rPr>
            </w:pPr>
          </w:p>
        </w:tc>
      </w:tr>
      <w:tr w:rsidR="001A107E" w:rsidRPr="001B7E69" w14:paraId="28AC71E5" w14:textId="77777777" w:rsidTr="00002399">
        <w:trPr>
          <w:trHeight w:val="226"/>
        </w:trPr>
        <w:tc>
          <w:tcPr>
            <w:tcW w:w="0" w:type="auto"/>
          </w:tcPr>
          <w:p w14:paraId="3E968B41" w14:textId="77777777" w:rsidR="001B7E69" w:rsidRPr="001B7E69" w:rsidRDefault="001B7E69" w:rsidP="004F0F9C">
            <w:pPr>
              <w:pStyle w:val="NoSpacing"/>
              <w:ind w:left="334"/>
            </w:pPr>
            <w:r w:rsidRPr="001B7E69">
              <w:t>Diabetes</w:t>
            </w:r>
          </w:p>
        </w:tc>
        <w:tc>
          <w:tcPr>
            <w:tcW w:w="0" w:type="auto"/>
          </w:tcPr>
          <w:p w14:paraId="306906F2" w14:textId="77777777" w:rsidR="001B7E69" w:rsidRPr="001B7E69" w:rsidRDefault="001B7E69" w:rsidP="001B7E69">
            <w:pPr>
              <w:pStyle w:val="NoSpacing"/>
            </w:pPr>
            <w:r w:rsidRPr="001B7E69">
              <w:t>11 (47.8)</w:t>
            </w:r>
          </w:p>
        </w:tc>
        <w:tc>
          <w:tcPr>
            <w:tcW w:w="0" w:type="auto"/>
          </w:tcPr>
          <w:p w14:paraId="483C2C95" w14:textId="77777777" w:rsidR="001B7E69" w:rsidRPr="001B7E69" w:rsidRDefault="001B7E69" w:rsidP="001B7E69">
            <w:pPr>
              <w:pStyle w:val="NoSpacing"/>
            </w:pPr>
            <w:r w:rsidRPr="001B7E69">
              <w:t>N/A</w:t>
            </w:r>
          </w:p>
        </w:tc>
        <w:tc>
          <w:tcPr>
            <w:tcW w:w="0" w:type="auto"/>
          </w:tcPr>
          <w:p w14:paraId="47873296" w14:textId="77777777" w:rsidR="001B7E69" w:rsidRPr="001B7E69" w:rsidRDefault="001B7E69" w:rsidP="001B7E69">
            <w:pPr>
              <w:pStyle w:val="NoSpacing"/>
              <w:rPr>
                <w:w w:val="104"/>
              </w:rPr>
            </w:pPr>
            <w:r w:rsidRPr="001B7E69">
              <w:rPr>
                <w:w w:val="104"/>
              </w:rPr>
              <w:t>–</w:t>
            </w:r>
          </w:p>
        </w:tc>
      </w:tr>
      <w:tr w:rsidR="001A107E" w:rsidRPr="001B7E69" w14:paraId="20905D1F" w14:textId="77777777" w:rsidTr="00002399">
        <w:trPr>
          <w:trHeight w:val="211"/>
        </w:trPr>
        <w:tc>
          <w:tcPr>
            <w:tcW w:w="0" w:type="auto"/>
          </w:tcPr>
          <w:p w14:paraId="7A9A2A04" w14:textId="77777777" w:rsidR="001B7E69" w:rsidRPr="001B7E69" w:rsidRDefault="001B7E69" w:rsidP="004F0F9C">
            <w:pPr>
              <w:pStyle w:val="NoSpacing"/>
              <w:ind w:left="334"/>
            </w:pPr>
            <w:r w:rsidRPr="001B7E69">
              <w:t>Hypertension</w:t>
            </w:r>
          </w:p>
        </w:tc>
        <w:tc>
          <w:tcPr>
            <w:tcW w:w="0" w:type="auto"/>
          </w:tcPr>
          <w:p w14:paraId="074AD4C4" w14:textId="77777777" w:rsidR="001B7E69" w:rsidRPr="001B7E69" w:rsidRDefault="001B7E69" w:rsidP="001B7E69">
            <w:pPr>
              <w:pStyle w:val="NoSpacing"/>
            </w:pPr>
            <w:r w:rsidRPr="001B7E69">
              <w:t>6 (26.1)</w:t>
            </w:r>
          </w:p>
        </w:tc>
        <w:tc>
          <w:tcPr>
            <w:tcW w:w="0" w:type="auto"/>
          </w:tcPr>
          <w:p w14:paraId="5CD119AD" w14:textId="77777777" w:rsidR="001B7E69" w:rsidRPr="001B7E69" w:rsidRDefault="001B7E69" w:rsidP="001B7E69">
            <w:pPr>
              <w:pStyle w:val="NoSpacing"/>
              <w:rPr>
                <w:sz w:val="14"/>
                <w:szCs w:val="14"/>
              </w:rPr>
            </w:pPr>
          </w:p>
        </w:tc>
        <w:tc>
          <w:tcPr>
            <w:tcW w:w="0" w:type="auto"/>
          </w:tcPr>
          <w:p w14:paraId="5CD2DDB5" w14:textId="77777777" w:rsidR="001B7E69" w:rsidRPr="001B7E69" w:rsidRDefault="001B7E69" w:rsidP="001B7E69">
            <w:pPr>
              <w:pStyle w:val="NoSpacing"/>
              <w:rPr>
                <w:sz w:val="14"/>
                <w:szCs w:val="14"/>
              </w:rPr>
            </w:pPr>
          </w:p>
        </w:tc>
      </w:tr>
      <w:tr w:rsidR="001A107E" w:rsidRPr="001B7E69" w14:paraId="6C89C09A" w14:textId="77777777" w:rsidTr="00002399">
        <w:trPr>
          <w:trHeight w:val="226"/>
        </w:trPr>
        <w:tc>
          <w:tcPr>
            <w:tcW w:w="0" w:type="auto"/>
          </w:tcPr>
          <w:p w14:paraId="5D51251C" w14:textId="77777777" w:rsidR="001B7E69" w:rsidRPr="001B7E69" w:rsidRDefault="001B7E69" w:rsidP="004F0F9C">
            <w:pPr>
              <w:pStyle w:val="NoSpacing"/>
              <w:ind w:left="334"/>
              <w:rPr>
                <w:w w:val="105"/>
              </w:rPr>
            </w:pPr>
            <w:bookmarkStart w:id="16" w:name="_bookmark2"/>
            <w:bookmarkEnd w:id="16"/>
            <w:r w:rsidRPr="001B7E69">
              <w:rPr>
                <w:w w:val="105"/>
              </w:rPr>
              <w:t>Others</w:t>
            </w:r>
          </w:p>
        </w:tc>
        <w:tc>
          <w:tcPr>
            <w:tcW w:w="0" w:type="auto"/>
          </w:tcPr>
          <w:p w14:paraId="0D097B84" w14:textId="77777777" w:rsidR="001B7E69" w:rsidRPr="001B7E69" w:rsidRDefault="001B7E69" w:rsidP="001B7E69">
            <w:pPr>
              <w:pStyle w:val="NoSpacing"/>
            </w:pPr>
            <w:r w:rsidRPr="001B7E69">
              <w:t>6 (26.1)</w:t>
            </w:r>
          </w:p>
        </w:tc>
        <w:tc>
          <w:tcPr>
            <w:tcW w:w="0" w:type="auto"/>
          </w:tcPr>
          <w:p w14:paraId="3FD43059" w14:textId="77777777" w:rsidR="001B7E69" w:rsidRPr="001B7E69" w:rsidRDefault="001B7E69" w:rsidP="001B7E69">
            <w:pPr>
              <w:pStyle w:val="NoSpacing"/>
              <w:rPr>
                <w:sz w:val="16"/>
                <w:szCs w:val="16"/>
              </w:rPr>
            </w:pPr>
          </w:p>
        </w:tc>
        <w:tc>
          <w:tcPr>
            <w:tcW w:w="0" w:type="auto"/>
          </w:tcPr>
          <w:p w14:paraId="4A4FA56A" w14:textId="77777777" w:rsidR="001B7E69" w:rsidRPr="001B7E69" w:rsidRDefault="001B7E69" w:rsidP="001B7E69">
            <w:pPr>
              <w:pStyle w:val="NoSpacing"/>
              <w:rPr>
                <w:sz w:val="16"/>
                <w:szCs w:val="16"/>
              </w:rPr>
            </w:pPr>
          </w:p>
        </w:tc>
      </w:tr>
      <w:tr w:rsidR="004F0F9C" w:rsidRPr="001B7E69" w14:paraId="1B7404EF" w14:textId="77777777" w:rsidTr="00002399">
        <w:trPr>
          <w:trHeight w:val="226"/>
        </w:trPr>
        <w:tc>
          <w:tcPr>
            <w:tcW w:w="0" w:type="auto"/>
          </w:tcPr>
          <w:p w14:paraId="045A9B25" w14:textId="57B88789" w:rsidR="004F0F9C" w:rsidRPr="001B7E69" w:rsidRDefault="004F0F9C" w:rsidP="004F0F9C">
            <w:pPr>
              <w:pStyle w:val="NoSpacing"/>
              <w:rPr>
                <w:w w:val="105"/>
              </w:rPr>
            </w:pPr>
            <w:r w:rsidRPr="001B7E69">
              <w:t xml:space="preserve">Educational level, </w:t>
            </w:r>
            <w:r w:rsidRPr="001B7E69">
              <w:rPr>
                <w:rFonts w:ascii="Book Antiqua" w:hAnsi="Book Antiqua" w:cs="Book Antiqua"/>
                <w:i/>
                <w:iCs/>
              </w:rPr>
              <w:t xml:space="preserve">n </w:t>
            </w:r>
            <w:r w:rsidRPr="001B7E69">
              <w:t>(%)</w:t>
            </w:r>
          </w:p>
        </w:tc>
        <w:tc>
          <w:tcPr>
            <w:tcW w:w="0" w:type="auto"/>
          </w:tcPr>
          <w:p w14:paraId="22FE8C59" w14:textId="77777777" w:rsidR="004F0F9C" w:rsidRPr="001B7E69" w:rsidRDefault="004F0F9C" w:rsidP="001B7E69">
            <w:pPr>
              <w:pStyle w:val="NoSpacing"/>
            </w:pPr>
          </w:p>
        </w:tc>
        <w:tc>
          <w:tcPr>
            <w:tcW w:w="0" w:type="auto"/>
          </w:tcPr>
          <w:p w14:paraId="1A5AE4C3" w14:textId="77777777" w:rsidR="004F0F9C" w:rsidRPr="001B7E69" w:rsidRDefault="004F0F9C" w:rsidP="001B7E69">
            <w:pPr>
              <w:pStyle w:val="NoSpacing"/>
              <w:rPr>
                <w:sz w:val="16"/>
                <w:szCs w:val="16"/>
              </w:rPr>
            </w:pPr>
          </w:p>
        </w:tc>
        <w:tc>
          <w:tcPr>
            <w:tcW w:w="0" w:type="auto"/>
          </w:tcPr>
          <w:p w14:paraId="2C06C9AF" w14:textId="77777777" w:rsidR="004F0F9C" w:rsidRPr="001B7E69" w:rsidRDefault="004F0F9C" w:rsidP="001B7E69">
            <w:pPr>
              <w:pStyle w:val="NoSpacing"/>
              <w:rPr>
                <w:sz w:val="16"/>
                <w:szCs w:val="16"/>
              </w:rPr>
            </w:pPr>
          </w:p>
        </w:tc>
      </w:tr>
      <w:tr w:rsidR="004F0F9C" w:rsidRPr="001B7E69" w14:paraId="0B4BA8AF" w14:textId="77777777" w:rsidTr="00002399">
        <w:trPr>
          <w:trHeight w:val="226"/>
        </w:trPr>
        <w:tc>
          <w:tcPr>
            <w:tcW w:w="0" w:type="auto"/>
          </w:tcPr>
          <w:p w14:paraId="586560D4" w14:textId="56838745" w:rsidR="004F0F9C" w:rsidRPr="001B7E69" w:rsidRDefault="004F0F9C" w:rsidP="003E6409">
            <w:pPr>
              <w:pStyle w:val="NoSpacing"/>
              <w:ind w:left="334"/>
            </w:pPr>
            <w:r w:rsidRPr="001B7E69">
              <w:t>High school or less</w:t>
            </w:r>
          </w:p>
        </w:tc>
        <w:tc>
          <w:tcPr>
            <w:tcW w:w="0" w:type="auto"/>
          </w:tcPr>
          <w:p w14:paraId="44407CE8" w14:textId="48084433" w:rsidR="004F0F9C" w:rsidRPr="001B7E69" w:rsidRDefault="004F0F9C" w:rsidP="001B7E69">
            <w:pPr>
              <w:pStyle w:val="NoSpacing"/>
            </w:pPr>
            <w:r w:rsidRPr="001B7E69">
              <w:t>13 (56.5)</w:t>
            </w:r>
          </w:p>
        </w:tc>
        <w:tc>
          <w:tcPr>
            <w:tcW w:w="0" w:type="auto"/>
          </w:tcPr>
          <w:p w14:paraId="7904AC97" w14:textId="77777777" w:rsidR="004F0F9C" w:rsidRPr="001B7E69" w:rsidRDefault="004F0F9C" w:rsidP="001B7E69">
            <w:pPr>
              <w:pStyle w:val="NoSpacing"/>
              <w:rPr>
                <w:sz w:val="16"/>
                <w:szCs w:val="16"/>
              </w:rPr>
            </w:pPr>
          </w:p>
        </w:tc>
        <w:tc>
          <w:tcPr>
            <w:tcW w:w="0" w:type="auto"/>
          </w:tcPr>
          <w:p w14:paraId="435E14AA" w14:textId="77777777" w:rsidR="004F0F9C" w:rsidRPr="001B7E69" w:rsidRDefault="004F0F9C" w:rsidP="001B7E69">
            <w:pPr>
              <w:pStyle w:val="NoSpacing"/>
              <w:rPr>
                <w:sz w:val="16"/>
                <w:szCs w:val="16"/>
              </w:rPr>
            </w:pPr>
          </w:p>
        </w:tc>
      </w:tr>
      <w:tr w:rsidR="004F0F9C" w:rsidRPr="001B7E69" w14:paraId="414DFE1F" w14:textId="77777777" w:rsidTr="00002399">
        <w:trPr>
          <w:trHeight w:val="226"/>
        </w:trPr>
        <w:tc>
          <w:tcPr>
            <w:tcW w:w="0" w:type="auto"/>
          </w:tcPr>
          <w:p w14:paraId="4544A571" w14:textId="789E28E2" w:rsidR="004F0F9C" w:rsidRPr="001B7E69" w:rsidRDefault="004F0F9C" w:rsidP="003E6409">
            <w:pPr>
              <w:pStyle w:val="NoSpacing"/>
              <w:ind w:left="334"/>
            </w:pPr>
            <w:r>
              <w:t>Some college/bachelor’s</w:t>
            </w:r>
            <w:r w:rsidR="003E6409">
              <w:t xml:space="preserve"> degree</w:t>
            </w:r>
          </w:p>
        </w:tc>
        <w:tc>
          <w:tcPr>
            <w:tcW w:w="0" w:type="auto"/>
          </w:tcPr>
          <w:p w14:paraId="758BB46B" w14:textId="1015AF6F" w:rsidR="004F0F9C" w:rsidRPr="001B7E69" w:rsidRDefault="003E6409" w:rsidP="001B7E69">
            <w:pPr>
              <w:pStyle w:val="NoSpacing"/>
            </w:pPr>
            <w:r>
              <w:t>8 (34.8)</w:t>
            </w:r>
          </w:p>
        </w:tc>
        <w:tc>
          <w:tcPr>
            <w:tcW w:w="0" w:type="auto"/>
          </w:tcPr>
          <w:p w14:paraId="0B955AF2" w14:textId="77777777" w:rsidR="004F0F9C" w:rsidRPr="001B7E69" w:rsidRDefault="004F0F9C" w:rsidP="001B7E69">
            <w:pPr>
              <w:pStyle w:val="NoSpacing"/>
              <w:rPr>
                <w:sz w:val="16"/>
                <w:szCs w:val="16"/>
              </w:rPr>
            </w:pPr>
          </w:p>
        </w:tc>
        <w:tc>
          <w:tcPr>
            <w:tcW w:w="0" w:type="auto"/>
          </w:tcPr>
          <w:p w14:paraId="7BCEA2F1" w14:textId="77777777" w:rsidR="004F0F9C" w:rsidRPr="001B7E69" w:rsidRDefault="004F0F9C" w:rsidP="001B7E69">
            <w:pPr>
              <w:pStyle w:val="NoSpacing"/>
              <w:rPr>
                <w:sz w:val="16"/>
                <w:szCs w:val="16"/>
              </w:rPr>
            </w:pPr>
          </w:p>
        </w:tc>
      </w:tr>
      <w:tr w:rsidR="004F0F9C" w:rsidRPr="001B7E69" w14:paraId="46341A65" w14:textId="77777777" w:rsidTr="00002399">
        <w:trPr>
          <w:trHeight w:val="226"/>
        </w:trPr>
        <w:tc>
          <w:tcPr>
            <w:tcW w:w="0" w:type="auto"/>
          </w:tcPr>
          <w:p w14:paraId="2203AA36" w14:textId="75CC38E1" w:rsidR="004F0F9C" w:rsidRPr="001B7E69" w:rsidRDefault="003E6409" w:rsidP="003E6409">
            <w:pPr>
              <w:pStyle w:val="NoSpacing"/>
              <w:ind w:left="334"/>
            </w:pPr>
            <w:r>
              <w:t>Advanced degree</w:t>
            </w:r>
          </w:p>
        </w:tc>
        <w:tc>
          <w:tcPr>
            <w:tcW w:w="0" w:type="auto"/>
          </w:tcPr>
          <w:p w14:paraId="01A5999C" w14:textId="1CD0180D" w:rsidR="004F0F9C" w:rsidRPr="001B7E69" w:rsidRDefault="003E6409" w:rsidP="001B7E69">
            <w:pPr>
              <w:pStyle w:val="NoSpacing"/>
            </w:pPr>
            <w:r>
              <w:t>2 (8.7)</w:t>
            </w:r>
          </w:p>
        </w:tc>
        <w:tc>
          <w:tcPr>
            <w:tcW w:w="0" w:type="auto"/>
          </w:tcPr>
          <w:p w14:paraId="4902ADCB" w14:textId="77777777" w:rsidR="004F0F9C" w:rsidRPr="001B7E69" w:rsidRDefault="004F0F9C" w:rsidP="001B7E69">
            <w:pPr>
              <w:pStyle w:val="NoSpacing"/>
              <w:rPr>
                <w:sz w:val="16"/>
                <w:szCs w:val="16"/>
              </w:rPr>
            </w:pPr>
          </w:p>
        </w:tc>
        <w:tc>
          <w:tcPr>
            <w:tcW w:w="0" w:type="auto"/>
          </w:tcPr>
          <w:p w14:paraId="06D22077" w14:textId="77777777" w:rsidR="004F0F9C" w:rsidRPr="001B7E69" w:rsidRDefault="004F0F9C" w:rsidP="001B7E69">
            <w:pPr>
              <w:pStyle w:val="NoSpacing"/>
              <w:rPr>
                <w:sz w:val="16"/>
                <w:szCs w:val="16"/>
              </w:rPr>
            </w:pPr>
          </w:p>
        </w:tc>
      </w:tr>
    </w:tbl>
    <w:p w14:paraId="6ED36EA5" w14:textId="5DC273EB" w:rsidR="00367617" w:rsidRPr="00367617" w:rsidRDefault="00687BEF" w:rsidP="00687BEF">
      <w:pPr>
        <w:pStyle w:val="NoSpacing"/>
      </w:pPr>
      <w:bookmarkStart w:id="17" w:name="_bookmark5"/>
      <w:bookmarkStart w:id="18" w:name="_bookmark4"/>
      <w:bookmarkStart w:id="19" w:name="_bookmark3"/>
      <w:bookmarkStart w:id="20" w:name="_bookmark0"/>
      <w:bookmarkStart w:id="21" w:name="_bookmark1"/>
      <w:bookmarkEnd w:id="17"/>
      <w:bookmarkEnd w:id="18"/>
      <w:bookmarkEnd w:id="19"/>
      <w:bookmarkEnd w:id="20"/>
      <w:bookmarkEnd w:id="21"/>
      <w:r w:rsidRPr="00687BEF">
        <w:t>HD, hemodialysis; CAD, coronary artery disease; PVD, peripheral</w:t>
      </w:r>
      <w:r>
        <w:t xml:space="preserve"> </w:t>
      </w:r>
      <w:r w:rsidRPr="00687BEF">
        <w:t>vascular disease; CHF, congestive heart failure; ESRD,</w:t>
      </w:r>
      <w:r>
        <w:t xml:space="preserve"> </w:t>
      </w:r>
      <w:r w:rsidRPr="00687BEF">
        <w:t>end-stage renal disease. Advanced degree indicates masters’, graduate,</w:t>
      </w:r>
      <w:r>
        <w:t xml:space="preserve"> </w:t>
      </w:r>
      <w:r w:rsidRPr="00687BEF">
        <w:t>or professional degree.</w:t>
      </w:r>
    </w:p>
    <w:p w14:paraId="1D516BF1" w14:textId="236EA84B" w:rsidR="00981A4F" w:rsidRPr="00981A4F" w:rsidRDefault="00981A4F" w:rsidP="00981A4F">
      <w:pPr>
        <w:rPr>
          <w:sz w:val="24"/>
          <w:szCs w:val="24"/>
        </w:rPr>
      </w:pPr>
    </w:p>
    <w:p w14:paraId="57A6CCA6" w14:textId="77777777" w:rsidR="00981A4F" w:rsidRPr="00981A4F" w:rsidRDefault="00981A4F" w:rsidP="00B45602">
      <w:pPr>
        <w:pStyle w:val="Heading2"/>
      </w:pPr>
      <w:bookmarkStart w:id="22" w:name="ID0EFG"/>
      <w:bookmarkEnd w:id="22"/>
      <w:r w:rsidRPr="00981A4F">
        <w:t>Cerebral Volumes in HD Cohort Compared to Controls</w:t>
      </w:r>
    </w:p>
    <w:p w14:paraId="3505DCD0" w14:textId="7B8B4445" w:rsidR="00981A4F" w:rsidRPr="00981A4F" w:rsidRDefault="00981A4F" w:rsidP="00981A4F">
      <w:pPr>
        <w:rPr>
          <w:sz w:val="24"/>
          <w:szCs w:val="24"/>
        </w:rPr>
      </w:pPr>
      <w:r w:rsidRPr="00981A4F">
        <w:rPr>
          <w:sz w:val="24"/>
          <w:szCs w:val="24"/>
        </w:rPr>
        <w:t>Global gray matter volume adjusted for age and total intracranial volume was lower in the HD cohort than in healthy controls (526.8 vs. 589.5 cm</w:t>
      </w:r>
      <w:r w:rsidRPr="00981A4F">
        <w:rPr>
          <w:sz w:val="24"/>
          <w:szCs w:val="24"/>
          <w:vertAlign w:val="superscript"/>
        </w:rPr>
        <w:t>3</w:t>
      </w:r>
      <w:r w:rsidRPr="00981A4F">
        <w:rPr>
          <w:sz w:val="24"/>
          <w:szCs w:val="24"/>
        </w:rPr>
        <w:t>, </w:t>
      </w:r>
      <w:r w:rsidRPr="00981A4F">
        <w:rPr>
          <w:i/>
          <w:iCs/>
          <w:sz w:val="24"/>
          <w:szCs w:val="24"/>
        </w:rPr>
        <w:t>p</w:t>
      </w:r>
      <w:r w:rsidRPr="00981A4F">
        <w:rPr>
          <w:sz w:val="24"/>
          <w:szCs w:val="24"/>
        </w:rPr>
        <w:t> &lt; 0.01) (Fig. </w:t>
      </w:r>
      <w:r w:rsidRPr="006D2283">
        <w:rPr>
          <w:sz w:val="24"/>
          <w:szCs w:val="24"/>
        </w:rPr>
        <w:t>1</w:t>
      </w:r>
      <w:r w:rsidRPr="00981A4F">
        <w:rPr>
          <w:sz w:val="24"/>
          <w:szCs w:val="24"/>
        </w:rPr>
        <w:t xml:space="preserve">). Regionally, the left putamen, bilateral pallidum, bilateral </w:t>
      </w:r>
      <w:proofErr w:type="spellStart"/>
      <w:r w:rsidRPr="00981A4F">
        <w:rPr>
          <w:sz w:val="24"/>
          <w:szCs w:val="24"/>
        </w:rPr>
        <w:t>VIIa</w:t>
      </w:r>
      <w:proofErr w:type="spellEnd"/>
      <w:r w:rsidRPr="00981A4F">
        <w:rPr>
          <w:sz w:val="24"/>
          <w:szCs w:val="24"/>
        </w:rPr>
        <w:t xml:space="preserve"> cerebellar lobules, and right </w:t>
      </w:r>
      <w:proofErr w:type="spellStart"/>
      <w:r w:rsidRPr="00981A4F">
        <w:rPr>
          <w:sz w:val="24"/>
          <w:szCs w:val="24"/>
        </w:rPr>
        <w:t>VIIb</w:t>
      </w:r>
      <w:proofErr w:type="spellEnd"/>
      <w:r w:rsidRPr="00981A4F">
        <w:rPr>
          <w:sz w:val="24"/>
          <w:szCs w:val="24"/>
        </w:rPr>
        <w:t xml:space="preserve"> cerebellar lobule were significantly decreased in HD patients after multiple comparisons correction (Fig. </w:t>
      </w:r>
      <w:r w:rsidRPr="006D2283">
        <w:rPr>
          <w:sz w:val="24"/>
          <w:szCs w:val="24"/>
        </w:rPr>
        <w:t>2</w:t>
      </w:r>
      <w:r w:rsidRPr="00981A4F">
        <w:rPr>
          <w:sz w:val="24"/>
          <w:szCs w:val="24"/>
        </w:rPr>
        <w:t>). There were no regions with higher gray matter volumes in HD patients compared to controls. Cerebrospinal fluid volume was significantly greater in HD patients (415.4 vs. 335.5 cm</w:t>
      </w:r>
      <w:r w:rsidRPr="00981A4F">
        <w:rPr>
          <w:sz w:val="24"/>
          <w:szCs w:val="24"/>
          <w:vertAlign w:val="superscript"/>
        </w:rPr>
        <w:t>3</w:t>
      </w:r>
      <w:r w:rsidRPr="00981A4F">
        <w:rPr>
          <w:sz w:val="24"/>
          <w:szCs w:val="24"/>
        </w:rPr>
        <w:t>, </w:t>
      </w:r>
      <w:r w:rsidRPr="00981A4F">
        <w:rPr>
          <w:i/>
          <w:iCs/>
          <w:sz w:val="24"/>
          <w:szCs w:val="24"/>
        </w:rPr>
        <w:t>p</w:t>
      </w:r>
      <w:r w:rsidRPr="00981A4F">
        <w:rPr>
          <w:sz w:val="24"/>
          <w:szCs w:val="24"/>
        </w:rPr>
        <w:t> &lt; 0.01), while white matter volume was not significantly different between the 2 groups (470.8 vs. 490.4 cm</w:t>
      </w:r>
      <w:r w:rsidRPr="00981A4F">
        <w:rPr>
          <w:sz w:val="24"/>
          <w:szCs w:val="24"/>
          <w:vertAlign w:val="superscript"/>
        </w:rPr>
        <w:t>3</w:t>
      </w:r>
      <w:r w:rsidRPr="00981A4F">
        <w:rPr>
          <w:sz w:val="24"/>
          <w:szCs w:val="24"/>
        </w:rPr>
        <w:t>, </w:t>
      </w:r>
      <w:r w:rsidRPr="00981A4F">
        <w:rPr>
          <w:i/>
          <w:iCs/>
          <w:sz w:val="24"/>
          <w:szCs w:val="24"/>
        </w:rPr>
        <w:t>p</w:t>
      </w:r>
      <w:r w:rsidRPr="00981A4F">
        <w:rPr>
          <w:sz w:val="24"/>
          <w:szCs w:val="24"/>
        </w:rPr>
        <w:t> = 0.20), shown in Figure </w:t>
      </w:r>
      <w:r w:rsidRPr="006D2283">
        <w:rPr>
          <w:sz w:val="24"/>
          <w:szCs w:val="24"/>
        </w:rPr>
        <w:t>1</w:t>
      </w:r>
      <w:r w:rsidRPr="00981A4F">
        <w:rPr>
          <w:sz w:val="24"/>
          <w:szCs w:val="24"/>
        </w:rPr>
        <w:t>.</w:t>
      </w:r>
    </w:p>
    <w:p w14:paraId="1B98D132" w14:textId="2F078395" w:rsidR="00981A4F" w:rsidRPr="00981A4F" w:rsidRDefault="00981A4F" w:rsidP="003B5C54">
      <w:pPr>
        <w:pStyle w:val="NoSpacing"/>
      </w:pPr>
      <w:bookmarkStart w:id="23" w:name="f01"/>
      <w:bookmarkEnd w:id="23"/>
      <w:r w:rsidRPr="00981A4F">
        <w:rPr>
          <w:b/>
          <w:bCs/>
        </w:rPr>
        <w:t>Fig. 1.</w:t>
      </w:r>
      <w:r w:rsidR="00B45602">
        <w:rPr>
          <w:b/>
          <w:bCs/>
        </w:rPr>
        <w:t xml:space="preserve"> </w:t>
      </w:r>
      <w:r w:rsidRPr="00981A4F">
        <w:t>Total GM, WM, and CSF volumes after controlling for age and total intracranial volume as confounding variables. Significance labels represent significance </w:t>
      </w:r>
      <w:r w:rsidRPr="00981A4F">
        <w:rPr>
          <w:i/>
          <w:iCs/>
        </w:rPr>
        <w:t>p</w:t>
      </w:r>
      <w:r w:rsidRPr="00981A4F">
        <w:t> &lt; 0.01**. There is a decrease in GM and WM volume along with increase in CSF volume in the hemodialysis cohort compared to healthy control indicating generalized atrophy. GM, gray matter; WM, white matter; CSF, cerebral spinal fluid; HD, hemodialysis.</w:t>
      </w:r>
    </w:p>
    <w:p w14:paraId="509E345E" w14:textId="3A350009" w:rsidR="00981A4F" w:rsidRPr="00981A4F" w:rsidRDefault="00981A4F" w:rsidP="003B5C54">
      <w:pPr>
        <w:pStyle w:val="NoSpacing"/>
      </w:pPr>
      <w:r w:rsidRPr="00981A4F">
        <w:rPr>
          <w:noProof/>
        </w:rPr>
        <w:lastRenderedPageBreak/>
        <w:drawing>
          <wp:inline distT="0" distB="0" distL="0" distR="0" wp14:anchorId="3A489EB7" wp14:editId="562DB1C0">
            <wp:extent cx="3657600" cy="2185416"/>
            <wp:effectExtent l="0" t="0" r="0" b="5715"/>
            <wp:docPr id="26" name="Picture 26" descr="/WebMaterial/ShowPic/123863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WebMaterial/ShowPic/1238632">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2185416"/>
                    </a:xfrm>
                    <a:prstGeom prst="rect">
                      <a:avLst/>
                    </a:prstGeom>
                    <a:noFill/>
                    <a:ln>
                      <a:noFill/>
                    </a:ln>
                  </pic:spPr>
                </pic:pic>
              </a:graphicData>
            </a:graphic>
          </wp:inline>
        </w:drawing>
      </w:r>
    </w:p>
    <w:p w14:paraId="5AB9A3EE" w14:textId="5A021105" w:rsidR="00981A4F" w:rsidRPr="00981A4F" w:rsidRDefault="00981A4F" w:rsidP="003B5C54">
      <w:pPr>
        <w:pStyle w:val="NoSpacing"/>
      </w:pPr>
      <w:bookmarkStart w:id="24" w:name="f02"/>
      <w:bookmarkEnd w:id="24"/>
      <w:r w:rsidRPr="00981A4F">
        <w:rPr>
          <w:b/>
          <w:bCs/>
        </w:rPr>
        <w:t>Fig. 2.</w:t>
      </w:r>
      <w:r w:rsidR="003B5C54">
        <w:rPr>
          <w:b/>
          <w:bCs/>
        </w:rPr>
        <w:t xml:space="preserve"> </w:t>
      </w:r>
      <w:r w:rsidRPr="00981A4F">
        <w:t>T map of significant (</w:t>
      </w:r>
      <w:r w:rsidRPr="00981A4F">
        <w:rPr>
          <w:i/>
          <w:iCs/>
        </w:rPr>
        <w:t>p</w:t>
      </w:r>
      <w:r w:rsidRPr="00981A4F">
        <w:t> &lt; 0.05) volume differences in individual ROIs derived from the Harvard-Oxford Cortical and Subcortical Atlases and Probabilistic Cerebellar Atlas. Cortical and subcortical atlases are shown on the right and cerebral atlas on the left. The color graph on the right indicates the difference in volume in cm</w:t>
      </w:r>
      <w:r w:rsidRPr="00981A4F">
        <w:rPr>
          <w:vertAlign w:val="superscript"/>
        </w:rPr>
        <w:t>3</w:t>
      </w:r>
      <w:r w:rsidRPr="00981A4F">
        <w:t> with yellow indicating a larger difference. The highlighted subcortical structures include the left putamen and bilateral pallidum. ROIs, regions of interest.</w:t>
      </w:r>
    </w:p>
    <w:p w14:paraId="1ED2CF9C" w14:textId="44B87C2F" w:rsidR="00981A4F" w:rsidRPr="00981A4F" w:rsidRDefault="00981A4F" w:rsidP="003B5C54">
      <w:pPr>
        <w:pStyle w:val="NoSpacing"/>
      </w:pPr>
      <w:r w:rsidRPr="00981A4F">
        <w:rPr>
          <w:noProof/>
        </w:rPr>
        <w:drawing>
          <wp:inline distT="0" distB="0" distL="0" distR="0" wp14:anchorId="0EFDAAE7" wp14:editId="1C53CAC7">
            <wp:extent cx="3657600" cy="2185416"/>
            <wp:effectExtent l="0" t="0" r="0" b="5715"/>
            <wp:docPr id="25" name="Picture 25" descr="/WebMaterial/ShowPic/1238630">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WebMaterial/ShowPic/1238630">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2185416"/>
                    </a:xfrm>
                    <a:prstGeom prst="rect">
                      <a:avLst/>
                    </a:prstGeom>
                    <a:noFill/>
                    <a:ln>
                      <a:noFill/>
                    </a:ln>
                  </pic:spPr>
                </pic:pic>
              </a:graphicData>
            </a:graphic>
          </wp:inline>
        </w:drawing>
      </w:r>
    </w:p>
    <w:p w14:paraId="1873479A" w14:textId="77777777" w:rsidR="00981A4F" w:rsidRPr="00981A4F" w:rsidRDefault="00981A4F" w:rsidP="00E04B34">
      <w:pPr>
        <w:pStyle w:val="Heading2"/>
      </w:pPr>
      <w:bookmarkStart w:id="25" w:name="ID0E4H"/>
      <w:bookmarkEnd w:id="25"/>
      <w:r w:rsidRPr="00981A4F">
        <w:t>White Matter Microstructural Integrity in HD Cohort Compared to Controls</w:t>
      </w:r>
    </w:p>
    <w:p w14:paraId="198E8DB4" w14:textId="08191885" w:rsidR="00981A4F" w:rsidRPr="00981A4F" w:rsidRDefault="00981A4F" w:rsidP="00981A4F">
      <w:pPr>
        <w:rPr>
          <w:sz w:val="24"/>
          <w:szCs w:val="24"/>
        </w:rPr>
      </w:pPr>
      <w:r w:rsidRPr="00981A4F">
        <w:rPr>
          <w:sz w:val="24"/>
          <w:szCs w:val="24"/>
        </w:rPr>
        <w:t>Global white matter FA was significantly lower in HD patients compared to controls (0.2864 vs. 0.3441, </w:t>
      </w:r>
      <w:r w:rsidRPr="00981A4F">
        <w:rPr>
          <w:i/>
          <w:iCs/>
          <w:sz w:val="24"/>
          <w:szCs w:val="24"/>
        </w:rPr>
        <w:t>p &lt;</w:t>
      </w:r>
      <w:r w:rsidRPr="00981A4F">
        <w:rPr>
          <w:sz w:val="24"/>
          <w:szCs w:val="24"/>
        </w:rPr>
        <w:t> 0.01), shown in Figure </w:t>
      </w:r>
      <w:r w:rsidRPr="006D2283">
        <w:rPr>
          <w:sz w:val="24"/>
          <w:szCs w:val="24"/>
        </w:rPr>
        <w:t>3</w:t>
      </w:r>
      <w:r w:rsidRPr="00981A4F">
        <w:rPr>
          <w:sz w:val="24"/>
          <w:szCs w:val="24"/>
        </w:rPr>
        <w:t>, with significantly higher mean AD (0.001 vs. 0.00097, </w:t>
      </w:r>
      <w:r w:rsidRPr="00981A4F">
        <w:rPr>
          <w:i/>
          <w:iCs/>
          <w:sz w:val="24"/>
          <w:szCs w:val="24"/>
        </w:rPr>
        <w:t>p</w:t>
      </w:r>
      <w:r w:rsidRPr="00981A4F">
        <w:rPr>
          <w:sz w:val="24"/>
          <w:szCs w:val="24"/>
        </w:rPr>
        <w:t> &lt; 0.01), RD (6.47 × 10</w:t>
      </w:r>
      <w:r w:rsidRPr="00981A4F">
        <w:rPr>
          <w:sz w:val="24"/>
          <w:szCs w:val="24"/>
          <w:vertAlign w:val="superscript"/>
        </w:rPr>
        <w:t>−4</w:t>
      </w:r>
      <w:r w:rsidRPr="00981A4F">
        <w:rPr>
          <w:sz w:val="24"/>
          <w:szCs w:val="24"/>
        </w:rPr>
        <w:t> vs. 5.60 × 10</w:t>
      </w:r>
      <w:r w:rsidRPr="00981A4F">
        <w:rPr>
          <w:sz w:val="24"/>
          <w:szCs w:val="24"/>
          <w:vertAlign w:val="superscript"/>
        </w:rPr>
        <w:t>−4</w:t>
      </w:r>
      <w:r w:rsidRPr="00981A4F">
        <w:rPr>
          <w:sz w:val="24"/>
          <w:szCs w:val="24"/>
        </w:rPr>
        <w:t>, </w:t>
      </w:r>
      <w:r w:rsidRPr="00981A4F">
        <w:rPr>
          <w:i/>
          <w:iCs/>
          <w:sz w:val="24"/>
          <w:szCs w:val="24"/>
        </w:rPr>
        <w:t>p</w:t>
      </w:r>
      <w:r w:rsidRPr="00981A4F">
        <w:rPr>
          <w:sz w:val="24"/>
          <w:szCs w:val="24"/>
        </w:rPr>
        <w:t> &lt; 0.01), and MD (7.65 × 10</w:t>
      </w:r>
      <w:r w:rsidRPr="00981A4F">
        <w:rPr>
          <w:sz w:val="24"/>
          <w:szCs w:val="24"/>
          <w:vertAlign w:val="superscript"/>
        </w:rPr>
        <w:t>−4</w:t>
      </w:r>
      <w:r w:rsidRPr="00981A4F">
        <w:rPr>
          <w:sz w:val="24"/>
          <w:szCs w:val="24"/>
        </w:rPr>
        <w:t> vs. 6.97 × 10</w:t>
      </w:r>
      <w:r w:rsidRPr="00981A4F">
        <w:rPr>
          <w:sz w:val="24"/>
          <w:szCs w:val="24"/>
          <w:vertAlign w:val="superscript"/>
        </w:rPr>
        <w:t>−4</w:t>
      </w:r>
      <w:r w:rsidRPr="00981A4F">
        <w:rPr>
          <w:sz w:val="24"/>
          <w:szCs w:val="24"/>
        </w:rPr>
        <w:t>, </w:t>
      </w:r>
      <w:r w:rsidRPr="00981A4F">
        <w:rPr>
          <w:i/>
          <w:iCs/>
          <w:sz w:val="24"/>
          <w:szCs w:val="24"/>
        </w:rPr>
        <w:t>p</w:t>
      </w:r>
      <w:r w:rsidRPr="00981A4F">
        <w:rPr>
          <w:sz w:val="24"/>
          <w:szCs w:val="24"/>
        </w:rPr>
        <w:t> &lt; 0.01) values. The lower FA in HD patients compared to controls was present in 17 out of the 27 tracts measured (see FA bar plot in online suppl. Fig. 1; see www.karger.com/doi/10.1159/000510614 for all online suppl. material,). The absolute differences in FA for all significantly different white matter tracts are shown in Figure </w:t>
      </w:r>
      <w:r w:rsidRPr="006D2283">
        <w:rPr>
          <w:sz w:val="24"/>
          <w:szCs w:val="24"/>
        </w:rPr>
        <w:t>3</w:t>
      </w:r>
      <w:r w:rsidRPr="00981A4F">
        <w:rPr>
          <w:sz w:val="24"/>
          <w:szCs w:val="24"/>
        </w:rPr>
        <w:t>. In addition, most of the decreased tracts had increased RD (see RD bar plot in online suppl. Fig. 1).</w:t>
      </w:r>
    </w:p>
    <w:p w14:paraId="601F308F" w14:textId="576528E7" w:rsidR="00981A4F" w:rsidRPr="00981A4F" w:rsidRDefault="00981A4F" w:rsidP="00E04B34">
      <w:pPr>
        <w:pStyle w:val="NoSpacing"/>
      </w:pPr>
      <w:bookmarkStart w:id="26" w:name="f03"/>
      <w:bookmarkEnd w:id="26"/>
      <w:r w:rsidRPr="00981A4F">
        <w:rPr>
          <w:b/>
          <w:bCs/>
        </w:rPr>
        <w:t>Fig. 3.</w:t>
      </w:r>
      <w:r w:rsidR="00E04B34">
        <w:rPr>
          <w:b/>
          <w:bCs/>
        </w:rPr>
        <w:t xml:space="preserve"> </w:t>
      </w:r>
      <w:r w:rsidRPr="00981A4F">
        <w:t xml:space="preserve">Map of significant FA differences in tracts identified using tractography and whole white matter difference in FA between the groups. On the left are the FA differences in tracts using tractography, and </w:t>
      </w:r>
      <w:proofErr w:type="spellStart"/>
      <w:r w:rsidRPr="00981A4F">
        <w:t>tROIs</w:t>
      </w:r>
      <w:proofErr w:type="spellEnd"/>
      <w:r w:rsidRPr="00981A4F">
        <w:t xml:space="preserve"> were summed and mapped as the FA difference between the 2 groups. Highlighted tracts all have statistically significant differences compared to controls with </w:t>
      </w:r>
      <w:r w:rsidRPr="00981A4F">
        <w:rPr>
          <w:i/>
          <w:iCs/>
        </w:rPr>
        <w:t>p</w:t>
      </w:r>
      <w:r w:rsidRPr="00981A4F">
        <w:t> &lt; 0.01. The degree of differences in FA is shown with the color graph, with yellow indicating a higher difference. On the right is the difference in whole white matter FA between the groups, with </w:t>
      </w:r>
      <w:r w:rsidRPr="00981A4F">
        <w:rPr>
          <w:i/>
          <w:iCs/>
        </w:rPr>
        <w:t>p</w:t>
      </w:r>
      <w:r w:rsidRPr="00981A4F">
        <w:t xml:space="preserve"> &lt; 0.01. HD, hemodialysis; FA, fractional anisotropy; </w:t>
      </w:r>
      <w:proofErr w:type="spellStart"/>
      <w:r w:rsidRPr="00981A4F">
        <w:t>tROIs</w:t>
      </w:r>
      <w:proofErr w:type="spellEnd"/>
      <w:r w:rsidRPr="00981A4F">
        <w:t>, tract regions of interest.</w:t>
      </w:r>
    </w:p>
    <w:p w14:paraId="2796BAF0" w14:textId="3E188E95" w:rsidR="00981A4F" w:rsidRPr="00981A4F" w:rsidRDefault="00981A4F" w:rsidP="00E04B34">
      <w:pPr>
        <w:pStyle w:val="NoSpacing"/>
      </w:pPr>
      <w:r w:rsidRPr="00981A4F">
        <w:rPr>
          <w:noProof/>
        </w:rPr>
        <w:lastRenderedPageBreak/>
        <w:drawing>
          <wp:inline distT="0" distB="0" distL="0" distR="0" wp14:anchorId="349210EC" wp14:editId="256F68EA">
            <wp:extent cx="4724400" cy="1257300"/>
            <wp:effectExtent l="0" t="0" r="0" b="0"/>
            <wp:docPr id="24" name="Picture 24" descr="/WebMaterial/ShowPic/1238628">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WebMaterial/ShowPic/1238628">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24400" cy="1257300"/>
                    </a:xfrm>
                    <a:prstGeom prst="rect">
                      <a:avLst/>
                    </a:prstGeom>
                    <a:noFill/>
                    <a:ln>
                      <a:noFill/>
                    </a:ln>
                  </pic:spPr>
                </pic:pic>
              </a:graphicData>
            </a:graphic>
          </wp:inline>
        </w:drawing>
      </w:r>
    </w:p>
    <w:p w14:paraId="5C8E4C9F" w14:textId="77777777" w:rsidR="00981A4F" w:rsidRPr="00981A4F" w:rsidRDefault="00981A4F" w:rsidP="00E04B34">
      <w:pPr>
        <w:pStyle w:val="Heading2"/>
      </w:pPr>
      <w:bookmarkStart w:id="27" w:name="ID0EJBAC"/>
      <w:bookmarkEnd w:id="27"/>
      <w:r w:rsidRPr="00981A4F">
        <w:t>Cognitive Performance in HD Cohort</w:t>
      </w:r>
    </w:p>
    <w:p w14:paraId="5A1E5BE2" w14:textId="6C0FA55D" w:rsidR="00981A4F" w:rsidRPr="00981A4F" w:rsidRDefault="00981A4F" w:rsidP="00981A4F">
      <w:pPr>
        <w:rPr>
          <w:sz w:val="24"/>
          <w:szCs w:val="24"/>
        </w:rPr>
      </w:pPr>
      <w:r w:rsidRPr="00981A4F">
        <w:rPr>
          <w:sz w:val="24"/>
          <w:szCs w:val="24"/>
        </w:rPr>
        <w:t>NIH Toolbox Cognitive Function scores for the HD cohort are displayed in Table </w:t>
      </w:r>
      <w:r w:rsidRPr="006D2283">
        <w:rPr>
          <w:sz w:val="24"/>
          <w:szCs w:val="24"/>
        </w:rPr>
        <w:t>2</w:t>
      </w:r>
      <w:r w:rsidRPr="00981A4F">
        <w:rPr>
          <w:sz w:val="24"/>
          <w:szCs w:val="24"/>
        </w:rPr>
        <w:t>, with </w:t>
      </w:r>
      <w:r w:rsidRPr="00981A4F">
        <w:rPr>
          <w:i/>
          <w:iCs/>
          <w:sz w:val="24"/>
          <w:szCs w:val="24"/>
        </w:rPr>
        <w:t>p</w:t>
      </w:r>
      <w:r w:rsidRPr="00981A4F">
        <w:rPr>
          <w:sz w:val="24"/>
          <w:szCs w:val="24"/>
        </w:rPr>
        <w:t> values for comparisons with age-corrected standard population scores (mean = 100 and SD = 15 for all scores). The mean (SD) total cognition composite score in the HD cohort was 92.4 (15.2), significantly less (</w:t>
      </w:r>
      <w:r w:rsidRPr="00981A4F">
        <w:rPr>
          <w:i/>
          <w:iCs/>
          <w:sz w:val="24"/>
          <w:szCs w:val="24"/>
        </w:rPr>
        <w:t>p</w:t>
      </w:r>
      <w:r w:rsidRPr="00981A4F">
        <w:rPr>
          <w:sz w:val="24"/>
          <w:szCs w:val="24"/>
        </w:rPr>
        <w:t xml:space="preserve"> = 0.02) than the age-corrected population scores. This difference was primarily due to differences in fluid measures. The Fluid Cognition Composite (86.9 [14.3]) and its components of pattern comparison processing speed (83.1 [16.1]) and flanker inhibitory executive function and attention test (84.3 [10.1]) were all significantly less than population scores. The Crystallized Cognition Composite Score (99.1 [14.5]) and all components of it were </w:t>
      </w:r>
      <w:proofErr w:type="gramStart"/>
      <w:r w:rsidRPr="00981A4F">
        <w:rPr>
          <w:sz w:val="24"/>
          <w:szCs w:val="24"/>
        </w:rPr>
        <w:t>similar to</w:t>
      </w:r>
      <w:proofErr w:type="gramEnd"/>
      <w:r w:rsidRPr="00981A4F">
        <w:rPr>
          <w:sz w:val="24"/>
          <w:szCs w:val="24"/>
        </w:rPr>
        <w:t xml:space="preserve"> population scores.</w:t>
      </w:r>
    </w:p>
    <w:p w14:paraId="7AF5F61B" w14:textId="149D44B3" w:rsidR="00981A4F" w:rsidRDefault="00981A4F" w:rsidP="00981A4F">
      <w:pPr>
        <w:rPr>
          <w:sz w:val="24"/>
          <w:szCs w:val="24"/>
        </w:rPr>
      </w:pPr>
      <w:bookmarkStart w:id="28" w:name="t02"/>
      <w:bookmarkEnd w:id="28"/>
      <w:r w:rsidRPr="00981A4F">
        <w:rPr>
          <w:b/>
          <w:bCs/>
          <w:sz w:val="24"/>
          <w:szCs w:val="24"/>
        </w:rPr>
        <w:t>Table 2.</w:t>
      </w:r>
      <w:r w:rsidR="00E04B34">
        <w:rPr>
          <w:b/>
          <w:bCs/>
          <w:sz w:val="24"/>
          <w:szCs w:val="24"/>
        </w:rPr>
        <w:t xml:space="preserve"> </w:t>
      </w:r>
      <w:r w:rsidRPr="00981A4F">
        <w:rPr>
          <w:sz w:val="24"/>
          <w:szCs w:val="24"/>
        </w:rPr>
        <w:t>HD cohort scores on NIH Toolbox tasks with cognitive domain for each test</w:t>
      </w:r>
    </w:p>
    <w:tbl>
      <w:tblPr>
        <w:tblStyle w:val="TableGrid"/>
        <w:tblW w:w="0" w:type="auto"/>
        <w:tblLook w:val="0020" w:firstRow="1" w:lastRow="0" w:firstColumn="0" w:lastColumn="0" w:noHBand="0" w:noVBand="0"/>
      </w:tblPr>
      <w:tblGrid>
        <w:gridCol w:w="3841"/>
        <w:gridCol w:w="3206"/>
        <w:gridCol w:w="1743"/>
        <w:gridCol w:w="860"/>
      </w:tblGrid>
      <w:tr w:rsidR="009D368A" w:rsidRPr="009D368A" w14:paraId="596F277B" w14:textId="77777777" w:rsidTr="004E567A">
        <w:trPr>
          <w:trHeight w:val="363"/>
        </w:trPr>
        <w:tc>
          <w:tcPr>
            <w:tcW w:w="0" w:type="auto"/>
          </w:tcPr>
          <w:p w14:paraId="01CFABF2" w14:textId="77777777" w:rsidR="009D368A" w:rsidRPr="009D368A" w:rsidRDefault="009D368A" w:rsidP="009D368A">
            <w:pPr>
              <w:pStyle w:val="NoSpacing"/>
              <w:rPr>
                <w:rFonts w:cstheme="minorHAnsi"/>
              </w:rPr>
            </w:pPr>
            <w:r w:rsidRPr="009D368A">
              <w:rPr>
                <w:rFonts w:cstheme="minorHAnsi"/>
              </w:rPr>
              <w:t>Cognitive tests</w:t>
            </w:r>
          </w:p>
        </w:tc>
        <w:tc>
          <w:tcPr>
            <w:tcW w:w="0" w:type="auto"/>
          </w:tcPr>
          <w:p w14:paraId="170411D2" w14:textId="77777777" w:rsidR="009D368A" w:rsidRPr="009D368A" w:rsidRDefault="009D368A" w:rsidP="009D368A">
            <w:pPr>
              <w:pStyle w:val="NoSpacing"/>
              <w:rPr>
                <w:rFonts w:cstheme="minorHAnsi"/>
              </w:rPr>
            </w:pPr>
            <w:r w:rsidRPr="009D368A">
              <w:rPr>
                <w:rFonts w:cstheme="minorHAnsi"/>
              </w:rPr>
              <w:t>Cognitive domain</w:t>
            </w:r>
          </w:p>
        </w:tc>
        <w:tc>
          <w:tcPr>
            <w:tcW w:w="0" w:type="auto"/>
          </w:tcPr>
          <w:p w14:paraId="122C73E5" w14:textId="77777777" w:rsidR="009D368A" w:rsidRPr="009D368A" w:rsidRDefault="009D368A" w:rsidP="009D368A">
            <w:pPr>
              <w:pStyle w:val="NoSpacing"/>
              <w:rPr>
                <w:rFonts w:cstheme="minorHAnsi"/>
              </w:rPr>
            </w:pPr>
            <w:r w:rsidRPr="009D368A">
              <w:rPr>
                <w:rFonts w:cstheme="minorHAnsi"/>
              </w:rPr>
              <w:t>Score, mean (SD)</w:t>
            </w:r>
          </w:p>
        </w:tc>
        <w:tc>
          <w:tcPr>
            <w:tcW w:w="0" w:type="auto"/>
          </w:tcPr>
          <w:p w14:paraId="4E66D110" w14:textId="77777777" w:rsidR="009D368A" w:rsidRPr="009D368A" w:rsidRDefault="009D368A" w:rsidP="009D368A">
            <w:pPr>
              <w:pStyle w:val="NoSpacing"/>
              <w:rPr>
                <w:rFonts w:cstheme="minorHAnsi"/>
              </w:rPr>
            </w:pPr>
            <w:r w:rsidRPr="009D368A">
              <w:rPr>
                <w:rFonts w:cstheme="minorHAnsi"/>
                <w:i/>
                <w:iCs/>
              </w:rPr>
              <w:t xml:space="preserve">p </w:t>
            </w:r>
            <w:r w:rsidRPr="009D368A">
              <w:rPr>
                <w:rFonts w:cstheme="minorHAnsi"/>
              </w:rPr>
              <w:t>value</w:t>
            </w:r>
          </w:p>
        </w:tc>
      </w:tr>
      <w:tr w:rsidR="009D368A" w:rsidRPr="009D368A" w14:paraId="0B07C6F1" w14:textId="77777777" w:rsidTr="004E567A">
        <w:trPr>
          <w:trHeight w:val="327"/>
        </w:trPr>
        <w:tc>
          <w:tcPr>
            <w:tcW w:w="0" w:type="auto"/>
          </w:tcPr>
          <w:p w14:paraId="184A7D44" w14:textId="77777777" w:rsidR="009D368A" w:rsidRPr="009D368A" w:rsidRDefault="009D368A" w:rsidP="009D368A">
            <w:pPr>
              <w:pStyle w:val="NoSpacing"/>
              <w:rPr>
                <w:rFonts w:cstheme="minorHAnsi"/>
              </w:rPr>
            </w:pPr>
            <w:r w:rsidRPr="009D368A">
              <w:rPr>
                <w:rFonts w:cstheme="minorHAnsi"/>
              </w:rPr>
              <w:t>Picture vocabulary</w:t>
            </w:r>
          </w:p>
        </w:tc>
        <w:tc>
          <w:tcPr>
            <w:tcW w:w="0" w:type="auto"/>
          </w:tcPr>
          <w:p w14:paraId="7CB45C89" w14:textId="77777777" w:rsidR="009D368A" w:rsidRPr="009D368A" w:rsidRDefault="009D368A" w:rsidP="009D368A">
            <w:pPr>
              <w:pStyle w:val="NoSpacing"/>
              <w:rPr>
                <w:rFonts w:cstheme="minorHAnsi"/>
              </w:rPr>
            </w:pPr>
            <w:r w:rsidRPr="009D368A">
              <w:rPr>
                <w:rFonts w:cstheme="minorHAnsi"/>
              </w:rPr>
              <w:t>Language</w:t>
            </w:r>
          </w:p>
        </w:tc>
        <w:tc>
          <w:tcPr>
            <w:tcW w:w="0" w:type="auto"/>
          </w:tcPr>
          <w:p w14:paraId="2E4EF4DF" w14:textId="77777777" w:rsidR="009D368A" w:rsidRPr="009D368A" w:rsidRDefault="009D368A" w:rsidP="009D368A">
            <w:pPr>
              <w:pStyle w:val="NoSpacing"/>
              <w:rPr>
                <w:rFonts w:cstheme="minorHAnsi"/>
              </w:rPr>
            </w:pPr>
            <w:r w:rsidRPr="009D368A">
              <w:rPr>
                <w:rFonts w:cstheme="minorHAnsi"/>
              </w:rPr>
              <w:t>97.7 (12.6)</w:t>
            </w:r>
          </w:p>
        </w:tc>
        <w:tc>
          <w:tcPr>
            <w:tcW w:w="0" w:type="auto"/>
          </w:tcPr>
          <w:p w14:paraId="2614E7A7" w14:textId="77777777" w:rsidR="009D368A" w:rsidRPr="009D368A" w:rsidRDefault="009D368A" w:rsidP="009D368A">
            <w:pPr>
              <w:pStyle w:val="NoSpacing"/>
              <w:rPr>
                <w:rFonts w:cstheme="minorHAnsi"/>
              </w:rPr>
            </w:pPr>
            <w:r w:rsidRPr="009D368A">
              <w:rPr>
                <w:rFonts w:cstheme="minorHAnsi"/>
              </w:rPr>
              <w:t>0.20</w:t>
            </w:r>
          </w:p>
        </w:tc>
      </w:tr>
      <w:tr w:rsidR="009D368A" w:rsidRPr="009D368A" w14:paraId="6104E310" w14:textId="77777777" w:rsidTr="004E567A">
        <w:trPr>
          <w:trHeight w:val="204"/>
        </w:trPr>
        <w:tc>
          <w:tcPr>
            <w:tcW w:w="0" w:type="auto"/>
          </w:tcPr>
          <w:p w14:paraId="4467B3CA" w14:textId="77777777" w:rsidR="009D368A" w:rsidRPr="009D368A" w:rsidRDefault="009D368A" w:rsidP="009D368A">
            <w:pPr>
              <w:pStyle w:val="NoSpacing"/>
              <w:rPr>
                <w:rFonts w:cstheme="minorHAnsi"/>
              </w:rPr>
            </w:pPr>
            <w:r w:rsidRPr="009D368A">
              <w:rPr>
                <w:rFonts w:cstheme="minorHAnsi"/>
              </w:rPr>
              <w:t>Oral reading</w:t>
            </w:r>
          </w:p>
        </w:tc>
        <w:tc>
          <w:tcPr>
            <w:tcW w:w="0" w:type="auto"/>
          </w:tcPr>
          <w:p w14:paraId="5969149D" w14:textId="77777777" w:rsidR="009D368A" w:rsidRPr="009D368A" w:rsidRDefault="009D368A" w:rsidP="009D368A">
            <w:pPr>
              <w:pStyle w:val="NoSpacing"/>
              <w:rPr>
                <w:rFonts w:cstheme="minorHAnsi"/>
              </w:rPr>
            </w:pPr>
            <w:r w:rsidRPr="009D368A">
              <w:rPr>
                <w:rFonts w:cstheme="minorHAnsi"/>
              </w:rPr>
              <w:t>Language</w:t>
            </w:r>
          </w:p>
        </w:tc>
        <w:tc>
          <w:tcPr>
            <w:tcW w:w="0" w:type="auto"/>
          </w:tcPr>
          <w:p w14:paraId="2F48A8C6" w14:textId="77777777" w:rsidR="009D368A" w:rsidRPr="009D368A" w:rsidRDefault="009D368A" w:rsidP="009D368A">
            <w:pPr>
              <w:pStyle w:val="NoSpacing"/>
              <w:rPr>
                <w:rFonts w:cstheme="minorHAnsi"/>
              </w:rPr>
            </w:pPr>
            <w:r w:rsidRPr="009D368A">
              <w:rPr>
                <w:rFonts w:cstheme="minorHAnsi"/>
              </w:rPr>
              <w:t>99.9 (15.0)</w:t>
            </w:r>
          </w:p>
        </w:tc>
        <w:tc>
          <w:tcPr>
            <w:tcW w:w="0" w:type="auto"/>
          </w:tcPr>
          <w:p w14:paraId="117F7053" w14:textId="77777777" w:rsidR="009D368A" w:rsidRPr="009D368A" w:rsidRDefault="009D368A" w:rsidP="009D368A">
            <w:pPr>
              <w:pStyle w:val="NoSpacing"/>
              <w:rPr>
                <w:rFonts w:cstheme="minorHAnsi"/>
              </w:rPr>
            </w:pPr>
            <w:r w:rsidRPr="009D368A">
              <w:rPr>
                <w:rFonts w:cstheme="minorHAnsi"/>
              </w:rPr>
              <w:t>0.49</w:t>
            </w:r>
          </w:p>
        </w:tc>
      </w:tr>
      <w:tr w:rsidR="009D368A" w:rsidRPr="009D368A" w14:paraId="34F5F3C9" w14:textId="77777777" w:rsidTr="004E567A">
        <w:trPr>
          <w:trHeight w:val="218"/>
        </w:trPr>
        <w:tc>
          <w:tcPr>
            <w:tcW w:w="0" w:type="auto"/>
          </w:tcPr>
          <w:p w14:paraId="1387BE86" w14:textId="77777777" w:rsidR="009D368A" w:rsidRPr="009D368A" w:rsidRDefault="009D368A" w:rsidP="009D368A">
            <w:pPr>
              <w:pStyle w:val="NoSpacing"/>
              <w:rPr>
                <w:rFonts w:cstheme="minorHAnsi"/>
                <w:position w:val="7"/>
              </w:rPr>
            </w:pPr>
            <w:r w:rsidRPr="009D368A">
              <w:rPr>
                <w:rFonts w:cstheme="minorHAnsi"/>
              </w:rPr>
              <w:t>Crystallized cognition composite</w:t>
            </w:r>
            <w:r w:rsidRPr="009D368A">
              <w:rPr>
                <w:rFonts w:cstheme="minorHAnsi"/>
                <w:position w:val="7"/>
              </w:rPr>
              <w:t>a</w:t>
            </w:r>
          </w:p>
        </w:tc>
        <w:tc>
          <w:tcPr>
            <w:tcW w:w="0" w:type="auto"/>
          </w:tcPr>
          <w:p w14:paraId="59A4C8C2" w14:textId="77777777" w:rsidR="009D368A" w:rsidRPr="009D368A" w:rsidRDefault="009D368A" w:rsidP="009D368A">
            <w:pPr>
              <w:pStyle w:val="NoSpacing"/>
              <w:rPr>
                <w:rFonts w:cstheme="minorHAnsi"/>
              </w:rPr>
            </w:pPr>
            <w:r w:rsidRPr="009D368A">
              <w:rPr>
                <w:rFonts w:cstheme="minorHAnsi"/>
              </w:rPr>
              <w:t>N/A</w:t>
            </w:r>
          </w:p>
        </w:tc>
        <w:tc>
          <w:tcPr>
            <w:tcW w:w="0" w:type="auto"/>
          </w:tcPr>
          <w:p w14:paraId="21B6AF84" w14:textId="77777777" w:rsidR="009D368A" w:rsidRPr="009D368A" w:rsidRDefault="009D368A" w:rsidP="009D368A">
            <w:pPr>
              <w:pStyle w:val="NoSpacing"/>
              <w:rPr>
                <w:rFonts w:cstheme="minorHAnsi"/>
              </w:rPr>
            </w:pPr>
            <w:r w:rsidRPr="009D368A">
              <w:rPr>
                <w:rFonts w:cstheme="minorHAnsi"/>
              </w:rPr>
              <w:t>99.1 (14.5)</w:t>
            </w:r>
          </w:p>
        </w:tc>
        <w:tc>
          <w:tcPr>
            <w:tcW w:w="0" w:type="auto"/>
          </w:tcPr>
          <w:p w14:paraId="78782A26" w14:textId="77777777" w:rsidR="009D368A" w:rsidRPr="009D368A" w:rsidRDefault="009D368A" w:rsidP="009D368A">
            <w:pPr>
              <w:pStyle w:val="NoSpacing"/>
              <w:rPr>
                <w:rFonts w:cstheme="minorHAnsi"/>
              </w:rPr>
            </w:pPr>
            <w:r w:rsidRPr="009D368A">
              <w:rPr>
                <w:rFonts w:cstheme="minorHAnsi"/>
              </w:rPr>
              <w:t>0.39</w:t>
            </w:r>
          </w:p>
        </w:tc>
      </w:tr>
      <w:tr w:rsidR="009D368A" w:rsidRPr="009D368A" w14:paraId="06698A24" w14:textId="77777777" w:rsidTr="004E567A">
        <w:trPr>
          <w:trHeight w:val="211"/>
        </w:trPr>
        <w:tc>
          <w:tcPr>
            <w:tcW w:w="0" w:type="auto"/>
          </w:tcPr>
          <w:p w14:paraId="5A9622C9" w14:textId="77777777" w:rsidR="009D368A" w:rsidRPr="009D368A" w:rsidRDefault="009D368A" w:rsidP="009D368A">
            <w:pPr>
              <w:pStyle w:val="NoSpacing"/>
              <w:rPr>
                <w:rFonts w:cstheme="minorHAnsi"/>
                <w:b/>
                <w:bCs/>
              </w:rPr>
            </w:pPr>
            <w:r w:rsidRPr="009D368A">
              <w:rPr>
                <w:rFonts w:cstheme="minorHAnsi"/>
                <w:b/>
                <w:bCs/>
              </w:rPr>
              <w:t>Flanker inhibitory control and attention</w:t>
            </w:r>
          </w:p>
        </w:tc>
        <w:tc>
          <w:tcPr>
            <w:tcW w:w="0" w:type="auto"/>
          </w:tcPr>
          <w:p w14:paraId="4CC15EC6" w14:textId="77777777" w:rsidR="009D368A" w:rsidRPr="009D368A" w:rsidRDefault="009D368A" w:rsidP="009D368A">
            <w:pPr>
              <w:pStyle w:val="NoSpacing"/>
              <w:rPr>
                <w:rFonts w:cstheme="minorHAnsi"/>
                <w:b/>
                <w:bCs/>
              </w:rPr>
            </w:pPr>
            <w:r w:rsidRPr="009D368A">
              <w:rPr>
                <w:rFonts w:cstheme="minorHAnsi"/>
                <w:b/>
                <w:bCs/>
              </w:rPr>
              <w:t>Executive function and attention</w:t>
            </w:r>
          </w:p>
        </w:tc>
        <w:tc>
          <w:tcPr>
            <w:tcW w:w="0" w:type="auto"/>
          </w:tcPr>
          <w:p w14:paraId="315D9F08" w14:textId="77777777" w:rsidR="009D368A" w:rsidRPr="009D368A" w:rsidRDefault="009D368A" w:rsidP="009D368A">
            <w:pPr>
              <w:pStyle w:val="NoSpacing"/>
              <w:rPr>
                <w:rFonts w:cstheme="minorHAnsi"/>
                <w:b/>
                <w:bCs/>
              </w:rPr>
            </w:pPr>
            <w:r w:rsidRPr="009D368A">
              <w:rPr>
                <w:rFonts w:cstheme="minorHAnsi"/>
                <w:b/>
                <w:bCs/>
              </w:rPr>
              <w:t>84.3 (10.1)</w:t>
            </w:r>
          </w:p>
        </w:tc>
        <w:tc>
          <w:tcPr>
            <w:tcW w:w="0" w:type="auto"/>
          </w:tcPr>
          <w:p w14:paraId="6FAACC39" w14:textId="77777777" w:rsidR="009D368A" w:rsidRPr="009D368A" w:rsidRDefault="009D368A" w:rsidP="009D368A">
            <w:pPr>
              <w:pStyle w:val="NoSpacing"/>
              <w:rPr>
                <w:rFonts w:cstheme="minorHAnsi"/>
                <w:b/>
                <w:bCs/>
              </w:rPr>
            </w:pPr>
            <w:r w:rsidRPr="009D368A">
              <w:rPr>
                <w:rFonts w:cstheme="minorHAnsi"/>
                <w:b/>
                <w:bCs/>
              </w:rPr>
              <w:t>&lt;0.01</w:t>
            </w:r>
          </w:p>
        </w:tc>
      </w:tr>
      <w:tr w:rsidR="009D368A" w:rsidRPr="009D368A" w14:paraId="6C591201" w14:textId="77777777" w:rsidTr="004E567A">
        <w:trPr>
          <w:trHeight w:val="211"/>
        </w:trPr>
        <w:tc>
          <w:tcPr>
            <w:tcW w:w="0" w:type="auto"/>
          </w:tcPr>
          <w:p w14:paraId="19E53C0E" w14:textId="77777777" w:rsidR="009D368A" w:rsidRPr="009D368A" w:rsidRDefault="009D368A" w:rsidP="009D368A">
            <w:pPr>
              <w:pStyle w:val="NoSpacing"/>
              <w:rPr>
                <w:rFonts w:cstheme="minorHAnsi"/>
              </w:rPr>
            </w:pPr>
            <w:r w:rsidRPr="009D368A">
              <w:rPr>
                <w:rFonts w:cstheme="minorHAnsi"/>
              </w:rPr>
              <w:t>List sorting</w:t>
            </w:r>
          </w:p>
        </w:tc>
        <w:tc>
          <w:tcPr>
            <w:tcW w:w="0" w:type="auto"/>
          </w:tcPr>
          <w:p w14:paraId="0A3DA8AD" w14:textId="77777777" w:rsidR="009D368A" w:rsidRPr="009D368A" w:rsidRDefault="009D368A" w:rsidP="009D368A">
            <w:pPr>
              <w:pStyle w:val="NoSpacing"/>
              <w:rPr>
                <w:rFonts w:cstheme="minorHAnsi"/>
              </w:rPr>
            </w:pPr>
            <w:r w:rsidRPr="009D368A">
              <w:rPr>
                <w:rFonts w:cstheme="minorHAnsi"/>
              </w:rPr>
              <w:t>Working memory</w:t>
            </w:r>
          </w:p>
        </w:tc>
        <w:tc>
          <w:tcPr>
            <w:tcW w:w="0" w:type="auto"/>
          </w:tcPr>
          <w:p w14:paraId="7A7CA22D" w14:textId="77777777" w:rsidR="009D368A" w:rsidRPr="009D368A" w:rsidRDefault="009D368A" w:rsidP="009D368A">
            <w:pPr>
              <w:pStyle w:val="NoSpacing"/>
              <w:rPr>
                <w:rFonts w:cstheme="minorHAnsi"/>
              </w:rPr>
            </w:pPr>
            <w:r w:rsidRPr="009D368A">
              <w:rPr>
                <w:rFonts w:cstheme="minorHAnsi"/>
              </w:rPr>
              <w:t>96.3 (12.4)</w:t>
            </w:r>
          </w:p>
        </w:tc>
        <w:tc>
          <w:tcPr>
            <w:tcW w:w="0" w:type="auto"/>
          </w:tcPr>
          <w:p w14:paraId="1A66946E" w14:textId="77777777" w:rsidR="009D368A" w:rsidRPr="009D368A" w:rsidRDefault="009D368A" w:rsidP="009D368A">
            <w:pPr>
              <w:pStyle w:val="NoSpacing"/>
              <w:rPr>
                <w:rFonts w:cstheme="minorHAnsi"/>
              </w:rPr>
            </w:pPr>
            <w:r w:rsidRPr="009D368A">
              <w:rPr>
                <w:rFonts w:cstheme="minorHAnsi"/>
              </w:rPr>
              <w:t>0.09</w:t>
            </w:r>
          </w:p>
        </w:tc>
      </w:tr>
      <w:tr w:rsidR="009D368A" w:rsidRPr="009D368A" w14:paraId="4E2ED5ED" w14:textId="77777777" w:rsidTr="004E567A">
        <w:trPr>
          <w:trHeight w:val="211"/>
        </w:trPr>
        <w:tc>
          <w:tcPr>
            <w:tcW w:w="0" w:type="auto"/>
          </w:tcPr>
          <w:p w14:paraId="3014AC98" w14:textId="77777777" w:rsidR="009D368A" w:rsidRPr="009D368A" w:rsidRDefault="009D368A" w:rsidP="009D368A">
            <w:pPr>
              <w:pStyle w:val="NoSpacing"/>
              <w:rPr>
                <w:rFonts w:cstheme="minorHAnsi"/>
              </w:rPr>
            </w:pPr>
            <w:r w:rsidRPr="009D368A">
              <w:rPr>
                <w:rFonts w:cstheme="minorHAnsi"/>
              </w:rPr>
              <w:t>Dimensional change card sort</w:t>
            </w:r>
          </w:p>
        </w:tc>
        <w:tc>
          <w:tcPr>
            <w:tcW w:w="0" w:type="auto"/>
          </w:tcPr>
          <w:p w14:paraId="242E235B" w14:textId="77777777" w:rsidR="009D368A" w:rsidRPr="009D368A" w:rsidRDefault="009D368A" w:rsidP="009D368A">
            <w:pPr>
              <w:pStyle w:val="NoSpacing"/>
              <w:rPr>
                <w:rFonts w:cstheme="minorHAnsi"/>
              </w:rPr>
            </w:pPr>
            <w:r w:rsidRPr="009D368A">
              <w:rPr>
                <w:rFonts w:cstheme="minorHAnsi"/>
              </w:rPr>
              <w:t>Executive function</w:t>
            </w:r>
          </w:p>
        </w:tc>
        <w:tc>
          <w:tcPr>
            <w:tcW w:w="0" w:type="auto"/>
          </w:tcPr>
          <w:p w14:paraId="190F0F43" w14:textId="77777777" w:rsidR="009D368A" w:rsidRPr="009D368A" w:rsidRDefault="009D368A" w:rsidP="009D368A">
            <w:pPr>
              <w:pStyle w:val="NoSpacing"/>
              <w:rPr>
                <w:rFonts w:cstheme="minorHAnsi"/>
              </w:rPr>
            </w:pPr>
            <w:r w:rsidRPr="009D368A">
              <w:rPr>
                <w:rFonts w:cstheme="minorHAnsi"/>
              </w:rPr>
              <w:t>96.7 (15.0)</w:t>
            </w:r>
          </w:p>
        </w:tc>
        <w:tc>
          <w:tcPr>
            <w:tcW w:w="0" w:type="auto"/>
          </w:tcPr>
          <w:p w14:paraId="71C92F77" w14:textId="77777777" w:rsidR="009D368A" w:rsidRPr="009D368A" w:rsidRDefault="009D368A" w:rsidP="009D368A">
            <w:pPr>
              <w:pStyle w:val="NoSpacing"/>
              <w:rPr>
                <w:rFonts w:cstheme="minorHAnsi"/>
              </w:rPr>
            </w:pPr>
            <w:r w:rsidRPr="009D368A">
              <w:rPr>
                <w:rFonts w:cstheme="minorHAnsi"/>
              </w:rPr>
              <w:t>0.15</w:t>
            </w:r>
          </w:p>
        </w:tc>
      </w:tr>
      <w:tr w:rsidR="009D368A" w:rsidRPr="009D368A" w14:paraId="5DCEEDA8" w14:textId="77777777" w:rsidTr="004E567A">
        <w:trPr>
          <w:trHeight w:val="211"/>
        </w:trPr>
        <w:tc>
          <w:tcPr>
            <w:tcW w:w="0" w:type="auto"/>
          </w:tcPr>
          <w:p w14:paraId="75D1BBF0" w14:textId="77777777" w:rsidR="009D368A" w:rsidRPr="009D368A" w:rsidRDefault="009D368A" w:rsidP="009D368A">
            <w:pPr>
              <w:pStyle w:val="NoSpacing"/>
              <w:rPr>
                <w:rFonts w:cstheme="minorHAnsi"/>
                <w:b/>
                <w:bCs/>
              </w:rPr>
            </w:pPr>
            <w:r w:rsidRPr="009D368A">
              <w:rPr>
                <w:rFonts w:cstheme="minorHAnsi"/>
                <w:b/>
                <w:bCs/>
              </w:rPr>
              <w:t>Pattern comparison processing speed</w:t>
            </w:r>
          </w:p>
        </w:tc>
        <w:tc>
          <w:tcPr>
            <w:tcW w:w="0" w:type="auto"/>
          </w:tcPr>
          <w:p w14:paraId="0A23D409" w14:textId="77777777" w:rsidR="009D368A" w:rsidRPr="009D368A" w:rsidRDefault="009D368A" w:rsidP="009D368A">
            <w:pPr>
              <w:pStyle w:val="NoSpacing"/>
              <w:rPr>
                <w:rFonts w:cstheme="minorHAnsi"/>
                <w:b/>
                <w:bCs/>
              </w:rPr>
            </w:pPr>
            <w:r w:rsidRPr="009D368A">
              <w:rPr>
                <w:rFonts w:cstheme="minorHAnsi"/>
                <w:b/>
                <w:bCs/>
              </w:rPr>
              <w:t>Processing speed</w:t>
            </w:r>
          </w:p>
        </w:tc>
        <w:tc>
          <w:tcPr>
            <w:tcW w:w="0" w:type="auto"/>
          </w:tcPr>
          <w:p w14:paraId="1B8A1BD6" w14:textId="77777777" w:rsidR="009D368A" w:rsidRPr="009D368A" w:rsidRDefault="009D368A" w:rsidP="009D368A">
            <w:pPr>
              <w:pStyle w:val="NoSpacing"/>
              <w:rPr>
                <w:rFonts w:cstheme="minorHAnsi"/>
                <w:b/>
                <w:bCs/>
              </w:rPr>
            </w:pPr>
            <w:r w:rsidRPr="009D368A">
              <w:rPr>
                <w:rFonts w:cstheme="minorHAnsi"/>
                <w:b/>
                <w:bCs/>
              </w:rPr>
              <w:t>83.1 (16.1)</w:t>
            </w:r>
          </w:p>
        </w:tc>
        <w:tc>
          <w:tcPr>
            <w:tcW w:w="0" w:type="auto"/>
          </w:tcPr>
          <w:p w14:paraId="1C5AADEC" w14:textId="77777777" w:rsidR="009D368A" w:rsidRPr="009D368A" w:rsidRDefault="009D368A" w:rsidP="009D368A">
            <w:pPr>
              <w:pStyle w:val="NoSpacing"/>
              <w:rPr>
                <w:rFonts w:cstheme="minorHAnsi"/>
                <w:b/>
                <w:bCs/>
              </w:rPr>
            </w:pPr>
            <w:r w:rsidRPr="009D368A">
              <w:rPr>
                <w:rFonts w:cstheme="minorHAnsi"/>
                <w:b/>
                <w:bCs/>
              </w:rPr>
              <w:t>&lt;0.01</w:t>
            </w:r>
          </w:p>
        </w:tc>
      </w:tr>
      <w:tr w:rsidR="009D368A" w:rsidRPr="009D368A" w14:paraId="12FE76C5" w14:textId="77777777" w:rsidTr="004E567A">
        <w:trPr>
          <w:trHeight w:val="211"/>
        </w:trPr>
        <w:tc>
          <w:tcPr>
            <w:tcW w:w="0" w:type="auto"/>
          </w:tcPr>
          <w:p w14:paraId="66802557" w14:textId="77777777" w:rsidR="009D368A" w:rsidRPr="009D368A" w:rsidRDefault="009D368A" w:rsidP="009D368A">
            <w:pPr>
              <w:pStyle w:val="NoSpacing"/>
              <w:rPr>
                <w:rFonts w:cstheme="minorHAnsi"/>
              </w:rPr>
            </w:pPr>
            <w:r w:rsidRPr="009D368A">
              <w:rPr>
                <w:rFonts w:cstheme="minorHAnsi"/>
              </w:rPr>
              <w:t>Picture sequence memory</w:t>
            </w:r>
          </w:p>
        </w:tc>
        <w:tc>
          <w:tcPr>
            <w:tcW w:w="0" w:type="auto"/>
          </w:tcPr>
          <w:p w14:paraId="5D25563E" w14:textId="77777777" w:rsidR="009D368A" w:rsidRPr="009D368A" w:rsidRDefault="009D368A" w:rsidP="009D368A">
            <w:pPr>
              <w:pStyle w:val="NoSpacing"/>
              <w:rPr>
                <w:rFonts w:cstheme="minorHAnsi"/>
              </w:rPr>
            </w:pPr>
            <w:r w:rsidRPr="009D368A">
              <w:rPr>
                <w:rFonts w:cstheme="minorHAnsi"/>
              </w:rPr>
              <w:t>Episodic memory</w:t>
            </w:r>
          </w:p>
        </w:tc>
        <w:tc>
          <w:tcPr>
            <w:tcW w:w="0" w:type="auto"/>
          </w:tcPr>
          <w:p w14:paraId="7C6A67FB" w14:textId="77777777" w:rsidR="009D368A" w:rsidRPr="009D368A" w:rsidRDefault="009D368A" w:rsidP="009D368A">
            <w:pPr>
              <w:pStyle w:val="NoSpacing"/>
              <w:rPr>
                <w:rFonts w:cstheme="minorHAnsi"/>
              </w:rPr>
            </w:pPr>
            <w:r w:rsidRPr="009D368A">
              <w:rPr>
                <w:rFonts w:cstheme="minorHAnsi"/>
              </w:rPr>
              <w:t>95.4 (15.0)</w:t>
            </w:r>
          </w:p>
        </w:tc>
        <w:tc>
          <w:tcPr>
            <w:tcW w:w="0" w:type="auto"/>
          </w:tcPr>
          <w:p w14:paraId="1923F1C3" w14:textId="77777777" w:rsidR="009D368A" w:rsidRPr="009D368A" w:rsidRDefault="009D368A" w:rsidP="009D368A">
            <w:pPr>
              <w:pStyle w:val="NoSpacing"/>
              <w:rPr>
                <w:rFonts w:cstheme="minorHAnsi"/>
              </w:rPr>
            </w:pPr>
            <w:r w:rsidRPr="009D368A">
              <w:rPr>
                <w:rFonts w:cstheme="minorHAnsi"/>
              </w:rPr>
              <w:t>0.08</w:t>
            </w:r>
          </w:p>
        </w:tc>
      </w:tr>
      <w:tr w:rsidR="009D368A" w:rsidRPr="009D368A" w14:paraId="3C82DE2D" w14:textId="77777777" w:rsidTr="004E567A">
        <w:trPr>
          <w:trHeight w:val="211"/>
        </w:trPr>
        <w:tc>
          <w:tcPr>
            <w:tcW w:w="0" w:type="auto"/>
          </w:tcPr>
          <w:p w14:paraId="471F2E7F" w14:textId="77777777" w:rsidR="009D368A" w:rsidRPr="009D368A" w:rsidRDefault="009D368A" w:rsidP="009D368A">
            <w:pPr>
              <w:pStyle w:val="NoSpacing"/>
              <w:rPr>
                <w:rFonts w:cstheme="minorHAnsi"/>
                <w:b/>
                <w:bCs/>
              </w:rPr>
            </w:pPr>
            <w:r w:rsidRPr="009D368A">
              <w:rPr>
                <w:rFonts w:cstheme="minorHAnsi"/>
                <w:b/>
                <w:bCs/>
              </w:rPr>
              <w:t xml:space="preserve">Fluid cognition </w:t>
            </w:r>
            <w:proofErr w:type="spellStart"/>
            <w:r w:rsidRPr="009D368A">
              <w:rPr>
                <w:rFonts w:cstheme="minorHAnsi"/>
                <w:b/>
                <w:bCs/>
              </w:rPr>
              <w:t>compositea</w:t>
            </w:r>
            <w:proofErr w:type="spellEnd"/>
          </w:p>
        </w:tc>
        <w:tc>
          <w:tcPr>
            <w:tcW w:w="0" w:type="auto"/>
          </w:tcPr>
          <w:p w14:paraId="12478A31" w14:textId="77777777" w:rsidR="009D368A" w:rsidRPr="009D368A" w:rsidRDefault="009D368A" w:rsidP="009D368A">
            <w:pPr>
              <w:pStyle w:val="NoSpacing"/>
              <w:rPr>
                <w:rFonts w:cstheme="minorHAnsi"/>
                <w:b/>
                <w:bCs/>
              </w:rPr>
            </w:pPr>
            <w:r w:rsidRPr="009D368A">
              <w:rPr>
                <w:rFonts w:cstheme="minorHAnsi"/>
                <w:b/>
                <w:bCs/>
              </w:rPr>
              <w:t>N/A</w:t>
            </w:r>
          </w:p>
        </w:tc>
        <w:tc>
          <w:tcPr>
            <w:tcW w:w="0" w:type="auto"/>
          </w:tcPr>
          <w:p w14:paraId="5D8D3B49" w14:textId="77777777" w:rsidR="009D368A" w:rsidRPr="009D368A" w:rsidRDefault="009D368A" w:rsidP="009D368A">
            <w:pPr>
              <w:pStyle w:val="NoSpacing"/>
              <w:rPr>
                <w:rFonts w:cstheme="minorHAnsi"/>
                <w:b/>
                <w:bCs/>
              </w:rPr>
            </w:pPr>
            <w:r w:rsidRPr="009D368A">
              <w:rPr>
                <w:rFonts w:cstheme="minorHAnsi"/>
                <w:b/>
                <w:bCs/>
              </w:rPr>
              <w:t>86.9 (14.3)</w:t>
            </w:r>
          </w:p>
        </w:tc>
        <w:tc>
          <w:tcPr>
            <w:tcW w:w="0" w:type="auto"/>
          </w:tcPr>
          <w:p w14:paraId="0E285649" w14:textId="77777777" w:rsidR="009D368A" w:rsidRPr="009D368A" w:rsidRDefault="009D368A" w:rsidP="009D368A">
            <w:pPr>
              <w:pStyle w:val="NoSpacing"/>
              <w:rPr>
                <w:rFonts w:cstheme="minorHAnsi"/>
                <w:b/>
                <w:bCs/>
              </w:rPr>
            </w:pPr>
            <w:r w:rsidRPr="009D368A">
              <w:rPr>
                <w:rFonts w:cstheme="minorHAnsi"/>
                <w:b/>
                <w:bCs/>
              </w:rPr>
              <w:t>&lt;0.01</w:t>
            </w:r>
          </w:p>
        </w:tc>
      </w:tr>
      <w:tr w:rsidR="009D368A" w:rsidRPr="009D368A" w14:paraId="6E711DD9" w14:textId="77777777" w:rsidTr="004E567A">
        <w:trPr>
          <w:trHeight w:val="227"/>
        </w:trPr>
        <w:tc>
          <w:tcPr>
            <w:tcW w:w="0" w:type="auto"/>
          </w:tcPr>
          <w:p w14:paraId="03922BE8" w14:textId="77777777" w:rsidR="009D368A" w:rsidRPr="009D368A" w:rsidRDefault="009D368A" w:rsidP="009D368A">
            <w:pPr>
              <w:pStyle w:val="NoSpacing"/>
              <w:rPr>
                <w:rFonts w:cstheme="minorHAnsi"/>
                <w:b/>
                <w:bCs/>
              </w:rPr>
            </w:pPr>
            <w:r w:rsidRPr="009D368A">
              <w:rPr>
                <w:rFonts w:cstheme="minorHAnsi"/>
                <w:b/>
                <w:bCs/>
              </w:rPr>
              <w:t>Total cognition composite</w:t>
            </w:r>
          </w:p>
        </w:tc>
        <w:tc>
          <w:tcPr>
            <w:tcW w:w="0" w:type="auto"/>
          </w:tcPr>
          <w:p w14:paraId="19AB28AB" w14:textId="77777777" w:rsidR="009D368A" w:rsidRPr="009D368A" w:rsidRDefault="009D368A" w:rsidP="009D368A">
            <w:pPr>
              <w:pStyle w:val="NoSpacing"/>
              <w:rPr>
                <w:rFonts w:cstheme="minorHAnsi"/>
                <w:b/>
                <w:bCs/>
              </w:rPr>
            </w:pPr>
            <w:r w:rsidRPr="009D368A">
              <w:rPr>
                <w:rFonts w:cstheme="minorHAnsi"/>
                <w:b/>
                <w:bCs/>
              </w:rPr>
              <w:t>N/A</w:t>
            </w:r>
          </w:p>
        </w:tc>
        <w:tc>
          <w:tcPr>
            <w:tcW w:w="0" w:type="auto"/>
          </w:tcPr>
          <w:p w14:paraId="5643E33D" w14:textId="77777777" w:rsidR="009D368A" w:rsidRPr="009D368A" w:rsidRDefault="009D368A" w:rsidP="009D368A">
            <w:pPr>
              <w:pStyle w:val="NoSpacing"/>
              <w:rPr>
                <w:rFonts w:cstheme="minorHAnsi"/>
                <w:b/>
                <w:bCs/>
              </w:rPr>
            </w:pPr>
            <w:r w:rsidRPr="009D368A">
              <w:rPr>
                <w:rFonts w:cstheme="minorHAnsi"/>
                <w:b/>
                <w:bCs/>
              </w:rPr>
              <w:t>92.4 (15.2)</w:t>
            </w:r>
          </w:p>
        </w:tc>
        <w:tc>
          <w:tcPr>
            <w:tcW w:w="0" w:type="auto"/>
          </w:tcPr>
          <w:p w14:paraId="05718111" w14:textId="77777777" w:rsidR="009D368A" w:rsidRPr="009D368A" w:rsidRDefault="009D368A" w:rsidP="009D368A">
            <w:pPr>
              <w:pStyle w:val="NoSpacing"/>
              <w:rPr>
                <w:rFonts w:cstheme="minorHAnsi"/>
                <w:b/>
                <w:bCs/>
              </w:rPr>
            </w:pPr>
            <w:r w:rsidRPr="009D368A">
              <w:rPr>
                <w:rFonts w:cstheme="minorHAnsi"/>
                <w:b/>
                <w:bCs/>
              </w:rPr>
              <w:t>0.02</w:t>
            </w:r>
          </w:p>
        </w:tc>
      </w:tr>
    </w:tbl>
    <w:p w14:paraId="5C9B3DB5" w14:textId="77777777" w:rsidR="00E04B34" w:rsidRPr="00981A4F" w:rsidRDefault="00E04B34" w:rsidP="00981A4F">
      <w:pPr>
        <w:rPr>
          <w:sz w:val="24"/>
          <w:szCs w:val="24"/>
        </w:rPr>
      </w:pPr>
    </w:p>
    <w:p w14:paraId="2438A176" w14:textId="77777777" w:rsidR="00981A4F" w:rsidRPr="00981A4F" w:rsidRDefault="00981A4F" w:rsidP="00E0712D">
      <w:pPr>
        <w:pStyle w:val="Heading2"/>
      </w:pPr>
      <w:bookmarkStart w:id="29" w:name="ID0E6BAC"/>
      <w:bookmarkEnd w:id="29"/>
      <w:r w:rsidRPr="00981A4F">
        <w:t>Cognitive Function and Cerebral Imaging Parameters in HD Cohort</w:t>
      </w:r>
    </w:p>
    <w:p w14:paraId="2B96F5C0" w14:textId="0B3FF600" w:rsidR="00981A4F" w:rsidRPr="00981A4F" w:rsidRDefault="00981A4F" w:rsidP="00981A4F">
      <w:pPr>
        <w:rPr>
          <w:sz w:val="24"/>
          <w:szCs w:val="24"/>
        </w:rPr>
      </w:pPr>
      <w:r w:rsidRPr="00981A4F">
        <w:rPr>
          <w:sz w:val="24"/>
          <w:szCs w:val="24"/>
        </w:rPr>
        <w:t xml:space="preserve">There were no associations between total gray white or total white matter and cognitive scores in the HD cohort. In evaluating the </w:t>
      </w:r>
      <w:proofErr w:type="spellStart"/>
      <w:r w:rsidRPr="00981A4F">
        <w:rPr>
          <w:sz w:val="24"/>
          <w:szCs w:val="24"/>
        </w:rPr>
        <w:t>tROI</w:t>
      </w:r>
      <w:proofErr w:type="spellEnd"/>
      <w:r w:rsidRPr="00981A4F">
        <w:rPr>
          <w:sz w:val="24"/>
          <w:szCs w:val="24"/>
        </w:rPr>
        <w:t xml:space="preserve"> FA values and cognitive function, there was a small, but statistically significant, positive relationship between microstructural integrity of the left superior longitudinal fasciculus and scores on the test of executive function and attention (</w:t>
      </w:r>
      <w:r w:rsidRPr="00981A4F">
        <w:rPr>
          <w:i/>
          <w:iCs/>
          <w:sz w:val="24"/>
          <w:szCs w:val="24"/>
        </w:rPr>
        <w:t>r</w:t>
      </w:r>
      <w:r w:rsidRPr="00981A4F">
        <w:rPr>
          <w:sz w:val="24"/>
          <w:szCs w:val="24"/>
          <w:vertAlign w:val="superscript"/>
        </w:rPr>
        <w:t>2</w:t>
      </w:r>
      <w:r w:rsidRPr="00981A4F">
        <w:rPr>
          <w:sz w:val="24"/>
          <w:szCs w:val="24"/>
        </w:rPr>
        <w:t> = 0.24, </w:t>
      </w:r>
      <w:r w:rsidRPr="00981A4F">
        <w:rPr>
          <w:i/>
          <w:iCs/>
          <w:sz w:val="24"/>
          <w:szCs w:val="24"/>
        </w:rPr>
        <w:t>p</w:t>
      </w:r>
      <w:r w:rsidRPr="00981A4F">
        <w:rPr>
          <w:sz w:val="24"/>
          <w:szCs w:val="24"/>
        </w:rPr>
        <w:t> = 0.02) and left inferior longitudinal fasciculus (</w:t>
      </w:r>
      <w:r w:rsidRPr="00981A4F">
        <w:rPr>
          <w:i/>
          <w:iCs/>
          <w:sz w:val="24"/>
          <w:szCs w:val="24"/>
        </w:rPr>
        <w:t>r</w:t>
      </w:r>
      <w:r w:rsidRPr="00981A4F">
        <w:rPr>
          <w:sz w:val="24"/>
          <w:szCs w:val="24"/>
          <w:vertAlign w:val="superscript"/>
        </w:rPr>
        <w:t>2</w:t>
      </w:r>
      <w:r w:rsidRPr="00981A4F">
        <w:rPr>
          <w:sz w:val="24"/>
          <w:szCs w:val="24"/>
        </w:rPr>
        <w:t> = 0.25 and </w:t>
      </w:r>
      <w:r w:rsidRPr="00981A4F">
        <w:rPr>
          <w:i/>
          <w:iCs/>
          <w:sz w:val="24"/>
          <w:szCs w:val="24"/>
        </w:rPr>
        <w:t>p</w:t>
      </w:r>
      <w:r w:rsidRPr="00981A4F">
        <w:rPr>
          <w:sz w:val="24"/>
          <w:szCs w:val="24"/>
        </w:rPr>
        <w:t> = 0.03) and right inferior longitudinal (</w:t>
      </w:r>
      <w:r w:rsidRPr="00981A4F">
        <w:rPr>
          <w:i/>
          <w:iCs/>
          <w:sz w:val="24"/>
          <w:szCs w:val="24"/>
        </w:rPr>
        <w:t>r</w:t>
      </w:r>
      <w:r w:rsidRPr="00981A4F">
        <w:rPr>
          <w:sz w:val="24"/>
          <w:szCs w:val="24"/>
          <w:vertAlign w:val="superscript"/>
        </w:rPr>
        <w:t>2</w:t>
      </w:r>
      <w:r w:rsidRPr="00981A4F">
        <w:rPr>
          <w:sz w:val="24"/>
          <w:szCs w:val="24"/>
        </w:rPr>
        <w:t> = 0.21 and </w:t>
      </w:r>
      <w:r w:rsidRPr="00981A4F">
        <w:rPr>
          <w:i/>
          <w:iCs/>
          <w:sz w:val="24"/>
          <w:szCs w:val="24"/>
        </w:rPr>
        <w:t>p</w:t>
      </w:r>
      <w:r w:rsidRPr="00981A4F">
        <w:rPr>
          <w:sz w:val="24"/>
          <w:szCs w:val="24"/>
        </w:rPr>
        <w:t> = 0.03) with tests of memory, as shown in Figure </w:t>
      </w:r>
      <w:r w:rsidRPr="006D2283">
        <w:rPr>
          <w:sz w:val="24"/>
          <w:szCs w:val="24"/>
        </w:rPr>
        <w:t>4</w:t>
      </w:r>
      <w:r w:rsidRPr="00981A4F">
        <w:rPr>
          <w:sz w:val="24"/>
          <w:szCs w:val="24"/>
        </w:rPr>
        <w:t>.</w:t>
      </w:r>
    </w:p>
    <w:p w14:paraId="19138E47" w14:textId="761BB2F5" w:rsidR="00981A4F" w:rsidRPr="00981A4F" w:rsidRDefault="00981A4F" w:rsidP="00E0712D">
      <w:pPr>
        <w:pStyle w:val="NoSpacing"/>
      </w:pPr>
      <w:bookmarkStart w:id="30" w:name="f04"/>
      <w:bookmarkEnd w:id="30"/>
      <w:r w:rsidRPr="00981A4F">
        <w:rPr>
          <w:b/>
          <w:bCs/>
        </w:rPr>
        <w:t>Fig. 4.</w:t>
      </w:r>
      <w:r w:rsidR="00E0712D">
        <w:rPr>
          <w:b/>
          <w:bCs/>
        </w:rPr>
        <w:t xml:space="preserve"> </w:t>
      </w:r>
      <w:r w:rsidRPr="00981A4F">
        <w:t>Graph of white matter tract FA values with scores on cognitive tasks. The top panel shows the relationship between the left SLF FA values and the age-corrected score of the flanker inhibitory test, which measures both executive function and attention. The middle and bottom panels show the relation between the right and left ILF FA values and tests of working (list sorting) and episodic memory (picture sequence), respectively. The FA values are adjusted for age, and a higher FA indicates better white matter integrity. The cortical images on the right outline the respective tracts. FA, fractional anisotropy; SLF, superior longitudinal fasciculus; ILF, inferior longitudinal fasciculus.</w:t>
      </w:r>
    </w:p>
    <w:p w14:paraId="1E4604F3" w14:textId="393AD351" w:rsidR="00981A4F" w:rsidRPr="00981A4F" w:rsidRDefault="00981A4F" w:rsidP="00E0712D">
      <w:pPr>
        <w:pStyle w:val="NoSpacing"/>
      </w:pPr>
      <w:r w:rsidRPr="00981A4F">
        <w:rPr>
          <w:noProof/>
        </w:rPr>
        <w:lastRenderedPageBreak/>
        <w:drawing>
          <wp:inline distT="0" distB="0" distL="0" distR="0" wp14:anchorId="2F1EB1C9" wp14:editId="1FAD4CC1">
            <wp:extent cx="3657600" cy="4681728"/>
            <wp:effectExtent l="0" t="0" r="0" b="5080"/>
            <wp:docPr id="22" name="Picture 22" descr="/WebMaterial/ShowPic/1238626">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WebMaterial/ShowPic/1238626">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0" cy="4681728"/>
                    </a:xfrm>
                    <a:prstGeom prst="rect">
                      <a:avLst/>
                    </a:prstGeom>
                    <a:noFill/>
                    <a:ln>
                      <a:noFill/>
                    </a:ln>
                  </pic:spPr>
                </pic:pic>
              </a:graphicData>
            </a:graphic>
          </wp:inline>
        </w:drawing>
      </w:r>
    </w:p>
    <w:p w14:paraId="7F3898DE" w14:textId="77777777" w:rsidR="00981A4F" w:rsidRPr="00981A4F" w:rsidRDefault="00981A4F" w:rsidP="00E0712D">
      <w:pPr>
        <w:pStyle w:val="Heading1"/>
      </w:pPr>
      <w:bookmarkStart w:id="31" w:name="ID0EADAC"/>
      <w:bookmarkEnd w:id="31"/>
      <w:r w:rsidRPr="00981A4F">
        <w:t>Discussion</w:t>
      </w:r>
    </w:p>
    <w:p w14:paraId="394D7E80" w14:textId="77777777" w:rsidR="00981A4F" w:rsidRPr="00981A4F" w:rsidRDefault="00981A4F" w:rsidP="00981A4F">
      <w:pPr>
        <w:rPr>
          <w:sz w:val="24"/>
          <w:szCs w:val="24"/>
        </w:rPr>
      </w:pPr>
      <w:r w:rsidRPr="00981A4F">
        <w:rPr>
          <w:sz w:val="24"/>
          <w:szCs w:val="24"/>
        </w:rPr>
        <w:t>We found evidence of cerebral degeneration with lower gray matter volume, higher cerebrospinal fluid volumes, and decreased microstructural integrity of most major white matter tracts (noted by lower FA values and higher MD values) in HD patients relative to healthy age-matched controls. The greatest decreases in white matter integrity were observed in areas of the brain used in executive function and processing speed, cognitive domains in which our HD cohort performed worse than age-adjusted standard population scores. Finally, we found that lower white matter integrity in specific white matter tracts was associated with decreased cognitive performance in our HD patients. Previous studies have found cerebral structural changes; however, we identified that these changes are present early after dialysis initiation and found new subcortical changes that have not been previously noted. The cerebral structural changes we note and the association with cognitive performance support our framework of an HD-associated cerebral injury that has an impact on cognitive function.</w:t>
      </w:r>
    </w:p>
    <w:p w14:paraId="6CFAC618" w14:textId="14359654" w:rsidR="00981A4F" w:rsidRPr="00981A4F" w:rsidRDefault="00981A4F" w:rsidP="00981A4F">
      <w:pPr>
        <w:rPr>
          <w:sz w:val="24"/>
          <w:szCs w:val="24"/>
        </w:rPr>
      </w:pPr>
      <w:r w:rsidRPr="00981A4F">
        <w:rPr>
          <w:sz w:val="24"/>
          <w:szCs w:val="24"/>
        </w:rPr>
        <w:t>While prior studies of persons with ESRD have documented lower brain matter volumes and global decreases in white matter integrity relative to controls [</w:t>
      </w:r>
      <w:r w:rsidRPr="006D2283">
        <w:rPr>
          <w:sz w:val="24"/>
          <w:szCs w:val="24"/>
        </w:rPr>
        <w:t>7</w:t>
      </w:r>
      <w:r w:rsidRPr="00981A4F">
        <w:rPr>
          <w:sz w:val="24"/>
          <w:szCs w:val="24"/>
        </w:rPr>
        <w:t>, </w:t>
      </w:r>
      <w:r w:rsidRPr="006D2283">
        <w:rPr>
          <w:sz w:val="24"/>
          <w:szCs w:val="24"/>
        </w:rPr>
        <w:t>10</w:t>
      </w:r>
      <w:r w:rsidRPr="00981A4F">
        <w:rPr>
          <w:sz w:val="24"/>
          <w:szCs w:val="24"/>
        </w:rPr>
        <w:t>, </w:t>
      </w:r>
      <w:r w:rsidRPr="006D2283">
        <w:rPr>
          <w:sz w:val="24"/>
          <w:szCs w:val="24"/>
        </w:rPr>
        <w:t>34</w:t>
      </w:r>
      <w:r w:rsidRPr="00981A4F">
        <w:rPr>
          <w:sz w:val="24"/>
          <w:szCs w:val="24"/>
        </w:rPr>
        <w:t xml:space="preserve">], our study adds information on specific DTI parameters and examines these changes in white matter integrity within specific tracts. In our analysis, 17 of 27 measured tracts had decreased FA in HD patients relative to controls. Many of the tracts affected, including the forceps minor, cingulum, and uncinate fasciculus, project to the frontal cortex and therefore have important roles in cognition and executive function. We also found </w:t>
      </w:r>
      <w:r w:rsidRPr="00981A4F">
        <w:rPr>
          <w:sz w:val="24"/>
          <w:szCs w:val="24"/>
        </w:rPr>
        <w:lastRenderedPageBreak/>
        <w:t>that in most tracts, the decreased tract FA was due to an increase in the RD measurements, which may indicate more demyelination of white matter [</w:t>
      </w:r>
      <w:r w:rsidRPr="006D2283">
        <w:rPr>
          <w:sz w:val="24"/>
          <w:szCs w:val="24"/>
        </w:rPr>
        <w:t>26</w:t>
      </w:r>
      <w:r w:rsidRPr="00981A4F">
        <w:rPr>
          <w:sz w:val="24"/>
          <w:szCs w:val="24"/>
        </w:rPr>
        <w:t>, </w:t>
      </w:r>
      <w:r w:rsidRPr="006D2283">
        <w:rPr>
          <w:sz w:val="24"/>
          <w:szCs w:val="24"/>
        </w:rPr>
        <w:t>28</w:t>
      </w:r>
      <w:r w:rsidRPr="00981A4F">
        <w:rPr>
          <w:sz w:val="24"/>
          <w:szCs w:val="24"/>
        </w:rPr>
        <w:t xml:space="preserve">]. These results indicate that there is disruption in </w:t>
      </w:r>
      <w:proofErr w:type="gramStart"/>
      <w:r w:rsidRPr="00981A4F">
        <w:rPr>
          <w:sz w:val="24"/>
          <w:szCs w:val="24"/>
        </w:rPr>
        <w:t>the majority of</w:t>
      </w:r>
      <w:proofErr w:type="gramEnd"/>
      <w:r w:rsidRPr="00981A4F">
        <w:rPr>
          <w:sz w:val="24"/>
          <w:szCs w:val="24"/>
        </w:rPr>
        <w:t xml:space="preserve"> white matter tracts in the HD cohort, with decreased overall white matter integrity, characterized by decreased FA.</w:t>
      </w:r>
    </w:p>
    <w:p w14:paraId="6B8E7F80" w14:textId="3FDE3325" w:rsidR="00981A4F" w:rsidRPr="00981A4F" w:rsidRDefault="00981A4F" w:rsidP="00981A4F">
      <w:pPr>
        <w:rPr>
          <w:sz w:val="24"/>
          <w:szCs w:val="24"/>
        </w:rPr>
      </w:pPr>
      <w:r w:rsidRPr="00981A4F">
        <w:rPr>
          <w:sz w:val="24"/>
          <w:szCs w:val="24"/>
        </w:rPr>
        <w:t xml:space="preserve">An important strength of our approach was to </w:t>
      </w:r>
      <w:proofErr w:type="spellStart"/>
      <w:r w:rsidRPr="00981A4F">
        <w:rPr>
          <w:sz w:val="24"/>
          <w:szCs w:val="24"/>
        </w:rPr>
        <w:t>preidentify</w:t>
      </w:r>
      <w:proofErr w:type="spellEnd"/>
      <w:r w:rsidRPr="00981A4F">
        <w:rPr>
          <w:sz w:val="24"/>
          <w:szCs w:val="24"/>
        </w:rPr>
        <w:t xml:space="preserve"> the major white matter tracts of the brain. Previous studies have used voxel-wise tract-based spatial statistics [</w:t>
      </w:r>
      <w:r w:rsidRPr="006D2283">
        <w:rPr>
          <w:sz w:val="24"/>
          <w:szCs w:val="24"/>
        </w:rPr>
        <w:t>10</w:t>
      </w:r>
      <w:r w:rsidRPr="00981A4F">
        <w:rPr>
          <w:sz w:val="24"/>
          <w:szCs w:val="24"/>
        </w:rPr>
        <w:t>, </w:t>
      </w:r>
      <w:r w:rsidRPr="006D2283">
        <w:rPr>
          <w:sz w:val="24"/>
          <w:szCs w:val="24"/>
        </w:rPr>
        <w:t>34</w:t>
      </w:r>
      <w:r w:rsidRPr="00981A4F">
        <w:rPr>
          <w:sz w:val="24"/>
          <w:szCs w:val="24"/>
        </w:rPr>
        <w:t>] to characterize changes in white matter integrity. Those methods restrict the area of white matter that is used for quantification to the highest FA regions (rather than the whole tract), which reduces complications of identifying tract boundaries, but is susceptible to systemic misalignment issues [</w:t>
      </w:r>
      <w:r w:rsidRPr="006D2283">
        <w:rPr>
          <w:sz w:val="24"/>
          <w:szCs w:val="24"/>
        </w:rPr>
        <w:t>35</w:t>
      </w:r>
      <w:r w:rsidRPr="00981A4F">
        <w:rPr>
          <w:sz w:val="24"/>
          <w:szCs w:val="24"/>
        </w:rPr>
        <w:t>, </w:t>
      </w:r>
      <w:r w:rsidRPr="006D2283">
        <w:rPr>
          <w:sz w:val="24"/>
          <w:szCs w:val="24"/>
        </w:rPr>
        <w:t>36</w:t>
      </w:r>
      <w:r w:rsidRPr="00981A4F">
        <w:rPr>
          <w:sz w:val="24"/>
          <w:szCs w:val="24"/>
        </w:rPr>
        <w:t>]. Tract-based spatial statistics also requires post hoc assignment of white matter regions to specific tracts. Another method used manual segmentation of white matter into regions based on the cortical location (frontal, parietal, etc.) [</w:t>
      </w:r>
      <w:r w:rsidRPr="006D2283">
        <w:rPr>
          <w:sz w:val="24"/>
          <w:szCs w:val="24"/>
        </w:rPr>
        <w:t>7</w:t>
      </w:r>
      <w:r w:rsidRPr="00981A4F">
        <w:rPr>
          <w:sz w:val="24"/>
          <w:szCs w:val="24"/>
        </w:rPr>
        <w:t>], which depends on subjective criteria for tract identification. With our unique processing method, we incorporated individual variation in white matter tract architecture by identifying white matter tract regions using tractography, avoiding potential misalignment issues that can occur in other approaches. The accuracy of this method is demonstrated by the fact that we found differences in white matter integrity despite no difference in white matter volume.</w:t>
      </w:r>
    </w:p>
    <w:p w14:paraId="54BE4A35" w14:textId="5DDC6785" w:rsidR="00981A4F" w:rsidRPr="00981A4F" w:rsidRDefault="00981A4F" w:rsidP="00981A4F">
      <w:pPr>
        <w:rPr>
          <w:sz w:val="24"/>
          <w:szCs w:val="24"/>
        </w:rPr>
      </w:pPr>
      <w:r w:rsidRPr="00981A4F">
        <w:rPr>
          <w:sz w:val="24"/>
          <w:szCs w:val="24"/>
        </w:rPr>
        <w:t>In addition to white matter changes, we found evidence of gray matter atrophy, with lower gray matter volume and higher cerebrospinal fluid volumes in the HD cohort. We found primarily subcortical (putamen and pallidum) and cerebellar gray matter volume differences. This differs from prior studies that found mostly cortical volume changes [</w:t>
      </w:r>
      <w:r w:rsidRPr="006D2283">
        <w:rPr>
          <w:sz w:val="24"/>
          <w:szCs w:val="24"/>
        </w:rPr>
        <w:t>9</w:t>
      </w:r>
      <w:r w:rsidRPr="00981A4F">
        <w:rPr>
          <w:sz w:val="24"/>
          <w:szCs w:val="24"/>
        </w:rPr>
        <w:t>, </w:t>
      </w:r>
      <w:r w:rsidRPr="006D2283">
        <w:rPr>
          <w:sz w:val="24"/>
          <w:szCs w:val="24"/>
        </w:rPr>
        <w:t>37</w:t>
      </w:r>
      <w:r w:rsidRPr="00981A4F">
        <w:rPr>
          <w:sz w:val="24"/>
          <w:szCs w:val="24"/>
        </w:rPr>
        <w:t>] and provides new information on brain structural changes and CI in HD patients. The lack of significant cortical volume decreases in our study compared to prior studies may also be due to differences in our study demographics. The populations included in prior studies were 30 years younger on average and had minimal or no CI compared to our cohort [</w:t>
      </w:r>
      <w:r w:rsidRPr="006D2283">
        <w:rPr>
          <w:sz w:val="24"/>
          <w:szCs w:val="24"/>
        </w:rPr>
        <w:t>9</w:t>
      </w:r>
      <w:r w:rsidRPr="00981A4F">
        <w:rPr>
          <w:sz w:val="24"/>
          <w:szCs w:val="24"/>
        </w:rPr>
        <w:t>, </w:t>
      </w:r>
      <w:r w:rsidRPr="006D2283">
        <w:rPr>
          <w:sz w:val="24"/>
          <w:szCs w:val="24"/>
        </w:rPr>
        <w:t>37</w:t>
      </w:r>
      <w:r w:rsidRPr="00981A4F">
        <w:rPr>
          <w:sz w:val="24"/>
          <w:szCs w:val="24"/>
        </w:rPr>
        <w:t>]. Our cohort is more reflective of the current HD population in both age and CI [</w:t>
      </w:r>
      <w:r w:rsidRPr="006D2283">
        <w:rPr>
          <w:sz w:val="24"/>
          <w:szCs w:val="24"/>
        </w:rPr>
        <w:t>38</w:t>
      </w:r>
      <w:r w:rsidRPr="00981A4F">
        <w:rPr>
          <w:sz w:val="24"/>
          <w:szCs w:val="24"/>
        </w:rPr>
        <w:t>]. Cohort age is important since cortical gray matter volume decreases with age [</w:t>
      </w:r>
      <w:r w:rsidRPr="006D2283">
        <w:rPr>
          <w:sz w:val="24"/>
          <w:szCs w:val="24"/>
        </w:rPr>
        <w:t>39</w:t>
      </w:r>
      <w:r w:rsidRPr="00981A4F">
        <w:rPr>
          <w:sz w:val="24"/>
          <w:szCs w:val="24"/>
        </w:rPr>
        <w:t>, </w:t>
      </w:r>
      <w:r w:rsidRPr="006D2283">
        <w:rPr>
          <w:sz w:val="24"/>
          <w:szCs w:val="24"/>
        </w:rPr>
        <w:t>40</w:t>
      </w:r>
      <w:r w:rsidRPr="00981A4F">
        <w:rPr>
          <w:sz w:val="24"/>
          <w:szCs w:val="24"/>
        </w:rPr>
        <w:t>]. The known age-related decreases in cortical gray matter volume might have reduced the differences in cortical gray matter between the HD participants and controls in our older cohort. Alternatively, our cohort had a lower dialysis vintage compared to prior study cohorts and we may be detecting initial changes that occur before the cortical gray matter changes. The differences in subcortical gray matter that we observed raise the possibility that changes in subcortical gray matter volume might play a role in CI in older HD patients. The decrease in putamen gray matter volume in the HD cohort may be important as lesions in the putamen have been associated with impairments in memory and processing speed in other neurological disease states and aging [</w:t>
      </w:r>
      <w:r w:rsidRPr="006D2283">
        <w:rPr>
          <w:sz w:val="24"/>
          <w:szCs w:val="24"/>
        </w:rPr>
        <w:t>41</w:t>
      </w:r>
      <w:r w:rsidRPr="00981A4F">
        <w:rPr>
          <w:sz w:val="24"/>
          <w:szCs w:val="24"/>
        </w:rPr>
        <w:t>, </w:t>
      </w:r>
      <w:r w:rsidRPr="006D2283">
        <w:rPr>
          <w:sz w:val="24"/>
          <w:szCs w:val="24"/>
        </w:rPr>
        <w:t>42</w:t>
      </w:r>
      <w:r w:rsidRPr="00981A4F">
        <w:rPr>
          <w:sz w:val="24"/>
          <w:szCs w:val="24"/>
        </w:rPr>
        <w:t>].</w:t>
      </w:r>
    </w:p>
    <w:p w14:paraId="2331C512" w14:textId="399EA8A9" w:rsidR="00981A4F" w:rsidRPr="00981A4F" w:rsidRDefault="00981A4F" w:rsidP="00981A4F">
      <w:pPr>
        <w:rPr>
          <w:sz w:val="24"/>
          <w:szCs w:val="24"/>
        </w:rPr>
      </w:pPr>
      <w:r w:rsidRPr="00981A4F">
        <w:rPr>
          <w:sz w:val="24"/>
          <w:szCs w:val="24"/>
        </w:rPr>
        <w:t>To examine the potential effects of the cerebral structural changes, we evaluated the relationship between cognitive performance and brain imaging parameters. The pattern of NIH Toolbox scores we noted in our cohort – greatest performance differences in processing speed, executive function, and attention domains and less but still notable differences in memory – is consistent with prior literature [</w:t>
      </w:r>
      <w:r w:rsidRPr="006D2283">
        <w:rPr>
          <w:sz w:val="24"/>
          <w:szCs w:val="24"/>
        </w:rPr>
        <w:t>43</w:t>
      </w:r>
      <w:r w:rsidRPr="00981A4F">
        <w:rPr>
          <w:sz w:val="24"/>
          <w:szCs w:val="24"/>
        </w:rPr>
        <w:t>-</w:t>
      </w:r>
      <w:r w:rsidRPr="006D2283">
        <w:rPr>
          <w:sz w:val="24"/>
          <w:szCs w:val="24"/>
        </w:rPr>
        <w:t>46</w:t>
      </w:r>
      <w:r w:rsidRPr="00981A4F">
        <w:rPr>
          <w:sz w:val="24"/>
          <w:szCs w:val="24"/>
        </w:rPr>
        <w:t>]. The relationships between the superior longitudinal fasciculus FA and performance on executive function and attention tasks and between the inferior longitudinal fasciculus FA and memory tasks are also consistent with other studies [</w:t>
      </w:r>
      <w:r w:rsidRPr="006D2283">
        <w:rPr>
          <w:sz w:val="24"/>
          <w:szCs w:val="24"/>
        </w:rPr>
        <w:t>47</w:t>
      </w:r>
      <w:r w:rsidRPr="00981A4F">
        <w:rPr>
          <w:sz w:val="24"/>
          <w:szCs w:val="24"/>
        </w:rPr>
        <w:t>, </w:t>
      </w:r>
      <w:r w:rsidRPr="006D2283">
        <w:rPr>
          <w:sz w:val="24"/>
          <w:szCs w:val="24"/>
        </w:rPr>
        <w:t>48</w:t>
      </w:r>
      <w:r w:rsidRPr="00981A4F">
        <w:rPr>
          <w:sz w:val="24"/>
          <w:szCs w:val="24"/>
        </w:rPr>
        <w:t xml:space="preserve">]. A study evaluating white matter integrity in 26 HD patients found a similar correlation of lower white matter integrity in superior longitudinal fasciculi </w:t>
      </w:r>
      <w:r w:rsidRPr="00981A4F">
        <w:rPr>
          <w:sz w:val="24"/>
          <w:szCs w:val="24"/>
        </w:rPr>
        <w:lastRenderedPageBreak/>
        <w:t>with lower performance on executive function and processing speed [</w:t>
      </w:r>
      <w:r w:rsidRPr="006D2283">
        <w:rPr>
          <w:sz w:val="24"/>
          <w:szCs w:val="24"/>
        </w:rPr>
        <w:t>34</w:t>
      </w:r>
      <w:r w:rsidRPr="00981A4F">
        <w:rPr>
          <w:sz w:val="24"/>
          <w:szCs w:val="24"/>
        </w:rPr>
        <w:t xml:space="preserve">]. Although we did not correct for multiple comparison in our small sample, the trends in our results support the general theory that decreased white matter integrity is associated with worse cognitive performance. Many of the white matter tracts in the HD patients had decreased FA values compared to controls, including the inferior </w:t>
      </w:r>
      <w:proofErr w:type="spellStart"/>
      <w:r w:rsidRPr="00981A4F">
        <w:rPr>
          <w:sz w:val="24"/>
          <w:szCs w:val="24"/>
        </w:rPr>
        <w:t>fronto</w:t>
      </w:r>
      <w:proofErr w:type="spellEnd"/>
      <w:r w:rsidRPr="00981A4F">
        <w:rPr>
          <w:sz w:val="24"/>
          <w:szCs w:val="24"/>
        </w:rPr>
        <w:t xml:space="preserve">-occipital fasciculus, forceps major, and uncinate fasciculus; </w:t>
      </w:r>
      <w:proofErr w:type="gramStart"/>
      <w:r w:rsidRPr="00981A4F">
        <w:rPr>
          <w:sz w:val="24"/>
          <w:szCs w:val="24"/>
        </w:rPr>
        <w:t>all of</w:t>
      </w:r>
      <w:proofErr w:type="gramEnd"/>
      <w:r w:rsidRPr="00981A4F">
        <w:rPr>
          <w:sz w:val="24"/>
          <w:szCs w:val="24"/>
        </w:rPr>
        <w:t xml:space="preserve"> which project to the frontal cortex, a structure important in executive function, an area of deficit in HD patients [</w:t>
      </w:r>
      <w:r w:rsidRPr="006D2283">
        <w:rPr>
          <w:sz w:val="24"/>
          <w:szCs w:val="24"/>
        </w:rPr>
        <w:t>49</w:t>
      </w:r>
      <w:r w:rsidRPr="00981A4F">
        <w:rPr>
          <w:sz w:val="24"/>
          <w:szCs w:val="24"/>
        </w:rPr>
        <w:t>].</w:t>
      </w:r>
    </w:p>
    <w:p w14:paraId="47621A02" w14:textId="0C26E74A" w:rsidR="00981A4F" w:rsidRPr="00981A4F" w:rsidRDefault="00981A4F" w:rsidP="00981A4F">
      <w:pPr>
        <w:rPr>
          <w:sz w:val="24"/>
          <w:szCs w:val="24"/>
        </w:rPr>
      </w:pPr>
      <w:r w:rsidRPr="00981A4F">
        <w:rPr>
          <w:sz w:val="24"/>
          <w:szCs w:val="24"/>
        </w:rPr>
        <w:t>Our study has limitations. Our small sample size may have reduced our ability to identify statistically significant associations between the integrity of specific white matter tracts and cognitive performance. Our controls were healthy volunteers and thus were not matched in rates of comorbidities such as diabetes and hypertension. We cannot determine if the changes in brain matter are due to comorbidities, renal disease, or HD. However, this does not limit our ability to describe the brain changes in HD patients versus healthy controls and to evaluate the relationship between cognitive score and cerebral imaging parameters in HD patients. We relied on comparison to age-adjusted population norms to identify the cognitive deficits in the HD cohort. However, using general population norms allowed us to compare our HD cohort to a larger sample rather than just our 15 controls. In terms of imaging processing, the tensor model we used is limited in regions with crossing tracts [</w:t>
      </w:r>
      <w:r w:rsidRPr="006D2283">
        <w:rPr>
          <w:sz w:val="24"/>
          <w:szCs w:val="24"/>
        </w:rPr>
        <w:t>50</w:t>
      </w:r>
      <w:r w:rsidRPr="00981A4F">
        <w:rPr>
          <w:sz w:val="24"/>
          <w:szCs w:val="24"/>
        </w:rPr>
        <w:t>]. We believe the methodology performed better than generic group-defined tract masks by accurately identifying specific tracts in individual participants. We noted misalignment, with tracts going through gray matter or CSF when using generic masks, which were not present when using our tractography method. Finally, our cross-sectional study design only allowed us to look for associations between variables at 1 point in time. An ongoing longitudinal study will provide further information on how HD may affect the brain over time.</w:t>
      </w:r>
    </w:p>
    <w:p w14:paraId="198C89BC" w14:textId="77777777" w:rsidR="00981A4F" w:rsidRPr="00981A4F" w:rsidRDefault="00981A4F" w:rsidP="00981A4F">
      <w:pPr>
        <w:rPr>
          <w:sz w:val="24"/>
          <w:szCs w:val="24"/>
        </w:rPr>
      </w:pPr>
      <w:r w:rsidRPr="00981A4F">
        <w:rPr>
          <w:sz w:val="24"/>
          <w:szCs w:val="24"/>
        </w:rPr>
        <w:t xml:space="preserve">In summary, we found that HD patients had lower white matter integrity and more gray matter atrophy than controls. The changes in white matter integrity in certain tracts were associated with decreased cognitive performance noted in the HD group. Future studies need to replicate our methods in a larger cohort to confirm findings. In addition, longitudinal studies evaluating changes in the integrity of white matter tracts over time in HD participants are needed to determine if HD-specific factors contribute to white matter changes. Increased focus in this area of research is needed </w:t>
      </w:r>
      <w:proofErr w:type="gramStart"/>
      <w:r w:rsidRPr="00981A4F">
        <w:rPr>
          <w:sz w:val="24"/>
          <w:szCs w:val="24"/>
        </w:rPr>
        <w:t>in order to</w:t>
      </w:r>
      <w:proofErr w:type="gramEnd"/>
      <w:r w:rsidRPr="00981A4F">
        <w:rPr>
          <w:sz w:val="24"/>
          <w:szCs w:val="24"/>
        </w:rPr>
        <w:t xml:space="preserve"> better understand and prevent the CI and neurodegeneration in HD patients.</w:t>
      </w:r>
    </w:p>
    <w:p w14:paraId="3F8C9DF4" w14:textId="77777777" w:rsidR="00981A4F" w:rsidRPr="00981A4F" w:rsidRDefault="00981A4F" w:rsidP="005B6D2F">
      <w:pPr>
        <w:pStyle w:val="Heading1"/>
      </w:pPr>
      <w:bookmarkStart w:id="32" w:name="ID0EWGAC"/>
      <w:bookmarkEnd w:id="32"/>
      <w:r w:rsidRPr="00981A4F">
        <w:t>Statement of Ethics</w:t>
      </w:r>
    </w:p>
    <w:p w14:paraId="10947D60" w14:textId="77777777" w:rsidR="00981A4F" w:rsidRPr="00981A4F" w:rsidRDefault="00981A4F" w:rsidP="00981A4F">
      <w:pPr>
        <w:rPr>
          <w:sz w:val="24"/>
          <w:szCs w:val="24"/>
        </w:rPr>
      </w:pPr>
      <w:r w:rsidRPr="00981A4F">
        <w:rPr>
          <w:sz w:val="24"/>
          <w:szCs w:val="24"/>
        </w:rPr>
        <w:t>This study conformed to the standards set by the latest revision of the Declaration of Helsinki and was approved by the Institutional Review Board of the Medical College of Wisconsin. Written informed consent was obtained for each subject in this study.</w:t>
      </w:r>
    </w:p>
    <w:p w14:paraId="2B9A7649" w14:textId="77777777" w:rsidR="00981A4F" w:rsidRPr="00981A4F" w:rsidRDefault="00981A4F" w:rsidP="005B6D2F">
      <w:pPr>
        <w:pStyle w:val="Heading1"/>
      </w:pPr>
      <w:bookmarkStart w:id="33" w:name="ID0EZGAC"/>
      <w:bookmarkEnd w:id="33"/>
      <w:r w:rsidRPr="00981A4F">
        <w:t>Conflict of Interest Statement</w:t>
      </w:r>
    </w:p>
    <w:p w14:paraId="5FB8A104" w14:textId="77777777" w:rsidR="00981A4F" w:rsidRPr="00981A4F" w:rsidRDefault="00981A4F" w:rsidP="00981A4F">
      <w:pPr>
        <w:rPr>
          <w:sz w:val="24"/>
          <w:szCs w:val="24"/>
        </w:rPr>
      </w:pPr>
      <w:r w:rsidRPr="00981A4F">
        <w:rPr>
          <w:sz w:val="24"/>
          <w:szCs w:val="24"/>
        </w:rPr>
        <w:t>The authors have no conflicts of interest to declare.</w:t>
      </w:r>
    </w:p>
    <w:p w14:paraId="4905EFC4" w14:textId="77777777" w:rsidR="00981A4F" w:rsidRPr="00981A4F" w:rsidRDefault="00981A4F" w:rsidP="005B6D2F">
      <w:pPr>
        <w:pStyle w:val="Heading1"/>
      </w:pPr>
      <w:bookmarkStart w:id="34" w:name="ID0E3GAC"/>
      <w:bookmarkEnd w:id="34"/>
      <w:r w:rsidRPr="00981A4F">
        <w:t>Funding Sources</w:t>
      </w:r>
    </w:p>
    <w:p w14:paraId="03CC1FD4" w14:textId="77777777" w:rsidR="00981A4F" w:rsidRPr="00981A4F" w:rsidRDefault="00981A4F" w:rsidP="00981A4F">
      <w:pPr>
        <w:rPr>
          <w:sz w:val="24"/>
          <w:szCs w:val="24"/>
        </w:rPr>
      </w:pPr>
      <w:r w:rsidRPr="00981A4F">
        <w:rPr>
          <w:sz w:val="24"/>
          <w:szCs w:val="24"/>
        </w:rPr>
        <w:t>The project described was supported by the NIH NCATS TL1TR001437 to W.T.R. and NIDDK K23 DK113119 to D.F.W. The content is solely the responsibility of the authors and does not necessarily represent the official views of the NIH.</w:t>
      </w:r>
    </w:p>
    <w:p w14:paraId="48EDB187" w14:textId="77777777" w:rsidR="00981A4F" w:rsidRPr="00981A4F" w:rsidRDefault="00981A4F" w:rsidP="005B6D2F">
      <w:pPr>
        <w:pStyle w:val="Heading1"/>
      </w:pPr>
      <w:bookmarkStart w:id="35" w:name="ID0E6GAC"/>
      <w:bookmarkEnd w:id="35"/>
      <w:r w:rsidRPr="00981A4F">
        <w:lastRenderedPageBreak/>
        <w:t>Author Contributions</w:t>
      </w:r>
    </w:p>
    <w:p w14:paraId="61C053A5" w14:textId="77777777" w:rsidR="00981A4F" w:rsidRPr="00981A4F" w:rsidRDefault="00981A4F" w:rsidP="00981A4F">
      <w:pPr>
        <w:rPr>
          <w:sz w:val="24"/>
          <w:szCs w:val="24"/>
        </w:rPr>
      </w:pPr>
      <w:r w:rsidRPr="00981A4F">
        <w:rPr>
          <w:sz w:val="24"/>
          <w:szCs w:val="24"/>
        </w:rPr>
        <w:t>D.F.W. and B.D.S.: research idea, study design, supervision, or mentorship; D.F.W. and W.T.R.: data acquisition; D.F.W., W.T.R., L.U., and B.D.S.: data analysis/interpretation; W.T.R.: statistical analysis. Each author contributed important intellectual content during manuscript drafting or revision, accepts personal accountability for the author’s own contributions, and agrees to ensure that questions pertaining to the accuracy or integrity of any portion of the work are appropriately investigated and resolved.</w:t>
      </w:r>
    </w:p>
    <w:p w14:paraId="13A5D6E3" w14:textId="77777777" w:rsidR="00981A4F" w:rsidRPr="00981A4F" w:rsidRDefault="00981A4F" w:rsidP="005B6D2F">
      <w:pPr>
        <w:pStyle w:val="Heading1"/>
      </w:pPr>
      <w:bookmarkStart w:id="36" w:name="REFS"/>
      <w:bookmarkEnd w:id="36"/>
      <w:r w:rsidRPr="00981A4F">
        <w:t>References</w:t>
      </w:r>
    </w:p>
    <w:p w14:paraId="5C316E85" w14:textId="77777777" w:rsidR="00981A4F" w:rsidRPr="00981A4F" w:rsidRDefault="00981A4F" w:rsidP="006D2283">
      <w:pPr>
        <w:numPr>
          <w:ilvl w:val="0"/>
          <w:numId w:val="17"/>
        </w:numPr>
        <w:spacing w:after="0"/>
        <w:rPr>
          <w:sz w:val="24"/>
          <w:szCs w:val="24"/>
        </w:rPr>
      </w:pPr>
      <w:bookmarkStart w:id="37" w:name="ref1"/>
      <w:bookmarkEnd w:id="37"/>
      <w:r w:rsidRPr="00981A4F">
        <w:rPr>
          <w:sz w:val="24"/>
          <w:szCs w:val="24"/>
        </w:rPr>
        <w:t xml:space="preserve">Fazekas G, Fazekas F, Schmidt R, </w:t>
      </w:r>
      <w:proofErr w:type="spellStart"/>
      <w:r w:rsidRPr="00981A4F">
        <w:rPr>
          <w:sz w:val="24"/>
          <w:szCs w:val="24"/>
        </w:rPr>
        <w:t>Kapeller</w:t>
      </w:r>
      <w:proofErr w:type="spellEnd"/>
      <w:r w:rsidRPr="00981A4F">
        <w:rPr>
          <w:sz w:val="24"/>
          <w:szCs w:val="24"/>
        </w:rPr>
        <w:t xml:space="preserve"> P, </w:t>
      </w:r>
      <w:proofErr w:type="spellStart"/>
      <w:r w:rsidRPr="00981A4F">
        <w:rPr>
          <w:sz w:val="24"/>
          <w:szCs w:val="24"/>
        </w:rPr>
        <w:t>Offenbacher</w:t>
      </w:r>
      <w:proofErr w:type="spellEnd"/>
      <w:r w:rsidRPr="00981A4F">
        <w:rPr>
          <w:sz w:val="24"/>
          <w:szCs w:val="24"/>
        </w:rPr>
        <w:t xml:space="preserve"> H, </w:t>
      </w:r>
      <w:proofErr w:type="spellStart"/>
      <w:r w:rsidRPr="00981A4F">
        <w:rPr>
          <w:sz w:val="24"/>
          <w:szCs w:val="24"/>
        </w:rPr>
        <w:t>Krejs</w:t>
      </w:r>
      <w:proofErr w:type="spellEnd"/>
      <w:r w:rsidRPr="00981A4F">
        <w:rPr>
          <w:sz w:val="24"/>
          <w:szCs w:val="24"/>
        </w:rPr>
        <w:t xml:space="preserve"> GJ. Brain MRI findings and cognitive impairment in patients undergoing chronic hemodialysis treatment. J Neurol Sci. 1995 Dec;134(1–2):83–8.</w:t>
      </w:r>
    </w:p>
    <w:p w14:paraId="0268CD63" w14:textId="77777777" w:rsidR="00981A4F" w:rsidRPr="00981A4F" w:rsidRDefault="00981A4F" w:rsidP="006D2283">
      <w:pPr>
        <w:numPr>
          <w:ilvl w:val="0"/>
          <w:numId w:val="17"/>
        </w:numPr>
        <w:spacing w:after="0"/>
        <w:rPr>
          <w:sz w:val="24"/>
          <w:szCs w:val="24"/>
        </w:rPr>
      </w:pPr>
      <w:bookmarkStart w:id="38" w:name="ref2"/>
      <w:bookmarkEnd w:id="38"/>
      <w:r w:rsidRPr="00981A4F">
        <w:rPr>
          <w:sz w:val="24"/>
          <w:szCs w:val="24"/>
        </w:rPr>
        <w:t xml:space="preserve">Pereira AA, Weiner DE, Scott T, </w:t>
      </w:r>
      <w:proofErr w:type="spellStart"/>
      <w:r w:rsidRPr="00981A4F">
        <w:rPr>
          <w:sz w:val="24"/>
          <w:szCs w:val="24"/>
        </w:rPr>
        <w:t>Sarnak</w:t>
      </w:r>
      <w:proofErr w:type="spellEnd"/>
      <w:r w:rsidRPr="00981A4F">
        <w:rPr>
          <w:sz w:val="24"/>
          <w:szCs w:val="24"/>
        </w:rPr>
        <w:t xml:space="preserve"> MJ. Cognitive function in dialysis patients. Am J Kidney Dis. 2005 Mar;45(3):448–62.</w:t>
      </w:r>
    </w:p>
    <w:p w14:paraId="1C42C4E4" w14:textId="77777777" w:rsidR="00981A4F" w:rsidRPr="00981A4F" w:rsidRDefault="00981A4F" w:rsidP="006D2283">
      <w:pPr>
        <w:numPr>
          <w:ilvl w:val="0"/>
          <w:numId w:val="17"/>
        </w:numPr>
        <w:spacing w:after="0"/>
        <w:rPr>
          <w:sz w:val="24"/>
          <w:szCs w:val="24"/>
        </w:rPr>
      </w:pPr>
      <w:bookmarkStart w:id="39" w:name="ref3"/>
      <w:bookmarkEnd w:id="39"/>
      <w:r w:rsidRPr="00981A4F">
        <w:rPr>
          <w:sz w:val="24"/>
          <w:szCs w:val="24"/>
        </w:rPr>
        <w:t xml:space="preserve">Murray AM, Tupper DE, </w:t>
      </w:r>
      <w:proofErr w:type="spellStart"/>
      <w:r w:rsidRPr="00981A4F">
        <w:rPr>
          <w:sz w:val="24"/>
          <w:szCs w:val="24"/>
        </w:rPr>
        <w:t>Knopman</w:t>
      </w:r>
      <w:proofErr w:type="spellEnd"/>
      <w:r w:rsidRPr="00981A4F">
        <w:rPr>
          <w:sz w:val="24"/>
          <w:szCs w:val="24"/>
        </w:rPr>
        <w:t xml:space="preserve"> DS, Gilbertson DT, Pederson SL, Li S, et al. Cognitive impairment in hemodialysis patients is common. Neurology. 2006 Jul 25;67(2):216–23.</w:t>
      </w:r>
    </w:p>
    <w:p w14:paraId="5250AD1C" w14:textId="77777777" w:rsidR="00981A4F" w:rsidRPr="00981A4F" w:rsidRDefault="00981A4F" w:rsidP="006D2283">
      <w:pPr>
        <w:numPr>
          <w:ilvl w:val="0"/>
          <w:numId w:val="17"/>
        </w:numPr>
        <w:spacing w:after="0"/>
        <w:rPr>
          <w:sz w:val="24"/>
          <w:szCs w:val="24"/>
        </w:rPr>
      </w:pPr>
      <w:bookmarkStart w:id="40" w:name="ref4"/>
      <w:bookmarkEnd w:id="40"/>
      <w:proofErr w:type="spellStart"/>
      <w:r w:rsidRPr="00981A4F">
        <w:rPr>
          <w:sz w:val="24"/>
          <w:szCs w:val="24"/>
        </w:rPr>
        <w:t>Wolfgram</w:t>
      </w:r>
      <w:proofErr w:type="spellEnd"/>
      <w:r w:rsidRPr="00981A4F">
        <w:rPr>
          <w:sz w:val="24"/>
          <w:szCs w:val="24"/>
        </w:rPr>
        <w:t xml:space="preserve"> D, Vogt E, Jahn AL, Smith HM, Sussman J, </w:t>
      </w:r>
      <w:proofErr w:type="spellStart"/>
      <w:r w:rsidRPr="00981A4F">
        <w:rPr>
          <w:sz w:val="24"/>
          <w:szCs w:val="24"/>
        </w:rPr>
        <w:t>Visotcky</w:t>
      </w:r>
      <w:proofErr w:type="spellEnd"/>
      <w:r w:rsidRPr="00981A4F">
        <w:rPr>
          <w:sz w:val="24"/>
          <w:szCs w:val="24"/>
        </w:rPr>
        <w:t xml:space="preserve"> A, et al. Hemodynamics during dialysis and changes in cognitive performance. WMJ. 2014 Aug 8;115(6):311.</w:t>
      </w:r>
    </w:p>
    <w:p w14:paraId="7C0DE934" w14:textId="77777777" w:rsidR="00981A4F" w:rsidRPr="00981A4F" w:rsidRDefault="00981A4F" w:rsidP="006D2283">
      <w:pPr>
        <w:numPr>
          <w:ilvl w:val="0"/>
          <w:numId w:val="17"/>
        </w:numPr>
        <w:spacing w:after="0"/>
        <w:rPr>
          <w:sz w:val="24"/>
          <w:szCs w:val="24"/>
        </w:rPr>
      </w:pPr>
      <w:bookmarkStart w:id="41" w:name="ref5"/>
      <w:bookmarkEnd w:id="41"/>
      <w:r w:rsidRPr="00981A4F">
        <w:rPr>
          <w:sz w:val="24"/>
          <w:szCs w:val="24"/>
        </w:rPr>
        <w:t xml:space="preserve">Kimmel PL, </w:t>
      </w:r>
      <w:proofErr w:type="spellStart"/>
      <w:r w:rsidRPr="00981A4F">
        <w:rPr>
          <w:sz w:val="24"/>
          <w:szCs w:val="24"/>
        </w:rPr>
        <w:t>Thamer</w:t>
      </w:r>
      <w:proofErr w:type="spellEnd"/>
      <w:r w:rsidRPr="00981A4F">
        <w:rPr>
          <w:sz w:val="24"/>
          <w:szCs w:val="24"/>
        </w:rPr>
        <w:t xml:space="preserve"> M, Richard CM, Ray NF. Psychiatric illness in patients with end-stage renal disease. Am J Med. 1998 Sep;105(3):214–21.</w:t>
      </w:r>
    </w:p>
    <w:p w14:paraId="3B8D57C1" w14:textId="77777777" w:rsidR="00981A4F" w:rsidRPr="00981A4F" w:rsidRDefault="00981A4F" w:rsidP="006D2283">
      <w:pPr>
        <w:numPr>
          <w:ilvl w:val="0"/>
          <w:numId w:val="17"/>
        </w:numPr>
        <w:spacing w:after="0"/>
        <w:rPr>
          <w:sz w:val="24"/>
          <w:szCs w:val="24"/>
        </w:rPr>
      </w:pPr>
      <w:bookmarkStart w:id="42" w:name="ref6"/>
      <w:bookmarkEnd w:id="42"/>
      <w:proofErr w:type="spellStart"/>
      <w:r w:rsidRPr="00981A4F">
        <w:rPr>
          <w:sz w:val="24"/>
          <w:szCs w:val="24"/>
        </w:rPr>
        <w:t>Kurella</w:t>
      </w:r>
      <w:proofErr w:type="spellEnd"/>
      <w:r w:rsidRPr="00981A4F">
        <w:rPr>
          <w:sz w:val="24"/>
          <w:szCs w:val="24"/>
        </w:rPr>
        <w:t xml:space="preserve"> M, Mapes DL, Port FK, </w:t>
      </w:r>
      <w:proofErr w:type="spellStart"/>
      <w:r w:rsidRPr="00981A4F">
        <w:rPr>
          <w:sz w:val="24"/>
          <w:szCs w:val="24"/>
        </w:rPr>
        <w:t>Chertow</w:t>
      </w:r>
      <w:proofErr w:type="spellEnd"/>
      <w:r w:rsidRPr="00981A4F">
        <w:rPr>
          <w:sz w:val="24"/>
          <w:szCs w:val="24"/>
        </w:rPr>
        <w:t xml:space="preserve"> GM. </w:t>
      </w:r>
      <w:proofErr w:type="gramStart"/>
      <w:r w:rsidRPr="00981A4F">
        <w:rPr>
          <w:sz w:val="24"/>
          <w:szCs w:val="24"/>
        </w:rPr>
        <w:t>Correlates</w:t>
      </w:r>
      <w:proofErr w:type="gramEnd"/>
      <w:r w:rsidRPr="00981A4F">
        <w:rPr>
          <w:sz w:val="24"/>
          <w:szCs w:val="24"/>
        </w:rPr>
        <w:t xml:space="preserve"> and outcomes of dementia among dialysis patients: the dialysis outcomes and practice patterns study. Nephrol Dial Transplant. 2006 Sep;21(9):2543–8.</w:t>
      </w:r>
    </w:p>
    <w:p w14:paraId="6B9B8CEC" w14:textId="77777777" w:rsidR="00981A4F" w:rsidRPr="00981A4F" w:rsidRDefault="00981A4F" w:rsidP="006D2283">
      <w:pPr>
        <w:numPr>
          <w:ilvl w:val="0"/>
          <w:numId w:val="17"/>
        </w:numPr>
        <w:spacing w:after="0"/>
        <w:rPr>
          <w:sz w:val="24"/>
          <w:szCs w:val="24"/>
        </w:rPr>
      </w:pPr>
      <w:bookmarkStart w:id="43" w:name="ref7"/>
      <w:bookmarkEnd w:id="43"/>
      <w:r w:rsidRPr="00981A4F">
        <w:rPr>
          <w:sz w:val="24"/>
          <w:szCs w:val="24"/>
        </w:rPr>
        <w:t>Hsieh TJ, Chang JM, Chuang HY, Ko CH, Hsieh ML, Liu GC, et al. End-stage renal disease: in vivo diffusion-tensor imaging of silent white matter damage. Radiology. 2009 Aug;252(2):518–25.</w:t>
      </w:r>
    </w:p>
    <w:p w14:paraId="337BC35A" w14:textId="77777777" w:rsidR="00981A4F" w:rsidRPr="00981A4F" w:rsidRDefault="00981A4F" w:rsidP="006D2283">
      <w:pPr>
        <w:numPr>
          <w:ilvl w:val="0"/>
          <w:numId w:val="17"/>
        </w:numPr>
        <w:spacing w:after="0"/>
        <w:rPr>
          <w:sz w:val="24"/>
          <w:szCs w:val="24"/>
        </w:rPr>
      </w:pPr>
      <w:bookmarkStart w:id="44" w:name="ref8"/>
      <w:bookmarkEnd w:id="44"/>
      <w:r w:rsidRPr="00981A4F">
        <w:rPr>
          <w:sz w:val="24"/>
          <w:szCs w:val="24"/>
        </w:rPr>
        <w:t xml:space="preserve">Drew DA, </w:t>
      </w:r>
      <w:proofErr w:type="spellStart"/>
      <w:r w:rsidRPr="00981A4F">
        <w:rPr>
          <w:sz w:val="24"/>
          <w:szCs w:val="24"/>
        </w:rPr>
        <w:t>Bhadelia</w:t>
      </w:r>
      <w:proofErr w:type="spellEnd"/>
      <w:r w:rsidRPr="00981A4F">
        <w:rPr>
          <w:sz w:val="24"/>
          <w:szCs w:val="24"/>
        </w:rPr>
        <w:t xml:space="preserve"> R, </w:t>
      </w:r>
      <w:proofErr w:type="spellStart"/>
      <w:r w:rsidRPr="00981A4F">
        <w:rPr>
          <w:sz w:val="24"/>
          <w:szCs w:val="24"/>
        </w:rPr>
        <w:t>Tighiouart</w:t>
      </w:r>
      <w:proofErr w:type="spellEnd"/>
      <w:r w:rsidRPr="00981A4F">
        <w:rPr>
          <w:sz w:val="24"/>
          <w:szCs w:val="24"/>
        </w:rPr>
        <w:t xml:space="preserve"> H, Novak V, Scott TM, Lou KV, et al. Anatomic brain disease in hemodialysis patients: a cross-sectional study. Am J Kidney Dis. 2013 Feb;61(2):271–8.</w:t>
      </w:r>
    </w:p>
    <w:p w14:paraId="0A2B97B1" w14:textId="77777777" w:rsidR="00981A4F" w:rsidRPr="00981A4F" w:rsidRDefault="00981A4F" w:rsidP="006D2283">
      <w:pPr>
        <w:numPr>
          <w:ilvl w:val="0"/>
          <w:numId w:val="17"/>
        </w:numPr>
        <w:spacing w:after="0"/>
        <w:rPr>
          <w:sz w:val="24"/>
          <w:szCs w:val="24"/>
        </w:rPr>
      </w:pPr>
      <w:bookmarkStart w:id="45" w:name="ref9"/>
      <w:bookmarkEnd w:id="45"/>
      <w:r w:rsidRPr="00981A4F">
        <w:rPr>
          <w:sz w:val="24"/>
          <w:szCs w:val="24"/>
        </w:rPr>
        <w:t>Zhang LJ, Wen J, Ni L, Zhong J, Liang X, Zheng G, et al. Predominant gray matter volume loss in patients with end-stage renal disease: a voxel-based morphometry study. </w:t>
      </w:r>
      <w:proofErr w:type="spellStart"/>
      <w:r w:rsidRPr="00981A4F">
        <w:rPr>
          <w:sz w:val="24"/>
          <w:szCs w:val="24"/>
        </w:rPr>
        <w:t>Metab</w:t>
      </w:r>
      <w:proofErr w:type="spellEnd"/>
      <w:r w:rsidRPr="00981A4F">
        <w:rPr>
          <w:sz w:val="24"/>
          <w:szCs w:val="24"/>
        </w:rPr>
        <w:t xml:space="preserve"> Brain Dis. 2013 Dec;28(4):647–54.</w:t>
      </w:r>
    </w:p>
    <w:p w14:paraId="37C22D54" w14:textId="77777777" w:rsidR="00981A4F" w:rsidRPr="00981A4F" w:rsidRDefault="00981A4F" w:rsidP="006D2283">
      <w:pPr>
        <w:numPr>
          <w:ilvl w:val="0"/>
          <w:numId w:val="17"/>
        </w:numPr>
        <w:spacing w:after="0"/>
        <w:rPr>
          <w:sz w:val="24"/>
          <w:szCs w:val="24"/>
        </w:rPr>
      </w:pPr>
      <w:bookmarkStart w:id="46" w:name="ref10"/>
      <w:bookmarkEnd w:id="46"/>
      <w:r w:rsidRPr="00981A4F">
        <w:rPr>
          <w:sz w:val="24"/>
          <w:szCs w:val="24"/>
        </w:rPr>
        <w:t>Kong X, Wen JQ, Qi RF, Luo S, Zhong JH, Chen HJ, et al. Diffuse interstitial brain edema in patients with end-stage renal disease undergoing hemodialysis: a tract-based spatial statistics study. Medicine. 2014 Dec;93(28</w:t>
      </w:r>
      <w:proofErr w:type="gramStart"/>
      <w:r w:rsidRPr="00981A4F">
        <w:rPr>
          <w:sz w:val="24"/>
          <w:szCs w:val="24"/>
        </w:rPr>
        <w:t>):e</w:t>
      </w:r>
      <w:proofErr w:type="gramEnd"/>
      <w:r w:rsidRPr="00981A4F">
        <w:rPr>
          <w:sz w:val="24"/>
          <w:szCs w:val="24"/>
        </w:rPr>
        <w:t>313.</w:t>
      </w:r>
    </w:p>
    <w:p w14:paraId="0E0AE94B" w14:textId="77777777" w:rsidR="00981A4F" w:rsidRPr="00981A4F" w:rsidRDefault="00981A4F" w:rsidP="006D2283">
      <w:pPr>
        <w:numPr>
          <w:ilvl w:val="0"/>
          <w:numId w:val="17"/>
        </w:numPr>
        <w:spacing w:after="0"/>
        <w:rPr>
          <w:sz w:val="24"/>
          <w:szCs w:val="24"/>
        </w:rPr>
      </w:pPr>
      <w:bookmarkStart w:id="47" w:name="ref11"/>
      <w:bookmarkEnd w:id="47"/>
      <w:r w:rsidRPr="00981A4F">
        <w:rPr>
          <w:sz w:val="24"/>
          <w:szCs w:val="24"/>
        </w:rPr>
        <w:t xml:space="preserve">Murray AM, </w:t>
      </w:r>
      <w:proofErr w:type="spellStart"/>
      <w:r w:rsidRPr="00981A4F">
        <w:rPr>
          <w:sz w:val="24"/>
          <w:szCs w:val="24"/>
        </w:rPr>
        <w:t>Seliger</w:t>
      </w:r>
      <w:proofErr w:type="spellEnd"/>
      <w:r w:rsidRPr="00981A4F">
        <w:rPr>
          <w:sz w:val="24"/>
          <w:szCs w:val="24"/>
        </w:rPr>
        <w:t xml:space="preserve"> S, </w:t>
      </w:r>
      <w:proofErr w:type="spellStart"/>
      <w:r w:rsidRPr="00981A4F">
        <w:rPr>
          <w:sz w:val="24"/>
          <w:szCs w:val="24"/>
        </w:rPr>
        <w:t>Lakshminarayan</w:t>
      </w:r>
      <w:proofErr w:type="spellEnd"/>
      <w:r w:rsidRPr="00981A4F">
        <w:rPr>
          <w:sz w:val="24"/>
          <w:szCs w:val="24"/>
        </w:rPr>
        <w:t xml:space="preserve"> K, Herzog CA, Solid CA. Incidence of stroke before and after dialysis initiation in older patients. J Am Soc Nephrol. 2013 Jun;24(7):1166–73.</w:t>
      </w:r>
    </w:p>
    <w:p w14:paraId="70512DD0" w14:textId="77777777" w:rsidR="00981A4F" w:rsidRPr="00981A4F" w:rsidRDefault="00981A4F" w:rsidP="006D2283">
      <w:pPr>
        <w:numPr>
          <w:ilvl w:val="0"/>
          <w:numId w:val="17"/>
        </w:numPr>
        <w:spacing w:after="0"/>
        <w:rPr>
          <w:sz w:val="24"/>
          <w:szCs w:val="24"/>
        </w:rPr>
      </w:pPr>
      <w:bookmarkStart w:id="48" w:name="ref12"/>
      <w:bookmarkEnd w:id="48"/>
      <w:proofErr w:type="spellStart"/>
      <w:r w:rsidRPr="00981A4F">
        <w:rPr>
          <w:sz w:val="24"/>
          <w:szCs w:val="24"/>
        </w:rPr>
        <w:t>Yoshimitsu</w:t>
      </w:r>
      <w:proofErr w:type="spellEnd"/>
      <w:r w:rsidRPr="00981A4F">
        <w:rPr>
          <w:sz w:val="24"/>
          <w:szCs w:val="24"/>
        </w:rPr>
        <w:t xml:space="preserve"> T, Hirakata H, </w:t>
      </w:r>
      <w:proofErr w:type="spellStart"/>
      <w:r w:rsidRPr="00981A4F">
        <w:rPr>
          <w:sz w:val="24"/>
          <w:szCs w:val="24"/>
        </w:rPr>
        <w:t>Fujii</w:t>
      </w:r>
      <w:proofErr w:type="spellEnd"/>
      <w:r w:rsidRPr="00981A4F">
        <w:rPr>
          <w:sz w:val="24"/>
          <w:szCs w:val="24"/>
        </w:rPr>
        <w:t xml:space="preserve"> K, Kanai H, Hirakata E, Higashi H, et al. Cerebral ischemia as a causative mechanism for rapid progression of brain atrophy in chronic hemodialysis patients. Clin Nephrol. 2000 Jun;53(6):445–51.</w:t>
      </w:r>
    </w:p>
    <w:p w14:paraId="755765BE" w14:textId="77777777" w:rsidR="00981A4F" w:rsidRPr="00981A4F" w:rsidRDefault="00981A4F" w:rsidP="006D2283">
      <w:pPr>
        <w:numPr>
          <w:ilvl w:val="0"/>
          <w:numId w:val="17"/>
        </w:numPr>
        <w:spacing w:after="0"/>
        <w:rPr>
          <w:sz w:val="24"/>
          <w:szCs w:val="24"/>
        </w:rPr>
      </w:pPr>
      <w:bookmarkStart w:id="49" w:name="ref13"/>
      <w:bookmarkEnd w:id="49"/>
      <w:proofErr w:type="spellStart"/>
      <w:r w:rsidRPr="00981A4F">
        <w:rPr>
          <w:sz w:val="24"/>
          <w:szCs w:val="24"/>
        </w:rPr>
        <w:t>Seliger</w:t>
      </w:r>
      <w:proofErr w:type="spellEnd"/>
      <w:r w:rsidRPr="00981A4F">
        <w:rPr>
          <w:sz w:val="24"/>
          <w:szCs w:val="24"/>
        </w:rPr>
        <w:t xml:space="preserve"> SL, Weiner DE. Cognitive impairment in dialysis patients: focus on the blood vessels? Am J Kidney Dis. 2013 Feb;61(2):187–90.</w:t>
      </w:r>
    </w:p>
    <w:p w14:paraId="3707893F" w14:textId="77777777" w:rsidR="00981A4F" w:rsidRPr="00981A4F" w:rsidRDefault="00981A4F" w:rsidP="006D2283">
      <w:pPr>
        <w:numPr>
          <w:ilvl w:val="0"/>
          <w:numId w:val="17"/>
        </w:numPr>
        <w:spacing w:after="0"/>
        <w:rPr>
          <w:sz w:val="24"/>
          <w:szCs w:val="24"/>
        </w:rPr>
      </w:pPr>
      <w:bookmarkStart w:id="50" w:name="ref14"/>
      <w:bookmarkEnd w:id="50"/>
      <w:r w:rsidRPr="00981A4F">
        <w:rPr>
          <w:sz w:val="24"/>
          <w:szCs w:val="24"/>
        </w:rPr>
        <w:t>McIntyre CW. Recurrent circulatory stress: the dark side of dialysis. Semin Dial. 2010 Sep–Oct;23(5):449–51.</w:t>
      </w:r>
    </w:p>
    <w:p w14:paraId="2A8A99B8" w14:textId="77777777" w:rsidR="00981A4F" w:rsidRPr="00981A4F" w:rsidRDefault="00981A4F" w:rsidP="006D2283">
      <w:pPr>
        <w:numPr>
          <w:ilvl w:val="0"/>
          <w:numId w:val="17"/>
        </w:numPr>
        <w:spacing w:after="0"/>
        <w:rPr>
          <w:sz w:val="24"/>
          <w:szCs w:val="24"/>
        </w:rPr>
      </w:pPr>
      <w:bookmarkStart w:id="51" w:name="ref15"/>
      <w:bookmarkEnd w:id="51"/>
      <w:r w:rsidRPr="00981A4F">
        <w:rPr>
          <w:sz w:val="24"/>
          <w:szCs w:val="24"/>
        </w:rPr>
        <w:lastRenderedPageBreak/>
        <w:t xml:space="preserve">MacEwen C, Sutherland S, Daly J, Pugh C, </w:t>
      </w:r>
      <w:proofErr w:type="spellStart"/>
      <w:r w:rsidRPr="00981A4F">
        <w:rPr>
          <w:sz w:val="24"/>
          <w:szCs w:val="24"/>
        </w:rPr>
        <w:t>Tarassenko</w:t>
      </w:r>
      <w:proofErr w:type="spellEnd"/>
      <w:r w:rsidRPr="00981A4F">
        <w:rPr>
          <w:sz w:val="24"/>
          <w:szCs w:val="24"/>
        </w:rPr>
        <w:t xml:space="preserve"> L. Relationship between hypotension and cerebral ischemia during hemodialysis. J Am Soc Nephrol. 2017 Aug;28(8):2511–20.</w:t>
      </w:r>
    </w:p>
    <w:p w14:paraId="42126E48" w14:textId="77777777" w:rsidR="00981A4F" w:rsidRPr="00981A4F" w:rsidRDefault="00981A4F" w:rsidP="006D2283">
      <w:pPr>
        <w:numPr>
          <w:ilvl w:val="0"/>
          <w:numId w:val="17"/>
        </w:numPr>
        <w:spacing w:after="0"/>
        <w:rPr>
          <w:sz w:val="24"/>
          <w:szCs w:val="24"/>
        </w:rPr>
      </w:pPr>
      <w:bookmarkStart w:id="52" w:name="ref16"/>
      <w:bookmarkEnd w:id="52"/>
      <w:proofErr w:type="spellStart"/>
      <w:r w:rsidRPr="00981A4F">
        <w:rPr>
          <w:sz w:val="24"/>
          <w:szCs w:val="24"/>
        </w:rPr>
        <w:t>Polinder</w:t>
      </w:r>
      <w:proofErr w:type="spellEnd"/>
      <w:r w:rsidRPr="00981A4F">
        <w:rPr>
          <w:sz w:val="24"/>
          <w:szCs w:val="24"/>
        </w:rPr>
        <w:t xml:space="preserve">-Bos HA, García DV, </w:t>
      </w:r>
      <w:proofErr w:type="spellStart"/>
      <w:r w:rsidRPr="00981A4F">
        <w:rPr>
          <w:sz w:val="24"/>
          <w:szCs w:val="24"/>
        </w:rPr>
        <w:t>Kuipers</w:t>
      </w:r>
      <w:proofErr w:type="spellEnd"/>
      <w:r w:rsidRPr="00981A4F">
        <w:rPr>
          <w:sz w:val="24"/>
          <w:szCs w:val="24"/>
        </w:rPr>
        <w:t xml:space="preserve"> J, </w:t>
      </w:r>
      <w:proofErr w:type="spellStart"/>
      <w:r w:rsidRPr="00981A4F">
        <w:rPr>
          <w:sz w:val="24"/>
          <w:szCs w:val="24"/>
        </w:rPr>
        <w:t>Elting</w:t>
      </w:r>
      <w:proofErr w:type="spellEnd"/>
      <w:r w:rsidRPr="00981A4F">
        <w:rPr>
          <w:sz w:val="24"/>
          <w:szCs w:val="24"/>
        </w:rPr>
        <w:t xml:space="preserve"> JWJ, Aries MJH, Krijnen WP, et al. Hemodialysis induces an acute decline in cerebral blood flow in elderly patients. J Am Soc Nephrol. 2018 Apr;29(4):1317–25.</w:t>
      </w:r>
    </w:p>
    <w:p w14:paraId="4C28C01D" w14:textId="77777777" w:rsidR="00981A4F" w:rsidRPr="00981A4F" w:rsidRDefault="00981A4F" w:rsidP="006D2283">
      <w:pPr>
        <w:numPr>
          <w:ilvl w:val="0"/>
          <w:numId w:val="17"/>
        </w:numPr>
        <w:spacing w:after="0"/>
        <w:rPr>
          <w:sz w:val="24"/>
          <w:szCs w:val="24"/>
        </w:rPr>
      </w:pPr>
      <w:bookmarkStart w:id="53" w:name="ref17"/>
      <w:bookmarkEnd w:id="53"/>
      <w:r w:rsidRPr="00981A4F">
        <w:rPr>
          <w:sz w:val="24"/>
          <w:szCs w:val="24"/>
        </w:rPr>
        <w:t>Findlay MD, Dawson J, Dickie DA, Forbes KP, McGlynn D, Quinn T, et al. Investigating the relationship between cerebral blood flow and cognitive function in hemodialysis patients. J Am Soc Nephrol. 2019 Jan;30(1):147–58.</w:t>
      </w:r>
    </w:p>
    <w:p w14:paraId="64631C92" w14:textId="77777777" w:rsidR="00981A4F" w:rsidRPr="00981A4F" w:rsidRDefault="00981A4F" w:rsidP="006D2283">
      <w:pPr>
        <w:numPr>
          <w:ilvl w:val="0"/>
          <w:numId w:val="17"/>
        </w:numPr>
        <w:spacing w:after="0"/>
        <w:rPr>
          <w:sz w:val="24"/>
          <w:szCs w:val="24"/>
        </w:rPr>
      </w:pPr>
      <w:bookmarkStart w:id="54" w:name="ref18"/>
      <w:bookmarkEnd w:id="54"/>
      <w:r w:rsidRPr="00981A4F">
        <w:rPr>
          <w:sz w:val="24"/>
          <w:szCs w:val="24"/>
        </w:rPr>
        <w:t xml:space="preserve">Kalinosky BT, Schindler-Ivens S, Schmit BD. White matter structural connectivity is associated with sensorimotor function in stroke survivors. Neuroimage Clin. </w:t>
      </w:r>
      <w:proofErr w:type="gramStart"/>
      <w:r w:rsidRPr="00981A4F">
        <w:rPr>
          <w:sz w:val="24"/>
          <w:szCs w:val="24"/>
        </w:rPr>
        <w:t>2013;2:767</w:t>
      </w:r>
      <w:proofErr w:type="gramEnd"/>
      <w:r w:rsidRPr="00981A4F">
        <w:rPr>
          <w:sz w:val="24"/>
          <w:szCs w:val="24"/>
        </w:rPr>
        <w:t>–81.</w:t>
      </w:r>
    </w:p>
    <w:p w14:paraId="243B4C6E" w14:textId="77777777" w:rsidR="00981A4F" w:rsidRPr="00981A4F" w:rsidRDefault="00981A4F" w:rsidP="006D2283">
      <w:pPr>
        <w:numPr>
          <w:ilvl w:val="0"/>
          <w:numId w:val="17"/>
        </w:numPr>
        <w:spacing w:after="0"/>
        <w:rPr>
          <w:sz w:val="24"/>
          <w:szCs w:val="24"/>
        </w:rPr>
      </w:pPr>
      <w:bookmarkStart w:id="55" w:name="ref19"/>
      <w:bookmarkEnd w:id="55"/>
      <w:r w:rsidRPr="00981A4F">
        <w:rPr>
          <w:sz w:val="24"/>
          <w:szCs w:val="24"/>
        </w:rPr>
        <w:t xml:space="preserve">Heaton RK, </w:t>
      </w:r>
      <w:proofErr w:type="spellStart"/>
      <w:r w:rsidRPr="00981A4F">
        <w:rPr>
          <w:sz w:val="24"/>
          <w:szCs w:val="24"/>
        </w:rPr>
        <w:t>Akshoomoff</w:t>
      </w:r>
      <w:proofErr w:type="spellEnd"/>
      <w:r w:rsidRPr="00981A4F">
        <w:rPr>
          <w:sz w:val="24"/>
          <w:szCs w:val="24"/>
        </w:rPr>
        <w:t xml:space="preserve"> N, </w:t>
      </w:r>
      <w:proofErr w:type="spellStart"/>
      <w:r w:rsidRPr="00981A4F">
        <w:rPr>
          <w:sz w:val="24"/>
          <w:szCs w:val="24"/>
        </w:rPr>
        <w:t>Tulsky</w:t>
      </w:r>
      <w:proofErr w:type="spellEnd"/>
      <w:r w:rsidRPr="00981A4F">
        <w:rPr>
          <w:sz w:val="24"/>
          <w:szCs w:val="24"/>
        </w:rPr>
        <w:t xml:space="preserve"> D, </w:t>
      </w:r>
      <w:proofErr w:type="spellStart"/>
      <w:r w:rsidRPr="00981A4F">
        <w:rPr>
          <w:sz w:val="24"/>
          <w:szCs w:val="24"/>
        </w:rPr>
        <w:t>Mungas</w:t>
      </w:r>
      <w:proofErr w:type="spellEnd"/>
      <w:r w:rsidRPr="00981A4F">
        <w:rPr>
          <w:sz w:val="24"/>
          <w:szCs w:val="24"/>
        </w:rPr>
        <w:t xml:space="preserve"> D, Weintraub S, </w:t>
      </w:r>
      <w:proofErr w:type="spellStart"/>
      <w:r w:rsidRPr="00981A4F">
        <w:rPr>
          <w:sz w:val="24"/>
          <w:szCs w:val="24"/>
        </w:rPr>
        <w:t>Dikmen</w:t>
      </w:r>
      <w:proofErr w:type="spellEnd"/>
      <w:r w:rsidRPr="00981A4F">
        <w:rPr>
          <w:sz w:val="24"/>
          <w:szCs w:val="24"/>
        </w:rPr>
        <w:t xml:space="preserve"> S, et al. Reliability and validity of composite scores from the NIH Toolbox Cognition Battery in adults. J Int </w:t>
      </w:r>
      <w:proofErr w:type="spellStart"/>
      <w:r w:rsidRPr="00981A4F">
        <w:rPr>
          <w:sz w:val="24"/>
          <w:szCs w:val="24"/>
        </w:rPr>
        <w:t>Neuropsychol</w:t>
      </w:r>
      <w:proofErr w:type="spellEnd"/>
      <w:r w:rsidRPr="00981A4F">
        <w:rPr>
          <w:sz w:val="24"/>
          <w:szCs w:val="24"/>
        </w:rPr>
        <w:t xml:space="preserve"> Soc. 2014 Jul;20(6):588–98.</w:t>
      </w:r>
    </w:p>
    <w:p w14:paraId="015CE264" w14:textId="77777777" w:rsidR="00981A4F" w:rsidRPr="00981A4F" w:rsidRDefault="00981A4F" w:rsidP="006D2283">
      <w:pPr>
        <w:numPr>
          <w:ilvl w:val="0"/>
          <w:numId w:val="17"/>
        </w:numPr>
        <w:spacing w:after="0"/>
        <w:rPr>
          <w:sz w:val="24"/>
          <w:szCs w:val="24"/>
        </w:rPr>
      </w:pPr>
      <w:bookmarkStart w:id="56" w:name="ref20"/>
      <w:bookmarkEnd w:id="56"/>
      <w:r w:rsidRPr="00981A4F">
        <w:rPr>
          <w:sz w:val="24"/>
          <w:szCs w:val="24"/>
        </w:rPr>
        <w:t>Murray AM, Pederson SL, Tupper DE, Hochhalter AK, Miller WA, Li Q, et al. Acute variation in cognitive function in hemodialysis patients: a cohort study with repeated measures. Am J Kidney Dis. 2007 Aug;50(2):270–8.</w:t>
      </w:r>
    </w:p>
    <w:p w14:paraId="0C31FF67" w14:textId="77777777" w:rsidR="00981A4F" w:rsidRPr="00981A4F" w:rsidRDefault="00981A4F" w:rsidP="006D2283">
      <w:pPr>
        <w:numPr>
          <w:ilvl w:val="0"/>
          <w:numId w:val="17"/>
        </w:numPr>
        <w:spacing w:after="0"/>
        <w:rPr>
          <w:sz w:val="24"/>
          <w:szCs w:val="24"/>
        </w:rPr>
      </w:pPr>
      <w:bookmarkStart w:id="57" w:name="ref21"/>
      <w:bookmarkEnd w:id="57"/>
      <w:proofErr w:type="spellStart"/>
      <w:r w:rsidRPr="00981A4F">
        <w:rPr>
          <w:sz w:val="24"/>
          <w:szCs w:val="24"/>
        </w:rPr>
        <w:t>Desikan</w:t>
      </w:r>
      <w:proofErr w:type="spellEnd"/>
      <w:r w:rsidRPr="00981A4F">
        <w:rPr>
          <w:sz w:val="24"/>
          <w:szCs w:val="24"/>
        </w:rPr>
        <w:t xml:space="preserve"> RS, </w:t>
      </w:r>
      <w:proofErr w:type="spellStart"/>
      <w:r w:rsidRPr="00981A4F">
        <w:rPr>
          <w:sz w:val="24"/>
          <w:szCs w:val="24"/>
        </w:rPr>
        <w:t>Ségonne</w:t>
      </w:r>
      <w:proofErr w:type="spellEnd"/>
      <w:r w:rsidRPr="00981A4F">
        <w:rPr>
          <w:sz w:val="24"/>
          <w:szCs w:val="24"/>
        </w:rPr>
        <w:t xml:space="preserve"> F, </w:t>
      </w:r>
      <w:proofErr w:type="spellStart"/>
      <w:r w:rsidRPr="00981A4F">
        <w:rPr>
          <w:sz w:val="24"/>
          <w:szCs w:val="24"/>
        </w:rPr>
        <w:t>Fischl</w:t>
      </w:r>
      <w:proofErr w:type="spellEnd"/>
      <w:r w:rsidRPr="00981A4F">
        <w:rPr>
          <w:sz w:val="24"/>
          <w:szCs w:val="24"/>
        </w:rPr>
        <w:t xml:space="preserve"> B, Quinn BT, Dickerson BC, Blacker D, et al. An automated labeling system for subdividing the human cerebral cortex on MRI scans into </w:t>
      </w:r>
      <w:proofErr w:type="spellStart"/>
      <w:r w:rsidRPr="00981A4F">
        <w:rPr>
          <w:sz w:val="24"/>
          <w:szCs w:val="24"/>
        </w:rPr>
        <w:t>gyral</w:t>
      </w:r>
      <w:proofErr w:type="spellEnd"/>
      <w:r w:rsidRPr="00981A4F">
        <w:rPr>
          <w:sz w:val="24"/>
          <w:szCs w:val="24"/>
        </w:rPr>
        <w:t xml:space="preserve"> based regions of interest. Neuroimage. 2006 Jul 1;31(3):968–80.</w:t>
      </w:r>
    </w:p>
    <w:p w14:paraId="53F54F0B" w14:textId="77777777" w:rsidR="00981A4F" w:rsidRPr="00981A4F" w:rsidRDefault="00981A4F" w:rsidP="006D2283">
      <w:pPr>
        <w:numPr>
          <w:ilvl w:val="0"/>
          <w:numId w:val="17"/>
        </w:numPr>
        <w:spacing w:after="0"/>
        <w:rPr>
          <w:sz w:val="24"/>
          <w:szCs w:val="24"/>
        </w:rPr>
      </w:pPr>
      <w:bookmarkStart w:id="58" w:name="ref22"/>
      <w:bookmarkEnd w:id="58"/>
      <w:proofErr w:type="spellStart"/>
      <w:r w:rsidRPr="00981A4F">
        <w:rPr>
          <w:sz w:val="24"/>
          <w:szCs w:val="24"/>
        </w:rPr>
        <w:t>Diedrichsen</w:t>
      </w:r>
      <w:proofErr w:type="spellEnd"/>
      <w:r w:rsidRPr="00981A4F">
        <w:rPr>
          <w:sz w:val="24"/>
          <w:szCs w:val="24"/>
        </w:rPr>
        <w:t xml:space="preserve"> J, </w:t>
      </w:r>
      <w:proofErr w:type="spellStart"/>
      <w:r w:rsidRPr="00981A4F">
        <w:rPr>
          <w:sz w:val="24"/>
          <w:szCs w:val="24"/>
        </w:rPr>
        <w:t>Balsters</w:t>
      </w:r>
      <w:proofErr w:type="spellEnd"/>
      <w:r w:rsidRPr="00981A4F">
        <w:rPr>
          <w:sz w:val="24"/>
          <w:szCs w:val="24"/>
        </w:rPr>
        <w:t xml:space="preserve"> JH, Flavell J, </w:t>
      </w:r>
      <w:proofErr w:type="spellStart"/>
      <w:r w:rsidRPr="00981A4F">
        <w:rPr>
          <w:sz w:val="24"/>
          <w:szCs w:val="24"/>
        </w:rPr>
        <w:t>Cussans</w:t>
      </w:r>
      <w:proofErr w:type="spellEnd"/>
      <w:r w:rsidRPr="00981A4F">
        <w:rPr>
          <w:sz w:val="24"/>
          <w:szCs w:val="24"/>
        </w:rPr>
        <w:t xml:space="preserve"> E, </w:t>
      </w:r>
      <w:proofErr w:type="spellStart"/>
      <w:r w:rsidRPr="00981A4F">
        <w:rPr>
          <w:sz w:val="24"/>
          <w:szCs w:val="24"/>
        </w:rPr>
        <w:t>Ramnani</w:t>
      </w:r>
      <w:proofErr w:type="spellEnd"/>
      <w:r w:rsidRPr="00981A4F">
        <w:rPr>
          <w:sz w:val="24"/>
          <w:szCs w:val="24"/>
        </w:rPr>
        <w:t xml:space="preserve"> N. A probabilistic MR atlas of the human cerebellum. Neuroimage. 2009 May 15;46(1):39–46.</w:t>
      </w:r>
    </w:p>
    <w:p w14:paraId="5AA9292D" w14:textId="77777777" w:rsidR="00981A4F" w:rsidRPr="00981A4F" w:rsidRDefault="00981A4F" w:rsidP="006D2283">
      <w:pPr>
        <w:numPr>
          <w:ilvl w:val="0"/>
          <w:numId w:val="17"/>
        </w:numPr>
        <w:spacing w:after="0"/>
        <w:rPr>
          <w:sz w:val="24"/>
          <w:szCs w:val="24"/>
        </w:rPr>
      </w:pPr>
      <w:bookmarkStart w:id="59" w:name="ref23"/>
      <w:bookmarkEnd w:id="59"/>
      <w:proofErr w:type="spellStart"/>
      <w:r w:rsidRPr="00981A4F">
        <w:rPr>
          <w:sz w:val="24"/>
          <w:szCs w:val="24"/>
        </w:rPr>
        <w:t>Leemans</w:t>
      </w:r>
      <w:proofErr w:type="spellEnd"/>
      <w:r w:rsidRPr="00981A4F">
        <w:rPr>
          <w:sz w:val="24"/>
          <w:szCs w:val="24"/>
        </w:rPr>
        <w:t xml:space="preserve"> A, Jones DK. The B-matrix must be rotated when correcting for subject motion in DTI data. </w:t>
      </w:r>
      <w:proofErr w:type="spellStart"/>
      <w:r w:rsidRPr="00981A4F">
        <w:rPr>
          <w:sz w:val="24"/>
          <w:szCs w:val="24"/>
        </w:rPr>
        <w:t>Magn</w:t>
      </w:r>
      <w:proofErr w:type="spellEnd"/>
      <w:r w:rsidRPr="00981A4F">
        <w:rPr>
          <w:sz w:val="24"/>
          <w:szCs w:val="24"/>
        </w:rPr>
        <w:t xml:space="preserve"> </w:t>
      </w:r>
      <w:proofErr w:type="spellStart"/>
      <w:r w:rsidRPr="00981A4F">
        <w:rPr>
          <w:sz w:val="24"/>
          <w:szCs w:val="24"/>
        </w:rPr>
        <w:t>Reson</w:t>
      </w:r>
      <w:proofErr w:type="spellEnd"/>
      <w:r w:rsidRPr="00981A4F">
        <w:rPr>
          <w:sz w:val="24"/>
          <w:szCs w:val="24"/>
        </w:rPr>
        <w:t xml:space="preserve"> Med. 2009 Jun;61(6):1336–49.</w:t>
      </w:r>
    </w:p>
    <w:p w14:paraId="691257D7" w14:textId="77777777" w:rsidR="00981A4F" w:rsidRPr="00981A4F" w:rsidRDefault="00981A4F" w:rsidP="006D2283">
      <w:pPr>
        <w:numPr>
          <w:ilvl w:val="0"/>
          <w:numId w:val="17"/>
        </w:numPr>
        <w:spacing w:after="0"/>
        <w:rPr>
          <w:sz w:val="24"/>
          <w:szCs w:val="24"/>
        </w:rPr>
      </w:pPr>
      <w:bookmarkStart w:id="60" w:name="ref24"/>
      <w:bookmarkEnd w:id="60"/>
      <w:r w:rsidRPr="00981A4F">
        <w:rPr>
          <w:sz w:val="24"/>
          <w:szCs w:val="24"/>
        </w:rPr>
        <w:t xml:space="preserve">Andersson JLR, Sotiropoulos SN. An integrated approach to correction for off-resonance effects and subject movement in diffusion MR imaging. Neuroimage. 2016 Jan </w:t>
      </w:r>
      <w:proofErr w:type="gramStart"/>
      <w:r w:rsidRPr="00981A4F">
        <w:rPr>
          <w:sz w:val="24"/>
          <w:szCs w:val="24"/>
        </w:rPr>
        <w:t>15;125:1063</w:t>
      </w:r>
      <w:proofErr w:type="gramEnd"/>
      <w:r w:rsidRPr="00981A4F">
        <w:rPr>
          <w:sz w:val="24"/>
          <w:szCs w:val="24"/>
        </w:rPr>
        <w:t>–78.</w:t>
      </w:r>
    </w:p>
    <w:p w14:paraId="2CBF758F" w14:textId="77777777" w:rsidR="00981A4F" w:rsidRPr="00981A4F" w:rsidRDefault="00981A4F" w:rsidP="006D2283">
      <w:pPr>
        <w:numPr>
          <w:ilvl w:val="0"/>
          <w:numId w:val="17"/>
        </w:numPr>
        <w:spacing w:after="0"/>
        <w:rPr>
          <w:sz w:val="24"/>
          <w:szCs w:val="24"/>
        </w:rPr>
      </w:pPr>
      <w:bookmarkStart w:id="61" w:name="ref25"/>
      <w:bookmarkEnd w:id="61"/>
      <w:proofErr w:type="spellStart"/>
      <w:r w:rsidRPr="00981A4F">
        <w:rPr>
          <w:sz w:val="24"/>
          <w:szCs w:val="24"/>
        </w:rPr>
        <w:t>Basser</w:t>
      </w:r>
      <w:proofErr w:type="spellEnd"/>
      <w:r w:rsidRPr="00981A4F">
        <w:rPr>
          <w:sz w:val="24"/>
          <w:szCs w:val="24"/>
        </w:rPr>
        <w:t xml:space="preserve"> PJ, </w:t>
      </w:r>
      <w:proofErr w:type="spellStart"/>
      <w:r w:rsidRPr="00981A4F">
        <w:rPr>
          <w:sz w:val="24"/>
          <w:szCs w:val="24"/>
        </w:rPr>
        <w:t>Mattiello</w:t>
      </w:r>
      <w:proofErr w:type="spellEnd"/>
      <w:r w:rsidRPr="00981A4F">
        <w:rPr>
          <w:sz w:val="24"/>
          <w:szCs w:val="24"/>
        </w:rPr>
        <w:t xml:space="preserve"> J, </w:t>
      </w:r>
      <w:proofErr w:type="spellStart"/>
      <w:r w:rsidRPr="00981A4F">
        <w:rPr>
          <w:sz w:val="24"/>
          <w:szCs w:val="24"/>
        </w:rPr>
        <w:t>LeBihan</w:t>
      </w:r>
      <w:proofErr w:type="spellEnd"/>
      <w:r w:rsidRPr="00981A4F">
        <w:rPr>
          <w:sz w:val="24"/>
          <w:szCs w:val="24"/>
        </w:rPr>
        <w:t xml:space="preserve"> D. MR diffusion tensor spectroscopy and imaging. </w:t>
      </w:r>
      <w:proofErr w:type="spellStart"/>
      <w:r w:rsidRPr="00981A4F">
        <w:rPr>
          <w:sz w:val="24"/>
          <w:szCs w:val="24"/>
        </w:rPr>
        <w:t>Biophys</w:t>
      </w:r>
      <w:proofErr w:type="spellEnd"/>
      <w:r w:rsidRPr="00981A4F">
        <w:rPr>
          <w:sz w:val="24"/>
          <w:szCs w:val="24"/>
        </w:rPr>
        <w:t xml:space="preserve"> J. 1994 Jan;66(1):259–67.</w:t>
      </w:r>
    </w:p>
    <w:p w14:paraId="1D9FCB06" w14:textId="77777777" w:rsidR="00981A4F" w:rsidRPr="00981A4F" w:rsidRDefault="00981A4F" w:rsidP="006D2283">
      <w:pPr>
        <w:numPr>
          <w:ilvl w:val="0"/>
          <w:numId w:val="17"/>
        </w:numPr>
        <w:spacing w:after="0"/>
        <w:rPr>
          <w:sz w:val="24"/>
          <w:szCs w:val="24"/>
        </w:rPr>
      </w:pPr>
      <w:bookmarkStart w:id="62" w:name="ref26"/>
      <w:bookmarkEnd w:id="62"/>
      <w:r w:rsidRPr="00981A4F">
        <w:rPr>
          <w:sz w:val="24"/>
          <w:szCs w:val="24"/>
        </w:rPr>
        <w:t>Song SK, Sun SW, Ju WK, Lin SJ, Cross AH, Neufeld AH. Diffusion tensor imaging detects and differentiates axon and myelin degeneration in mouse optic nerve after retinal ischemia. Neuroimage. 2003 Nov;20(3):1714–22.</w:t>
      </w:r>
    </w:p>
    <w:p w14:paraId="714F2777" w14:textId="77777777" w:rsidR="00981A4F" w:rsidRPr="00981A4F" w:rsidRDefault="00981A4F" w:rsidP="006D2283">
      <w:pPr>
        <w:numPr>
          <w:ilvl w:val="0"/>
          <w:numId w:val="17"/>
        </w:numPr>
        <w:spacing w:after="0"/>
        <w:rPr>
          <w:sz w:val="24"/>
          <w:szCs w:val="24"/>
        </w:rPr>
      </w:pPr>
      <w:bookmarkStart w:id="63" w:name="ref27"/>
      <w:bookmarkEnd w:id="63"/>
      <w:proofErr w:type="spellStart"/>
      <w:r w:rsidRPr="00981A4F">
        <w:rPr>
          <w:sz w:val="24"/>
          <w:szCs w:val="24"/>
        </w:rPr>
        <w:t>Hagmann</w:t>
      </w:r>
      <w:proofErr w:type="spellEnd"/>
      <w:r w:rsidRPr="00981A4F">
        <w:rPr>
          <w:sz w:val="24"/>
          <w:szCs w:val="24"/>
        </w:rPr>
        <w:t xml:space="preserve"> P, </w:t>
      </w:r>
      <w:proofErr w:type="spellStart"/>
      <w:r w:rsidRPr="00981A4F">
        <w:rPr>
          <w:sz w:val="24"/>
          <w:szCs w:val="24"/>
        </w:rPr>
        <w:t>Jonasson</w:t>
      </w:r>
      <w:proofErr w:type="spellEnd"/>
      <w:r w:rsidRPr="00981A4F">
        <w:rPr>
          <w:sz w:val="24"/>
          <w:szCs w:val="24"/>
        </w:rPr>
        <w:t xml:space="preserve"> L, </w:t>
      </w:r>
      <w:proofErr w:type="spellStart"/>
      <w:r w:rsidRPr="00981A4F">
        <w:rPr>
          <w:sz w:val="24"/>
          <w:szCs w:val="24"/>
        </w:rPr>
        <w:t>Maeder</w:t>
      </w:r>
      <w:proofErr w:type="spellEnd"/>
      <w:r w:rsidRPr="00981A4F">
        <w:rPr>
          <w:sz w:val="24"/>
          <w:szCs w:val="24"/>
        </w:rPr>
        <w:t xml:space="preserve"> P, </w:t>
      </w:r>
      <w:proofErr w:type="spellStart"/>
      <w:r w:rsidRPr="00981A4F">
        <w:rPr>
          <w:sz w:val="24"/>
          <w:szCs w:val="24"/>
        </w:rPr>
        <w:t>Thiran</w:t>
      </w:r>
      <w:proofErr w:type="spellEnd"/>
      <w:r w:rsidRPr="00981A4F">
        <w:rPr>
          <w:sz w:val="24"/>
          <w:szCs w:val="24"/>
        </w:rPr>
        <w:t xml:space="preserve"> JP, </w:t>
      </w:r>
      <w:proofErr w:type="spellStart"/>
      <w:r w:rsidRPr="00981A4F">
        <w:rPr>
          <w:sz w:val="24"/>
          <w:szCs w:val="24"/>
        </w:rPr>
        <w:t>Wedeen</w:t>
      </w:r>
      <w:proofErr w:type="spellEnd"/>
      <w:r w:rsidRPr="00981A4F">
        <w:rPr>
          <w:sz w:val="24"/>
          <w:szCs w:val="24"/>
        </w:rPr>
        <w:t xml:space="preserve"> VJ, </w:t>
      </w:r>
      <w:proofErr w:type="spellStart"/>
      <w:r w:rsidRPr="00981A4F">
        <w:rPr>
          <w:sz w:val="24"/>
          <w:szCs w:val="24"/>
        </w:rPr>
        <w:t>Meuli</w:t>
      </w:r>
      <w:proofErr w:type="spellEnd"/>
      <w:r w:rsidRPr="00981A4F">
        <w:rPr>
          <w:sz w:val="24"/>
          <w:szCs w:val="24"/>
        </w:rPr>
        <w:t xml:space="preserve"> R. Understanding diffusion MR imaging techniques: from scalar diffusion-weighted imaging to diffusion tensor imaging and beyond. </w:t>
      </w:r>
      <w:proofErr w:type="spellStart"/>
      <w:r w:rsidRPr="00981A4F">
        <w:rPr>
          <w:sz w:val="24"/>
          <w:szCs w:val="24"/>
        </w:rPr>
        <w:t>Radiographics</w:t>
      </w:r>
      <w:proofErr w:type="spellEnd"/>
      <w:r w:rsidRPr="00981A4F">
        <w:rPr>
          <w:sz w:val="24"/>
          <w:szCs w:val="24"/>
        </w:rPr>
        <w:t>. 2006 Oct;26(Suppl 1</w:t>
      </w:r>
      <w:proofErr w:type="gramStart"/>
      <w:r w:rsidRPr="00981A4F">
        <w:rPr>
          <w:sz w:val="24"/>
          <w:szCs w:val="24"/>
        </w:rPr>
        <w:t>):S</w:t>
      </w:r>
      <w:proofErr w:type="gramEnd"/>
      <w:r w:rsidRPr="00981A4F">
        <w:rPr>
          <w:sz w:val="24"/>
          <w:szCs w:val="24"/>
        </w:rPr>
        <w:t>205–23.</w:t>
      </w:r>
    </w:p>
    <w:p w14:paraId="13508B6B" w14:textId="77777777" w:rsidR="00981A4F" w:rsidRPr="00981A4F" w:rsidRDefault="00981A4F" w:rsidP="006D2283">
      <w:pPr>
        <w:numPr>
          <w:ilvl w:val="0"/>
          <w:numId w:val="17"/>
        </w:numPr>
        <w:spacing w:after="0"/>
        <w:rPr>
          <w:sz w:val="24"/>
          <w:szCs w:val="24"/>
        </w:rPr>
      </w:pPr>
      <w:bookmarkStart w:id="64" w:name="ref28"/>
      <w:bookmarkEnd w:id="64"/>
      <w:proofErr w:type="spellStart"/>
      <w:r w:rsidRPr="00981A4F">
        <w:rPr>
          <w:sz w:val="24"/>
          <w:szCs w:val="24"/>
        </w:rPr>
        <w:t>Winklewski</w:t>
      </w:r>
      <w:proofErr w:type="spellEnd"/>
      <w:r w:rsidRPr="00981A4F">
        <w:rPr>
          <w:sz w:val="24"/>
          <w:szCs w:val="24"/>
        </w:rPr>
        <w:t xml:space="preserve"> PJ, </w:t>
      </w:r>
      <w:proofErr w:type="spellStart"/>
      <w:r w:rsidRPr="00981A4F">
        <w:rPr>
          <w:sz w:val="24"/>
          <w:szCs w:val="24"/>
        </w:rPr>
        <w:t>Sabisz</w:t>
      </w:r>
      <w:proofErr w:type="spellEnd"/>
      <w:r w:rsidRPr="00981A4F">
        <w:rPr>
          <w:sz w:val="24"/>
          <w:szCs w:val="24"/>
        </w:rPr>
        <w:t xml:space="preserve"> A, </w:t>
      </w:r>
      <w:proofErr w:type="spellStart"/>
      <w:r w:rsidRPr="00981A4F">
        <w:rPr>
          <w:sz w:val="24"/>
          <w:szCs w:val="24"/>
        </w:rPr>
        <w:t>Naumczyk</w:t>
      </w:r>
      <w:proofErr w:type="spellEnd"/>
      <w:r w:rsidRPr="00981A4F">
        <w:rPr>
          <w:sz w:val="24"/>
          <w:szCs w:val="24"/>
        </w:rPr>
        <w:t xml:space="preserve"> P, </w:t>
      </w:r>
      <w:proofErr w:type="spellStart"/>
      <w:r w:rsidRPr="00981A4F">
        <w:rPr>
          <w:sz w:val="24"/>
          <w:szCs w:val="24"/>
        </w:rPr>
        <w:t>Jodzio</w:t>
      </w:r>
      <w:proofErr w:type="spellEnd"/>
      <w:r w:rsidRPr="00981A4F">
        <w:rPr>
          <w:sz w:val="24"/>
          <w:szCs w:val="24"/>
        </w:rPr>
        <w:t xml:space="preserve"> K, </w:t>
      </w:r>
      <w:proofErr w:type="spellStart"/>
      <w:r w:rsidRPr="00981A4F">
        <w:rPr>
          <w:sz w:val="24"/>
          <w:szCs w:val="24"/>
        </w:rPr>
        <w:t>Szurowska</w:t>
      </w:r>
      <w:proofErr w:type="spellEnd"/>
      <w:r w:rsidRPr="00981A4F">
        <w:rPr>
          <w:sz w:val="24"/>
          <w:szCs w:val="24"/>
        </w:rPr>
        <w:t xml:space="preserve"> E, Szarmach A. Understanding the physiopathology behind axial and radial diffusivity changes-what do we know? Front Neurol. </w:t>
      </w:r>
      <w:proofErr w:type="gramStart"/>
      <w:r w:rsidRPr="00981A4F">
        <w:rPr>
          <w:sz w:val="24"/>
          <w:szCs w:val="24"/>
        </w:rPr>
        <w:t>2018;9:92</w:t>
      </w:r>
      <w:proofErr w:type="gramEnd"/>
      <w:r w:rsidRPr="00981A4F">
        <w:rPr>
          <w:sz w:val="24"/>
          <w:szCs w:val="24"/>
        </w:rPr>
        <w:t>.</w:t>
      </w:r>
    </w:p>
    <w:p w14:paraId="238F0BA8" w14:textId="77777777" w:rsidR="00981A4F" w:rsidRPr="00981A4F" w:rsidRDefault="00981A4F" w:rsidP="006D2283">
      <w:pPr>
        <w:numPr>
          <w:ilvl w:val="0"/>
          <w:numId w:val="17"/>
        </w:numPr>
        <w:spacing w:after="0"/>
        <w:rPr>
          <w:sz w:val="24"/>
          <w:szCs w:val="24"/>
        </w:rPr>
      </w:pPr>
      <w:bookmarkStart w:id="65" w:name="ref29"/>
      <w:bookmarkEnd w:id="65"/>
      <w:r w:rsidRPr="00981A4F">
        <w:rPr>
          <w:sz w:val="24"/>
          <w:szCs w:val="24"/>
        </w:rPr>
        <w:t>Behrens TE, Woolrich MW, Jenkinson M, Johansen-Berg H, Nunes RG, Clare S, et al. Characterization and propagation of uncertainty in diffusion-weighted MR imaging. </w:t>
      </w:r>
      <w:proofErr w:type="spellStart"/>
      <w:r w:rsidRPr="00981A4F">
        <w:rPr>
          <w:sz w:val="24"/>
          <w:szCs w:val="24"/>
        </w:rPr>
        <w:t>Magn</w:t>
      </w:r>
      <w:proofErr w:type="spellEnd"/>
      <w:r w:rsidRPr="00981A4F">
        <w:rPr>
          <w:sz w:val="24"/>
          <w:szCs w:val="24"/>
        </w:rPr>
        <w:t xml:space="preserve"> </w:t>
      </w:r>
      <w:proofErr w:type="spellStart"/>
      <w:r w:rsidRPr="00981A4F">
        <w:rPr>
          <w:sz w:val="24"/>
          <w:szCs w:val="24"/>
        </w:rPr>
        <w:t>Reson</w:t>
      </w:r>
      <w:proofErr w:type="spellEnd"/>
      <w:r w:rsidRPr="00981A4F">
        <w:rPr>
          <w:sz w:val="24"/>
          <w:szCs w:val="24"/>
        </w:rPr>
        <w:t xml:space="preserve"> Med. 2003 Nov;50(5):1077–88.</w:t>
      </w:r>
    </w:p>
    <w:p w14:paraId="5A706B70" w14:textId="77777777" w:rsidR="00981A4F" w:rsidRPr="00981A4F" w:rsidRDefault="00981A4F" w:rsidP="006D2283">
      <w:pPr>
        <w:numPr>
          <w:ilvl w:val="0"/>
          <w:numId w:val="17"/>
        </w:numPr>
        <w:spacing w:after="0"/>
        <w:rPr>
          <w:sz w:val="24"/>
          <w:szCs w:val="24"/>
        </w:rPr>
      </w:pPr>
      <w:bookmarkStart w:id="66" w:name="ref30"/>
      <w:bookmarkEnd w:id="66"/>
      <w:r w:rsidRPr="00981A4F">
        <w:rPr>
          <w:sz w:val="24"/>
          <w:szCs w:val="24"/>
        </w:rPr>
        <w:t xml:space="preserve">de Groot M, </w:t>
      </w:r>
      <w:proofErr w:type="spellStart"/>
      <w:r w:rsidRPr="00981A4F">
        <w:rPr>
          <w:sz w:val="24"/>
          <w:szCs w:val="24"/>
        </w:rPr>
        <w:t>Vernooij</w:t>
      </w:r>
      <w:proofErr w:type="spellEnd"/>
      <w:r w:rsidRPr="00981A4F">
        <w:rPr>
          <w:sz w:val="24"/>
          <w:szCs w:val="24"/>
        </w:rPr>
        <w:t xml:space="preserve"> MW, Klein S, Ikram MA, Vos FM, Smith SM, et al. Improving alignment in tract-based spatial statistics: evaluation and optimization of image registration. Neuroimage. 2013 Aug </w:t>
      </w:r>
      <w:proofErr w:type="gramStart"/>
      <w:r w:rsidRPr="00981A4F">
        <w:rPr>
          <w:sz w:val="24"/>
          <w:szCs w:val="24"/>
        </w:rPr>
        <w:t>1;76:400</w:t>
      </w:r>
      <w:proofErr w:type="gramEnd"/>
      <w:r w:rsidRPr="00981A4F">
        <w:rPr>
          <w:sz w:val="24"/>
          <w:szCs w:val="24"/>
        </w:rPr>
        <w:t>–11.</w:t>
      </w:r>
    </w:p>
    <w:p w14:paraId="3B034341" w14:textId="77777777" w:rsidR="00981A4F" w:rsidRPr="00981A4F" w:rsidRDefault="00981A4F" w:rsidP="006D2283">
      <w:pPr>
        <w:numPr>
          <w:ilvl w:val="0"/>
          <w:numId w:val="17"/>
        </w:numPr>
        <w:spacing w:after="0"/>
        <w:rPr>
          <w:sz w:val="24"/>
          <w:szCs w:val="24"/>
        </w:rPr>
      </w:pPr>
      <w:bookmarkStart w:id="67" w:name="ref31"/>
      <w:bookmarkEnd w:id="67"/>
      <w:r w:rsidRPr="00981A4F">
        <w:rPr>
          <w:sz w:val="24"/>
          <w:szCs w:val="24"/>
        </w:rPr>
        <w:lastRenderedPageBreak/>
        <w:t>Frazier JA, Chiu S, Breeze JL, Makris N, Lange N, Kennedy DN, et al. Structural brain magnetic resonance imaging of limbic and thalamic volumes in pediatric bipolar disorder. Am J Psychiatry. 2005 Jul;162(7):1256–65.</w:t>
      </w:r>
    </w:p>
    <w:p w14:paraId="531B76C7" w14:textId="77777777" w:rsidR="00981A4F" w:rsidRPr="00981A4F" w:rsidRDefault="00981A4F" w:rsidP="006D2283">
      <w:pPr>
        <w:numPr>
          <w:ilvl w:val="0"/>
          <w:numId w:val="17"/>
        </w:numPr>
        <w:spacing w:after="0"/>
        <w:rPr>
          <w:sz w:val="24"/>
          <w:szCs w:val="24"/>
        </w:rPr>
      </w:pPr>
      <w:bookmarkStart w:id="68" w:name="ref32"/>
      <w:bookmarkEnd w:id="68"/>
      <w:r w:rsidRPr="00981A4F">
        <w:rPr>
          <w:sz w:val="24"/>
          <w:szCs w:val="24"/>
        </w:rPr>
        <w:t xml:space="preserve">Makris N, Goldstein JM, Kennedy D, Hodge SM, </w:t>
      </w:r>
      <w:proofErr w:type="spellStart"/>
      <w:r w:rsidRPr="00981A4F">
        <w:rPr>
          <w:sz w:val="24"/>
          <w:szCs w:val="24"/>
        </w:rPr>
        <w:t>Caviness</w:t>
      </w:r>
      <w:proofErr w:type="spellEnd"/>
      <w:r w:rsidRPr="00981A4F">
        <w:rPr>
          <w:sz w:val="24"/>
          <w:szCs w:val="24"/>
        </w:rPr>
        <w:t xml:space="preserve"> VS, </w:t>
      </w:r>
      <w:proofErr w:type="spellStart"/>
      <w:r w:rsidRPr="00981A4F">
        <w:rPr>
          <w:sz w:val="24"/>
          <w:szCs w:val="24"/>
        </w:rPr>
        <w:t>Faraone</w:t>
      </w:r>
      <w:proofErr w:type="spellEnd"/>
      <w:r w:rsidRPr="00981A4F">
        <w:rPr>
          <w:sz w:val="24"/>
          <w:szCs w:val="24"/>
        </w:rPr>
        <w:t xml:space="preserve"> SV, et al. Decreased volume of left and total anterior insular lobule in schizophrenia. </w:t>
      </w:r>
      <w:proofErr w:type="spellStart"/>
      <w:r w:rsidRPr="00981A4F">
        <w:rPr>
          <w:sz w:val="24"/>
          <w:szCs w:val="24"/>
        </w:rPr>
        <w:t>Schizophr</w:t>
      </w:r>
      <w:proofErr w:type="spellEnd"/>
      <w:r w:rsidRPr="00981A4F">
        <w:rPr>
          <w:sz w:val="24"/>
          <w:szCs w:val="24"/>
        </w:rPr>
        <w:t xml:space="preserve"> Res. 2006 Apr;83(2–3):155–71.</w:t>
      </w:r>
    </w:p>
    <w:p w14:paraId="268D06A9" w14:textId="77777777" w:rsidR="00981A4F" w:rsidRPr="00981A4F" w:rsidRDefault="00981A4F" w:rsidP="006D2283">
      <w:pPr>
        <w:numPr>
          <w:ilvl w:val="0"/>
          <w:numId w:val="17"/>
        </w:numPr>
        <w:spacing w:after="0"/>
        <w:rPr>
          <w:sz w:val="24"/>
          <w:szCs w:val="24"/>
        </w:rPr>
      </w:pPr>
      <w:bookmarkStart w:id="69" w:name="ref33"/>
      <w:bookmarkEnd w:id="69"/>
      <w:r w:rsidRPr="00981A4F">
        <w:rPr>
          <w:sz w:val="24"/>
          <w:szCs w:val="24"/>
        </w:rPr>
        <w:t xml:space="preserve">Goldstein JM, Seidman LJ, Makris N, Ahern T, O’Brien LM, </w:t>
      </w:r>
      <w:proofErr w:type="spellStart"/>
      <w:r w:rsidRPr="00981A4F">
        <w:rPr>
          <w:sz w:val="24"/>
          <w:szCs w:val="24"/>
        </w:rPr>
        <w:t>Caviness</w:t>
      </w:r>
      <w:proofErr w:type="spellEnd"/>
      <w:r w:rsidRPr="00981A4F">
        <w:rPr>
          <w:sz w:val="24"/>
          <w:szCs w:val="24"/>
        </w:rPr>
        <w:t xml:space="preserve"> VS Jr, et al. Hypothalamic abnormalities in schizophrenia: sex effects and genetic vulnerability. Biol Psychiatry. 2007 Apr 15;61(8):935–45.</w:t>
      </w:r>
    </w:p>
    <w:p w14:paraId="2FD0BD65" w14:textId="77777777" w:rsidR="00981A4F" w:rsidRPr="00981A4F" w:rsidRDefault="00981A4F" w:rsidP="006D2283">
      <w:pPr>
        <w:numPr>
          <w:ilvl w:val="0"/>
          <w:numId w:val="17"/>
        </w:numPr>
        <w:spacing w:after="0"/>
        <w:rPr>
          <w:sz w:val="24"/>
          <w:szCs w:val="24"/>
        </w:rPr>
      </w:pPr>
      <w:bookmarkStart w:id="70" w:name="ref34"/>
      <w:bookmarkEnd w:id="70"/>
      <w:r w:rsidRPr="00981A4F">
        <w:rPr>
          <w:sz w:val="24"/>
          <w:szCs w:val="24"/>
        </w:rPr>
        <w:t xml:space="preserve">Zhang R, Liu K, Yang L, Zhou T, Qian S, Li B, et al. Reduced white matter integrity and cognitive deficits in maintenance hemodialysis ESRD patients: a diffusion-tensor study. Eur </w:t>
      </w:r>
      <w:proofErr w:type="spellStart"/>
      <w:r w:rsidRPr="00981A4F">
        <w:rPr>
          <w:sz w:val="24"/>
          <w:szCs w:val="24"/>
        </w:rPr>
        <w:t>Radiol</w:t>
      </w:r>
      <w:proofErr w:type="spellEnd"/>
      <w:r w:rsidRPr="00981A4F">
        <w:rPr>
          <w:sz w:val="24"/>
          <w:szCs w:val="24"/>
        </w:rPr>
        <w:t>. 2015 Mar;25(3):661–8.</w:t>
      </w:r>
    </w:p>
    <w:p w14:paraId="4D5473DB" w14:textId="77777777" w:rsidR="00981A4F" w:rsidRPr="00981A4F" w:rsidRDefault="00981A4F" w:rsidP="006D2283">
      <w:pPr>
        <w:numPr>
          <w:ilvl w:val="0"/>
          <w:numId w:val="17"/>
        </w:numPr>
        <w:spacing w:after="0"/>
        <w:rPr>
          <w:sz w:val="24"/>
          <w:szCs w:val="24"/>
        </w:rPr>
      </w:pPr>
      <w:bookmarkStart w:id="71" w:name="ref35"/>
      <w:bookmarkEnd w:id="71"/>
      <w:proofErr w:type="spellStart"/>
      <w:r w:rsidRPr="00981A4F">
        <w:rPr>
          <w:sz w:val="24"/>
          <w:szCs w:val="24"/>
        </w:rPr>
        <w:t>Zalesky</w:t>
      </w:r>
      <w:proofErr w:type="spellEnd"/>
      <w:r w:rsidRPr="00981A4F">
        <w:rPr>
          <w:sz w:val="24"/>
          <w:szCs w:val="24"/>
        </w:rPr>
        <w:t xml:space="preserve"> A. Moderating registration misalignment in </w:t>
      </w:r>
      <w:proofErr w:type="spellStart"/>
      <w:r w:rsidRPr="00981A4F">
        <w:rPr>
          <w:sz w:val="24"/>
          <w:szCs w:val="24"/>
        </w:rPr>
        <w:t>voxelwise</w:t>
      </w:r>
      <w:proofErr w:type="spellEnd"/>
      <w:r w:rsidRPr="00981A4F">
        <w:rPr>
          <w:sz w:val="24"/>
          <w:szCs w:val="24"/>
        </w:rPr>
        <w:t xml:space="preserve"> comparisons of DTI data: a performance evaluation of skeleton projection. </w:t>
      </w:r>
      <w:proofErr w:type="spellStart"/>
      <w:r w:rsidRPr="00981A4F">
        <w:rPr>
          <w:sz w:val="24"/>
          <w:szCs w:val="24"/>
        </w:rPr>
        <w:t>Magn</w:t>
      </w:r>
      <w:proofErr w:type="spellEnd"/>
      <w:r w:rsidRPr="00981A4F">
        <w:rPr>
          <w:sz w:val="24"/>
          <w:szCs w:val="24"/>
        </w:rPr>
        <w:t xml:space="preserve"> </w:t>
      </w:r>
      <w:proofErr w:type="spellStart"/>
      <w:r w:rsidRPr="00981A4F">
        <w:rPr>
          <w:sz w:val="24"/>
          <w:szCs w:val="24"/>
        </w:rPr>
        <w:t>Reson</w:t>
      </w:r>
      <w:proofErr w:type="spellEnd"/>
      <w:r w:rsidRPr="00981A4F">
        <w:rPr>
          <w:sz w:val="24"/>
          <w:szCs w:val="24"/>
        </w:rPr>
        <w:t xml:space="preserve"> Imaging. 2011 Jan;29(1):111–25.</w:t>
      </w:r>
    </w:p>
    <w:p w14:paraId="5B417AE3" w14:textId="77777777" w:rsidR="00981A4F" w:rsidRPr="00981A4F" w:rsidRDefault="00981A4F" w:rsidP="006D2283">
      <w:pPr>
        <w:numPr>
          <w:ilvl w:val="0"/>
          <w:numId w:val="17"/>
        </w:numPr>
        <w:spacing w:after="0"/>
        <w:rPr>
          <w:sz w:val="24"/>
          <w:szCs w:val="24"/>
        </w:rPr>
      </w:pPr>
      <w:bookmarkStart w:id="72" w:name="ref36"/>
      <w:bookmarkEnd w:id="72"/>
      <w:r w:rsidRPr="00981A4F">
        <w:rPr>
          <w:sz w:val="24"/>
          <w:szCs w:val="24"/>
        </w:rPr>
        <w:t xml:space="preserve">Bach M, </w:t>
      </w:r>
      <w:proofErr w:type="spellStart"/>
      <w:r w:rsidRPr="00981A4F">
        <w:rPr>
          <w:sz w:val="24"/>
          <w:szCs w:val="24"/>
        </w:rPr>
        <w:t>Laun</w:t>
      </w:r>
      <w:proofErr w:type="spellEnd"/>
      <w:r w:rsidRPr="00981A4F">
        <w:rPr>
          <w:sz w:val="24"/>
          <w:szCs w:val="24"/>
        </w:rPr>
        <w:t xml:space="preserve"> FB, </w:t>
      </w:r>
      <w:proofErr w:type="spellStart"/>
      <w:r w:rsidRPr="00981A4F">
        <w:rPr>
          <w:sz w:val="24"/>
          <w:szCs w:val="24"/>
        </w:rPr>
        <w:t>Leemans</w:t>
      </w:r>
      <w:proofErr w:type="spellEnd"/>
      <w:r w:rsidRPr="00981A4F">
        <w:rPr>
          <w:sz w:val="24"/>
          <w:szCs w:val="24"/>
        </w:rPr>
        <w:t xml:space="preserve"> A, Tax CM, </w:t>
      </w:r>
      <w:proofErr w:type="spellStart"/>
      <w:r w:rsidRPr="00981A4F">
        <w:rPr>
          <w:sz w:val="24"/>
          <w:szCs w:val="24"/>
        </w:rPr>
        <w:t>Biessels</w:t>
      </w:r>
      <w:proofErr w:type="spellEnd"/>
      <w:r w:rsidRPr="00981A4F">
        <w:rPr>
          <w:sz w:val="24"/>
          <w:szCs w:val="24"/>
        </w:rPr>
        <w:t xml:space="preserve"> GJ, </w:t>
      </w:r>
      <w:proofErr w:type="spellStart"/>
      <w:r w:rsidRPr="00981A4F">
        <w:rPr>
          <w:sz w:val="24"/>
          <w:szCs w:val="24"/>
        </w:rPr>
        <w:t>Stieltjes</w:t>
      </w:r>
      <w:proofErr w:type="spellEnd"/>
      <w:r w:rsidRPr="00981A4F">
        <w:rPr>
          <w:sz w:val="24"/>
          <w:szCs w:val="24"/>
        </w:rPr>
        <w:t xml:space="preserve"> B, et al. Methodological considerations on tract-based spatial statistics (TBSS). Neuroimage. 2014 Oct </w:t>
      </w:r>
      <w:proofErr w:type="gramStart"/>
      <w:r w:rsidRPr="00981A4F">
        <w:rPr>
          <w:sz w:val="24"/>
          <w:szCs w:val="24"/>
        </w:rPr>
        <w:t>15;100:358</w:t>
      </w:r>
      <w:proofErr w:type="gramEnd"/>
      <w:r w:rsidRPr="00981A4F">
        <w:rPr>
          <w:sz w:val="24"/>
          <w:szCs w:val="24"/>
        </w:rPr>
        <w:t>–69.</w:t>
      </w:r>
    </w:p>
    <w:p w14:paraId="723E30D4" w14:textId="77777777" w:rsidR="00981A4F" w:rsidRPr="00981A4F" w:rsidRDefault="00981A4F" w:rsidP="006D2283">
      <w:pPr>
        <w:numPr>
          <w:ilvl w:val="0"/>
          <w:numId w:val="17"/>
        </w:numPr>
        <w:spacing w:after="0"/>
        <w:rPr>
          <w:sz w:val="24"/>
          <w:szCs w:val="24"/>
        </w:rPr>
      </w:pPr>
      <w:bookmarkStart w:id="73" w:name="ref37"/>
      <w:bookmarkEnd w:id="73"/>
      <w:proofErr w:type="spellStart"/>
      <w:r w:rsidRPr="00981A4F">
        <w:rPr>
          <w:sz w:val="24"/>
          <w:szCs w:val="24"/>
        </w:rPr>
        <w:t>Qiu</w:t>
      </w:r>
      <w:proofErr w:type="spellEnd"/>
      <w:r w:rsidRPr="00981A4F">
        <w:rPr>
          <w:sz w:val="24"/>
          <w:szCs w:val="24"/>
        </w:rPr>
        <w:t xml:space="preserve"> Y, </w:t>
      </w:r>
      <w:proofErr w:type="spellStart"/>
      <w:r w:rsidRPr="00981A4F">
        <w:rPr>
          <w:sz w:val="24"/>
          <w:szCs w:val="24"/>
        </w:rPr>
        <w:t>Lv</w:t>
      </w:r>
      <w:proofErr w:type="spellEnd"/>
      <w:r w:rsidRPr="00981A4F">
        <w:rPr>
          <w:sz w:val="24"/>
          <w:szCs w:val="24"/>
        </w:rPr>
        <w:t xml:space="preserve"> X, Su H, Jiang G, Li C, Tian J. Structural and functional brain alterations in end stage renal disease patients on routine hemodialysis: a voxel-based morphometry and resting state functional connectivity study. </w:t>
      </w:r>
      <w:proofErr w:type="spellStart"/>
      <w:r w:rsidRPr="00981A4F">
        <w:rPr>
          <w:sz w:val="24"/>
          <w:szCs w:val="24"/>
        </w:rPr>
        <w:t>PLoS</w:t>
      </w:r>
      <w:proofErr w:type="spellEnd"/>
      <w:r w:rsidRPr="00981A4F">
        <w:rPr>
          <w:sz w:val="24"/>
          <w:szCs w:val="24"/>
        </w:rPr>
        <w:t xml:space="preserve"> One. 2014;9(5</w:t>
      </w:r>
      <w:proofErr w:type="gramStart"/>
      <w:r w:rsidRPr="00981A4F">
        <w:rPr>
          <w:sz w:val="24"/>
          <w:szCs w:val="24"/>
        </w:rPr>
        <w:t>):e</w:t>
      </w:r>
      <w:proofErr w:type="gramEnd"/>
      <w:r w:rsidRPr="00981A4F">
        <w:rPr>
          <w:sz w:val="24"/>
          <w:szCs w:val="24"/>
        </w:rPr>
        <w:t>98346.</w:t>
      </w:r>
    </w:p>
    <w:p w14:paraId="0895A506" w14:textId="77777777" w:rsidR="00981A4F" w:rsidRPr="00981A4F" w:rsidRDefault="00981A4F" w:rsidP="006D2283">
      <w:pPr>
        <w:numPr>
          <w:ilvl w:val="0"/>
          <w:numId w:val="17"/>
        </w:numPr>
        <w:spacing w:after="0"/>
        <w:rPr>
          <w:sz w:val="24"/>
          <w:szCs w:val="24"/>
        </w:rPr>
      </w:pPr>
      <w:bookmarkStart w:id="74" w:name="ref38"/>
      <w:bookmarkEnd w:id="74"/>
      <w:r w:rsidRPr="00981A4F">
        <w:rPr>
          <w:sz w:val="24"/>
          <w:szCs w:val="24"/>
        </w:rPr>
        <w:t>Saran R, Robinson B, Abbott KC, Bragg-Gresham J, Chen X, Gipson D, et al. US renal data system 2019 annual data report: epidemiology of kidney disease in the United States. Am J Kidney Dis. 2020;75(1 Suppl 1</w:t>
      </w:r>
      <w:proofErr w:type="gramStart"/>
      <w:r w:rsidRPr="00981A4F">
        <w:rPr>
          <w:sz w:val="24"/>
          <w:szCs w:val="24"/>
        </w:rPr>
        <w:t>):A</w:t>
      </w:r>
      <w:proofErr w:type="gramEnd"/>
      <w:r w:rsidRPr="00981A4F">
        <w:rPr>
          <w:sz w:val="24"/>
          <w:szCs w:val="24"/>
        </w:rPr>
        <w:t>6–7.</w:t>
      </w:r>
    </w:p>
    <w:p w14:paraId="6FE89332" w14:textId="77777777" w:rsidR="00981A4F" w:rsidRPr="00981A4F" w:rsidRDefault="00981A4F" w:rsidP="006D2283">
      <w:pPr>
        <w:numPr>
          <w:ilvl w:val="0"/>
          <w:numId w:val="17"/>
        </w:numPr>
        <w:spacing w:after="0"/>
        <w:rPr>
          <w:sz w:val="24"/>
          <w:szCs w:val="24"/>
        </w:rPr>
      </w:pPr>
      <w:bookmarkStart w:id="75" w:name="ref39"/>
      <w:bookmarkEnd w:id="75"/>
      <w:r w:rsidRPr="00981A4F">
        <w:rPr>
          <w:sz w:val="24"/>
          <w:szCs w:val="24"/>
        </w:rPr>
        <w:t xml:space="preserve">Sowell ER, Peterson BS, Thompson PM, Welcome SE, </w:t>
      </w:r>
      <w:proofErr w:type="spellStart"/>
      <w:r w:rsidRPr="00981A4F">
        <w:rPr>
          <w:sz w:val="24"/>
          <w:szCs w:val="24"/>
        </w:rPr>
        <w:t>Henkenius</w:t>
      </w:r>
      <w:proofErr w:type="spellEnd"/>
      <w:r w:rsidRPr="00981A4F">
        <w:rPr>
          <w:sz w:val="24"/>
          <w:szCs w:val="24"/>
        </w:rPr>
        <w:t xml:space="preserve"> AL, Toga AW. Mapping cortical change across the human life span. Nat </w:t>
      </w:r>
      <w:proofErr w:type="spellStart"/>
      <w:r w:rsidRPr="00981A4F">
        <w:rPr>
          <w:sz w:val="24"/>
          <w:szCs w:val="24"/>
        </w:rPr>
        <w:t>Neurosci</w:t>
      </w:r>
      <w:proofErr w:type="spellEnd"/>
      <w:r w:rsidRPr="00981A4F">
        <w:rPr>
          <w:sz w:val="24"/>
          <w:szCs w:val="24"/>
        </w:rPr>
        <w:t>. 2003 Mar;6(3):309–15.</w:t>
      </w:r>
    </w:p>
    <w:p w14:paraId="527EE7FF" w14:textId="77777777" w:rsidR="00981A4F" w:rsidRPr="00981A4F" w:rsidRDefault="00981A4F" w:rsidP="006D2283">
      <w:pPr>
        <w:numPr>
          <w:ilvl w:val="0"/>
          <w:numId w:val="17"/>
        </w:numPr>
        <w:spacing w:after="0"/>
        <w:rPr>
          <w:sz w:val="24"/>
          <w:szCs w:val="24"/>
        </w:rPr>
      </w:pPr>
      <w:bookmarkStart w:id="76" w:name="ref40"/>
      <w:bookmarkEnd w:id="76"/>
      <w:proofErr w:type="spellStart"/>
      <w:r w:rsidRPr="00981A4F">
        <w:rPr>
          <w:sz w:val="24"/>
          <w:szCs w:val="24"/>
        </w:rPr>
        <w:t>Farokhian</w:t>
      </w:r>
      <w:proofErr w:type="spellEnd"/>
      <w:r w:rsidRPr="00981A4F">
        <w:rPr>
          <w:sz w:val="24"/>
          <w:szCs w:val="24"/>
        </w:rPr>
        <w:t xml:space="preserve"> F, Yang C, Beheshti I, Matsuda H, Wu S. Age-related </w:t>
      </w:r>
      <w:proofErr w:type="gramStart"/>
      <w:r w:rsidRPr="00981A4F">
        <w:rPr>
          <w:sz w:val="24"/>
          <w:szCs w:val="24"/>
        </w:rPr>
        <w:t>gray</w:t>
      </w:r>
      <w:proofErr w:type="gramEnd"/>
      <w:r w:rsidRPr="00981A4F">
        <w:rPr>
          <w:sz w:val="24"/>
          <w:szCs w:val="24"/>
        </w:rPr>
        <w:t xml:space="preserve"> and white matter changes in normal adult brains. Aging Dis. 2017 Dec;8(6):899–909.</w:t>
      </w:r>
    </w:p>
    <w:p w14:paraId="42B6A443" w14:textId="77777777" w:rsidR="00981A4F" w:rsidRPr="00981A4F" w:rsidRDefault="00981A4F" w:rsidP="006D2283">
      <w:pPr>
        <w:numPr>
          <w:ilvl w:val="0"/>
          <w:numId w:val="17"/>
        </w:numPr>
        <w:spacing w:after="0"/>
        <w:rPr>
          <w:sz w:val="24"/>
          <w:szCs w:val="24"/>
        </w:rPr>
      </w:pPr>
      <w:bookmarkStart w:id="77" w:name="ref41"/>
      <w:bookmarkEnd w:id="77"/>
      <w:proofErr w:type="spellStart"/>
      <w:r w:rsidRPr="00981A4F">
        <w:rPr>
          <w:sz w:val="24"/>
          <w:szCs w:val="24"/>
        </w:rPr>
        <w:t>Bäckman</w:t>
      </w:r>
      <w:proofErr w:type="spellEnd"/>
      <w:r w:rsidRPr="00981A4F">
        <w:rPr>
          <w:sz w:val="24"/>
          <w:szCs w:val="24"/>
        </w:rPr>
        <w:t xml:space="preserve"> L, </w:t>
      </w:r>
      <w:proofErr w:type="spellStart"/>
      <w:r w:rsidRPr="00981A4F">
        <w:rPr>
          <w:sz w:val="24"/>
          <w:szCs w:val="24"/>
        </w:rPr>
        <w:t>Ginovart</w:t>
      </w:r>
      <w:proofErr w:type="spellEnd"/>
      <w:r w:rsidRPr="00981A4F">
        <w:rPr>
          <w:sz w:val="24"/>
          <w:szCs w:val="24"/>
        </w:rPr>
        <w:t xml:space="preserve"> N, Dixon RA, </w:t>
      </w:r>
      <w:proofErr w:type="spellStart"/>
      <w:r w:rsidRPr="00981A4F">
        <w:rPr>
          <w:sz w:val="24"/>
          <w:szCs w:val="24"/>
        </w:rPr>
        <w:t>Wahlin</w:t>
      </w:r>
      <w:proofErr w:type="spellEnd"/>
      <w:r w:rsidRPr="00981A4F">
        <w:rPr>
          <w:sz w:val="24"/>
          <w:szCs w:val="24"/>
        </w:rPr>
        <w:t xml:space="preserve"> TB, </w:t>
      </w:r>
      <w:proofErr w:type="spellStart"/>
      <w:r w:rsidRPr="00981A4F">
        <w:rPr>
          <w:sz w:val="24"/>
          <w:szCs w:val="24"/>
        </w:rPr>
        <w:t>Wahlin</w:t>
      </w:r>
      <w:proofErr w:type="spellEnd"/>
      <w:r w:rsidRPr="00981A4F">
        <w:rPr>
          <w:sz w:val="24"/>
          <w:szCs w:val="24"/>
        </w:rPr>
        <w:t xml:space="preserve"> A, </w:t>
      </w:r>
      <w:proofErr w:type="spellStart"/>
      <w:r w:rsidRPr="00981A4F">
        <w:rPr>
          <w:sz w:val="24"/>
          <w:szCs w:val="24"/>
        </w:rPr>
        <w:t>Halldin</w:t>
      </w:r>
      <w:proofErr w:type="spellEnd"/>
      <w:r w:rsidRPr="00981A4F">
        <w:rPr>
          <w:sz w:val="24"/>
          <w:szCs w:val="24"/>
        </w:rPr>
        <w:t xml:space="preserve"> C, et al. Age-related cognitive deficits mediated by changes in the striatal dopamine system. Am J Psychiatry. 2000 Apr;157(4):635–7.</w:t>
      </w:r>
    </w:p>
    <w:p w14:paraId="3816D6FB" w14:textId="77777777" w:rsidR="00981A4F" w:rsidRPr="00981A4F" w:rsidRDefault="00981A4F" w:rsidP="006D2283">
      <w:pPr>
        <w:numPr>
          <w:ilvl w:val="0"/>
          <w:numId w:val="17"/>
        </w:numPr>
        <w:spacing w:after="0"/>
        <w:rPr>
          <w:sz w:val="24"/>
          <w:szCs w:val="24"/>
        </w:rPr>
      </w:pPr>
      <w:bookmarkStart w:id="78" w:name="ref42"/>
      <w:bookmarkEnd w:id="78"/>
      <w:r w:rsidRPr="00981A4F">
        <w:rPr>
          <w:sz w:val="24"/>
          <w:szCs w:val="24"/>
        </w:rPr>
        <w:t xml:space="preserve">Mak E, </w:t>
      </w:r>
      <w:proofErr w:type="spellStart"/>
      <w:r w:rsidRPr="00981A4F">
        <w:rPr>
          <w:sz w:val="24"/>
          <w:szCs w:val="24"/>
        </w:rPr>
        <w:t>Bergsland</w:t>
      </w:r>
      <w:proofErr w:type="spellEnd"/>
      <w:r w:rsidRPr="00981A4F">
        <w:rPr>
          <w:sz w:val="24"/>
          <w:szCs w:val="24"/>
        </w:rPr>
        <w:t xml:space="preserve"> N, Dwyer MG, </w:t>
      </w:r>
      <w:proofErr w:type="spellStart"/>
      <w:r w:rsidRPr="00981A4F">
        <w:rPr>
          <w:sz w:val="24"/>
          <w:szCs w:val="24"/>
        </w:rPr>
        <w:t>Zivadinov</w:t>
      </w:r>
      <w:proofErr w:type="spellEnd"/>
      <w:r w:rsidRPr="00981A4F">
        <w:rPr>
          <w:sz w:val="24"/>
          <w:szCs w:val="24"/>
        </w:rPr>
        <w:t xml:space="preserve"> R, Kandiah N. Subcortical atrophy is associated with cognitive impairment in mild Parkinson disease: a combined investigation of volumetric changes, cortical thickness, and vertex-based shape analysis. AJNR Am J </w:t>
      </w:r>
      <w:proofErr w:type="spellStart"/>
      <w:r w:rsidRPr="00981A4F">
        <w:rPr>
          <w:sz w:val="24"/>
          <w:szCs w:val="24"/>
        </w:rPr>
        <w:t>Neuroradiol</w:t>
      </w:r>
      <w:proofErr w:type="spellEnd"/>
      <w:r w:rsidRPr="00981A4F">
        <w:rPr>
          <w:sz w:val="24"/>
          <w:szCs w:val="24"/>
        </w:rPr>
        <w:t>. 2014 Dec;35(12):2257–64.</w:t>
      </w:r>
    </w:p>
    <w:p w14:paraId="20195EF8" w14:textId="77777777" w:rsidR="00981A4F" w:rsidRPr="00981A4F" w:rsidRDefault="00981A4F" w:rsidP="006D2283">
      <w:pPr>
        <w:numPr>
          <w:ilvl w:val="0"/>
          <w:numId w:val="17"/>
        </w:numPr>
        <w:spacing w:after="0"/>
        <w:rPr>
          <w:sz w:val="24"/>
          <w:szCs w:val="24"/>
        </w:rPr>
      </w:pPr>
      <w:bookmarkStart w:id="79" w:name="ref43"/>
      <w:bookmarkEnd w:id="79"/>
      <w:r w:rsidRPr="00981A4F">
        <w:rPr>
          <w:sz w:val="24"/>
          <w:szCs w:val="24"/>
        </w:rPr>
        <w:t xml:space="preserve">Weiner DE, Scott TM, </w:t>
      </w:r>
      <w:proofErr w:type="spellStart"/>
      <w:r w:rsidRPr="00981A4F">
        <w:rPr>
          <w:sz w:val="24"/>
          <w:szCs w:val="24"/>
        </w:rPr>
        <w:t>Giang</w:t>
      </w:r>
      <w:proofErr w:type="spellEnd"/>
      <w:r w:rsidRPr="00981A4F">
        <w:rPr>
          <w:sz w:val="24"/>
          <w:szCs w:val="24"/>
        </w:rPr>
        <w:t xml:space="preserve"> LM, Agganis BT, Sorensen EP, </w:t>
      </w:r>
      <w:proofErr w:type="spellStart"/>
      <w:r w:rsidRPr="00981A4F">
        <w:rPr>
          <w:sz w:val="24"/>
          <w:szCs w:val="24"/>
        </w:rPr>
        <w:t>Tighiouart</w:t>
      </w:r>
      <w:proofErr w:type="spellEnd"/>
      <w:r w:rsidRPr="00981A4F">
        <w:rPr>
          <w:sz w:val="24"/>
          <w:szCs w:val="24"/>
        </w:rPr>
        <w:t xml:space="preserve"> H, et al. </w:t>
      </w:r>
      <w:proofErr w:type="gramStart"/>
      <w:r w:rsidRPr="00981A4F">
        <w:rPr>
          <w:sz w:val="24"/>
          <w:szCs w:val="24"/>
        </w:rPr>
        <w:t>Cardiovascular disease</w:t>
      </w:r>
      <w:proofErr w:type="gramEnd"/>
      <w:r w:rsidRPr="00981A4F">
        <w:rPr>
          <w:sz w:val="24"/>
          <w:szCs w:val="24"/>
        </w:rPr>
        <w:t xml:space="preserve"> and cognitive function in maintenance hemodialysis patients. Am J Kidney Dis. 2011 Nov;58(5):773–81.</w:t>
      </w:r>
    </w:p>
    <w:p w14:paraId="2B972B6D" w14:textId="77777777" w:rsidR="00981A4F" w:rsidRPr="00981A4F" w:rsidRDefault="00981A4F" w:rsidP="006D2283">
      <w:pPr>
        <w:numPr>
          <w:ilvl w:val="0"/>
          <w:numId w:val="17"/>
        </w:numPr>
        <w:spacing w:after="0"/>
        <w:rPr>
          <w:sz w:val="24"/>
          <w:szCs w:val="24"/>
        </w:rPr>
      </w:pPr>
      <w:bookmarkStart w:id="80" w:name="ref44"/>
      <w:bookmarkEnd w:id="80"/>
      <w:proofErr w:type="spellStart"/>
      <w:r w:rsidRPr="00981A4F">
        <w:rPr>
          <w:sz w:val="24"/>
          <w:szCs w:val="24"/>
        </w:rPr>
        <w:t>Sarnak</w:t>
      </w:r>
      <w:proofErr w:type="spellEnd"/>
      <w:r w:rsidRPr="00981A4F">
        <w:rPr>
          <w:sz w:val="24"/>
          <w:szCs w:val="24"/>
        </w:rPr>
        <w:t xml:space="preserve"> MJ, </w:t>
      </w:r>
      <w:proofErr w:type="spellStart"/>
      <w:r w:rsidRPr="00981A4F">
        <w:rPr>
          <w:sz w:val="24"/>
          <w:szCs w:val="24"/>
        </w:rPr>
        <w:t>Tighiouart</w:t>
      </w:r>
      <w:proofErr w:type="spellEnd"/>
      <w:r w:rsidRPr="00981A4F">
        <w:rPr>
          <w:sz w:val="24"/>
          <w:szCs w:val="24"/>
        </w:rPr>
        <w:t xml:space="preserve"> H, Scott TM, Lou KV, Sorensen EP, </w:t>
      </w:r>
      <w:proofErr w:type="spellStart"/>
      <w:r w:rsidRPr="00981A4F">
        <w:rPr>
          <w:sz w:val="24"/>
          <w:szCs w:val="24"/>
        </w:rPr>
        <w:t>Giang</w:t>
      </w:r>
      <w:proofErr w:type="spellEnd"/>
      <w:r w:rsidRPr="00981A4F">
        <w:rPr>
          <w:sz w:val="24"/>
          <w:szCs w:val="24"/>
        </w:rPr>
        <w:t xml:space="preserve"> LM, et al. Frequency of and risk factors for poor cognitive performance in hemodialysis patients. Neurology. 2013 Jan 29;80(5):471–80.</w:t>
      </w:r>
    </w:p>
    <w:p w14:paraId="11DB6A2D" w14:textId="77777777" w:rsidR="00981A4F" w:rsidRPr="00981A4F" w:rsidRDefault="00981A4F" w:rsidP="006D2283">
      <w:pPr>
        <w:numPr>
          <w:ilvl w:val="0"/>
          <w:numId w:val="17"/>
        </w:numPr>
        <w:spacing w:after="0"/>
        <w:rPr>
          <w:sz w:val="24"/>
          <w:szCs w:val="24"/>
        </w:rPr>
      </w:pPr>
      <w:bookmarkStart w:id="81" w:name="ref45"/>
      <w:bookmarkEnd w:id="81"/>
      <w:proofErr w:type="spellStart"/>
      <w:r w:rsidRPr="00981A4F">
        <w:rPr>
          <w:sz w:val="24"/>
          <w:szCs w:val="24"/>
        </w:rPr>
        <w:t>O’Lone</w:t>
      </w:r>
      <w:proofErr w:type="spellEnd"/>
      <w:r w:rsidRPr="00981A4F">
        <w:rPr>
          <w:sz w:val="24"/>
          <w:szCs w:val="24"/>
        </w:rPr>
        <w:t xml:space="preserve"> E, Connors M, Masson P, Wu S, Kelly PJ, Gillespie D, et al. Cognition in people with end-stage kidney disease treated with hemodialysis: a systematic review and meta-analysis. Am J Kidney Dis. 2016 Jun;67(6):925–35.</w:t>
      </w:r>
    </w:p>
    <w:p w14:paraId="303C3C60" w14:textId="77777777" w:rsidR="00981A4F" w:rsidRPr="00981A4F" w:rsidRDefault="00981A4F" w:rsidP="006D2283">
      <w:pPr>
        <w:numPr>
          <w:ilvl w:val="0"/>
          <w:numId w:val="17"/>
        </w:numPr>
        <w:spacing w:after="0"/>
        <w:rPr>
          <w:sz w:val="24"/>
          <w:szCs w:val="24"/>
        </w:rPr>
      </w:pPr>
      <w:bookmarkStart w:id="82" w:name="ref46"/>
      <w:bookmarkEnd w:id="82"/>
      <w:proofErr w:type="spellStart"/>
      <w:r w:rsidRPr="00981A4F">
        <w:rPr>
          <w:sz w:val="24"/>
          <w:szCs w:val="24"/>
        </w:rPr>
        <w:lastRenderedPageBreak/>
        <w:t>Kurella</w:t>
      </w:r>
      <w:proofErr w:type="spellEnd"/>
      <w:r w:rsidRPr="00981A4F">
        <w:rPr>
          <w:sz w:val="24"/>
          <w:szCs w:val="24"/>
        </w:rPr>
        <w:t xml:space="preserve"> Tamura M, </w:t>
      </w:r>
      <w:proofErr w:type="spellStart"/>
      <w:r w:rsidRPr="00981A4F">
        <w:rPr>
          <w:sz w:val="24"/>
          <w:szCs w:val="24"/>
        </w:rPr>
        <w:t>Vittinghoff</w:t>
      </w:r>
      <w:proofErr w:type="spellEnd"/>
      <w:r w:rsidRPr="00981A4F">
        <w:rPr>
          <w:sz w:val="24"/>
          <w:szCs w:val="24"/>
        </w:rPr>
        <w:t xml:space="preserve"> E, Hsu CY, Tam K, </w:t>
      </w:r>
      <w:proofErr w:type="spellStart"/>
      <w:r w:rsidRPr="00981A4F">
        <w:rPr>
          <w:sz w:val="24"/>
          <w:szCs w:val="24"/>
        </w:rPr>
        <w:t>Seliger</w:t>
      </w:r>
      <w:proofErr w:type="spellEnd"/>
      <w:r w:rsidRPr="00981A4F">
        <w:rPr>
          <w:sz w:val="24"/>
          <w:szCs w:val="24"/>
        </w:rPr>
        <w:t xml:space="preserve"> SL, </w:t>
      </w:r>
      <w:proofErr w:type="spellStart"/>
      <w:r w:rsidRPr="00981A4F">
        <w:rPr>
          <w:sz w:val="24"/>
          <w:szCs w:val="24"/>
        </w:rPr>
        <w:t>Sozio</w:t>
      </w:r>
      <w:proofErr w:type="spellEnd"/>
      <w:r w:rsidRPr="00981A4F">
        <w:rPr>
          <w:sz w:val="24"/>
          <w:szCs w:val="24"/>
        </w:rPr>
        <w:t xml:space="preserve"> S, et al. Loss of executive function after dialysis initiation in adults with chronic kidney disease. Kidney Int. 2017 Apr;91(4):948–53.</w:t>
      </w:r>
    </w:p>
    <w:p w14:paraId="669DC56C" w14:textId="77777777" w:rsidR="00981A4F" w:rsidRPr="00981A4F" w:rsidRDefault="00981A4F" w:rsidP="006D2283">
      <w:pPr>
        <w:numPr>
          <w:ilvl w:val="0"/>
          <w:numId w:val="17"/>
        </w:numPr>
        <w:spacing w:after="0"/>
        <w:rPr>
          <w:sz w:val="24"/>
          <w:szCs w:val="24"/>
        </w:rPr>
      </w:pPr>
      <w:bookmarkStart w:id="83" w:name="ref47"/>
      <w:bookmarkEnd w:id="83"/>
      <w:proofErr w:type="spellStart"/>
      <w:r w:rsidRPr="00981A4F">
        <w:rPr>
          <w:sz w:val="24"/>
          <w:szCs w:val="24"/>
        </w:rPr>
        <w:t>Biesbroek</w:t>
      </w:r>
      <w:proofErr w:type="spellEnd"/>
      <w:r w:rsidRPr="00981A4F">
        <w:rPr>
          <w:sz w:val="24"/>
          <w:szCs w:val="24"/>
        </w:rPr>
        <w:t xml:space="preserve"> JM, </w:t>
      </w:r>
      <w:proofErr w:type="spellStart"/>
      <w:r w:rsidRPr="00981A4F">
        <w:rPr>
          <w:sz w:val="24"/>
          <w:szCs w:val="24"/>
        </w:rPr>
        <w:t>Kuijf</w:t>
      </w:r>
      <w:proofErr w:type="spellEnd"/>
      <w:r w:rsidRPr="00981A4F">
        <w:rPr>
          <w:sz w:val="24"/>
          <w:szCs w:val="24"/>
        </w:rPr>
        <w:t xml:space="preserve"> HJ, van der Graaf Y, </w:t>
      </w:r>
      <w:proofErr w:type="spellStart"/>
      <w:r w:rsidRPr="00981A4F">
        <w:rPr>
          <w:sz w:val="24"/>
          <w:szCs w:val="24"/>
        </w:rPr>
        <w:t>Vincken</w:t>
      </w:r>
      <w:proofErr w:type="spellEnd"/>
      <w:r w:rsidRPr="00981A4F">
        <w:rPr>
          <w:sz w:val="24"/>
          <w:szCs w:val="24"/>
        </w:rPr>
        <w:t xml:space="preserve"> KL, Postma A, Mali WP, et al. Association between subcortical vascular lesion location and cognition: a voxel-based and tract-based lesion-symptom mapping study. The SMART-MR study. </w:t>
      </w:r>
      <w:proofErr w:type="spellStart"/>
      <w:r w:rsidRPr="00981A4F">
        <w:rPr>
          <w:sz w:val="24"/>
          <w:szCs w:val="24"/>
        </w:rPr>
        <w:t>PLoS</w:t>
      </w:r>
      <w:proofErr w:type="spellEnd"/>
      <w:r w:rsidRPr="00981A4F">
        <w:rPr>
          <w:sz w:val="24"/>
          <w:szCs w:val="24"/>
        </w:rPr>
        <w:t xml:space="preserve"> One. 2013;8(4</w:t>
      </w:r>
      <w:proofErr w:type="gramStart"/>
      <w:r w:rsidRPr="00981A4F">
        <w:rPr>
          <w:sz w:val="24"/>
          <w:szCs w:val="24"/>
        </w:rPr>
        <w:t>):e</w:t>
      </w:r>
      <w:proofErr w:type="gramEnd"/>
      <w:r w:rsidRPr="00981A4F">
        <w:rPr>
          <w:sz w:val="24"/>
          <w:szCs w:val="24"/>
        </w:rPr>
        <w:t>60541.</w:t>
      </w:r>
    </w:p>
    <w:p w14:paraId="74492522" w14:textId="77777777" w:rsidR="00981A4F" w:rsidRPr="00981A4F" w:rsidRDefault="00981A4F" w:rsidP="006D2283">
      <w:pPr>
        <w:numPr>
          <w:ilvl w:val="0"/>
          <w:numId w:val="17"/>
        </w:numPr>
        <w:spacing w:after="0"/>
        <w:rPr>
          <w:sz w:val="24"/>
          <w:szCs w:val="24"/>
        </w:rPr>
      </w:pPr>
      <w:bookmarkStart w:id="84" w:name="ref48"/>
      <w:bookmarkEnd w:id="84"/>
      <w:proofErr w:type="spellStart"/>
      <w:r w:rsidRPr="00981A4F">
        <w:rPr>
          <w:sz w:val="24"/>
          <w:szCs w:val="24"/>
        </w:rPr>
        <w:t>Herbet</w:t>
      </w:r>
      <w:proofErr w:type="spellEnd"/>
      <w:r w:rsidRPr="00981A4F">
        <w:rPr>
          <w:sz w:val="24"/>
          <w:szCs w:val="24"/>
        </w:rPr>
        <w:t xml:space="preserve"> G, </w:t>
      </w:r>
      <w:proofErr w:type="spellStart"/>
      <w:r w:rsidRPr="00981A4F">
        <w:rPr>
          <w:sz w:val="24"/>
          <w:szCs w:val="24"/>
        </w:rPr>
        <w:t>Zemmoura</w:t>
      </w:r>
      <w:proofErr w:type="spellEnd"/>
      <w:r w:rsidRPr="00981A4F">
        <w:rPr>
          <w:sz w:val="24"/>
          <w:szCs w:val="24"/>
        </w:rPr>
        <w:t xml:space="preserve"> I, </w:t>
      </w:r>
      <w:proofErr w:type="spellStart"/>
      <w:r w:rsidRPr="00981A4F">
        <w:rPr>
          <w:sz w:val="24"/>
          <w:szCs w:val="24"/>
        </w:rPr>
        <w:t>Duffau</w:t>
      </w:r>
      <w:proofErr w:type="spellEnd"/>
      <w:r w:rsidRPr="00981A4F">
        <w:rPr>
          <w:sz w:val="24"/>
          <w:szCs w:val="24"/>
        </w:rPr>
        <w:t xml:space="preserve"> H. Functional anatomy of the inferior longitudinal fasciculus: from historical reports to current hypotheses. Front </w:t>
      </w:r>
      <w:proofErr w:type="spellStart"/>
      <w:r w:rsidRPr="00981A4F">
        <w:rPr>
          <w:sz w:val="24"/>
          <w:szCs w:val="24"/>
        </w:rPr>
        <w:t>Neuroanat</w:t>
      </w:r>
      <w:proofErr w:type="spellEnd"/>
      <w:r w:rsidRPr="00981A4F">
        <w:rPr>
          <w:sz w:val="24"/>
          <w:szCs w:val="24"/>
        </w:rPr>
        <w:t xml:space="preserve">. </w:t>
      </w:r>
      <w:proofErr w:type="gramStart"/>
      <w:r w:rsidRPr="00981A4F">
        <w:rPr>
          <w:sz w:val="24"/>
          <w:szCs w:val="24"/>
        </w:rPr>
        <w:t>2018;12:77</w:t>
      </w:r>
      <w:proofErr w:type="gramEnd"/>
      <w:r w:rsidRPr="00981A4F">
        <w:rPr>
          <w:sz w:val="24"/>
          <w:szCs w:val="24"/>
        </w:rPr>
        <w:t>.</w:t>
      </w:r>
    </w:p>
    <w:p w14:paraId="167DFFD2" w14:textId="77777777" w:rsidR="00981A4F" w:rsidRPr="00981A4F" w:rsidRDefault="00981A4F" w:rsidP="006D2283">
      <w:pPr>
        <w:numPr>
          <w:ilvl w:val="0"/>
          <w:numId w:val="17"/>
        </w:numPr>
        <w:spacing w:after="0"/>
        <w:rPr>
          <w:sz w:val="24"/>
          <w:szCs w:val="24"/>
        </w:rPr>
      </w:pPr>
      <w:bookmarkStart w:id="85" w:name="ref49"/>
      <w:bookmarkEnd w:id="85"/>
      <w:r w:rsidRPr="00981A4F">
        <w:rPr>
          <w:sz w:val="24"/>
          <w:szCs w:val="24"/>
        </w:rPr>
        <w:t xml:space="preserve">Robinson H, </w:t>
      </w:r>
      <w:proofErr w:type="spellStart"/>
      <w:r w:rsidRPr="00981A4F">
        <w:rPr>
          <w:sz w:val="24"/>
          <w:szCs w:val="24"/>
        </w:rPr>
        <w:t>Calamia</w:t>
      </w:r>
      <w:proofErr w:type="spellEnd"/>
      <w:r w:rsidRPr="00981A4F">
        <w:rPr>
          <w:sz w:val="24"/>
          <w:szCs w:val="24"/>
        </w:rPr>
        <w:t xml:space="preserve"> M, </w:t>
      </w:r>
      <w:proofErr w:type="spellStart"/>
      <w:r w:rsidRPr="00981A4F">
        <w:rPr>
          <w:sz w:val="24"/>
          <w:szCs w:val="24"/>
        </w:rPr>
        <w:t>Gläscher</w:t>
      </w:r>
      <w:proofErr w:type="spellEnd"/>
      <w:r w:rsidRPr="00981A4F">
        <w:rPr>
          <w:sz w:val="24"/>
          <w:szCs w:val="24"/>
        </w:rPr>
        <w:t xml:space="preserve"> J, Bruss J, </w:t>
      </w:r>
      <w:proofErr w:type="spellStart"/>
      <w:r w:rsidRPr="00981A4F">
        <w:rPr>
          <w:sz w:val="24"/>
          <w:szCs w:val="24"/>
        </w:rPr>
        <w:t>Tranel</w:t>
      </w:r>
      <w:proofErr w:type="spellEnd"/>
      <w:r w:rsidRPr="00981A4F">
        <w:rPr>
          <w:sz w:val="24"/>
          <w:szCs w:val="24"/>
        </w:rPr>
        <w:t xml:space="preserve"> D. Neuroanatomical correlates of executive functions: a neuropsychological approach using the EXAMINER battery. J Int </w:t>
      </w:r>
      <w:proofErr w:type="spellStart"/>
      <w:r w:rsidRPr="00981A4F">
        <w:rPr>
          <w:sz w:val="24"/>
          <w:szCs w:val="24"/>
        </w:rPr>
        <w:t>Neuropsychol</w:t>
      </w:r>
      <w:proofErr w:type="spellEnd"/>
      <w:r w:rsidRPr="00981A4F">
        <w:rPr>
          <w:sz w:val="24"/>
          <w:szCs w:val="24"/>
        </w:rPr>
        <w:t xml:space="preserve"> Soc. 2014 Jan;20(1):52–63.</w:t>
      </w:r>
    </w:p>
    <w:p w14:paraId="37748ADE" w14:textId="77777777" w:rsidR="00981A4F" w:rsidRPr="00981A4F" w:rsidRDefault="00981A4F" w:rsidP="006D2283">
      <w:pPr>
        <w:numPr>
          <w:ilvl w:val="0"/>
          <w:numId w:val="17"/>
        </w:numPr>
        <w:spacing w:after="0"/>
        <w:rPr>
          <w:sz w:val="24"/>
          <w:szCs w:val="24"/>
        </w:rPr>
      </w:pPr>
      <w:bookmarkStart w:id="86" w:name="ref50"/>
      <w:bookmarkEnd w:id="86"/>
      <w:r w:rsidRPr="00981A4F">
        <w:rPr>
          <w:sz w:val="24"/>
          <w:szCs w:val="24"/>
        </w:rPr>
        <w:t xml:space="preserve">Behrens TE, Berg HJ, </w:t>
      </w:r>
      <w:proofErr w:type="spellStart"/>
      <w:r w:rsidRPr="00981A4F">
        <w:rPr>
          <w:sz w:val="24"/>
          <w:szCs w:val="24"/>
        </w:rPr>
        <w:t>Jbabdi</w:t>
      </w:r>
      <w:proofErr w:type="spellEnd"/>
      <w:r w:rsidRPr="00981A4F">
        <w:rPr>
          <w:sz w:val="24"/>
          <w:szCs w:val="24"/>
        </w:rPr>
        <w:t xml:space="preserve"> S, Rushworth MF, Woolrich MW. Probabilistic diffusion tractography with multiple </w:t>
      </w:r>
      <w:proofErr w:type="spellStart"/>
      <w:r w:rsidRPr="00981A4F">
        <w:rPr>
          <w:sz w:val="24"/>
          <w:szCs w:val="24"/>
        </w:rPr>
        <w:t>fibre</w:t>
      </w:r>
      <w:proofErr w:type="spellEnd"/>
      <w:r w:rsidRPr="00981A4F">
        <w:rPr>
          <w:sz w:val="24"/>
          <w:szCs w:val="24"/>
        </w:rPr>
        <w:t xml:space="preserve"> orientations: what can we gain? Neuroimage. 2007 Jan 1;34(1):144–55.</w:t>
      </w:r>
    </w:p>
    <w:sectPr w:rsidR="00981A4F" w:rsidRPr="00981A4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372345E"/>
    <w:multiLevelType w:val="multilevel"/>
    <w:tmpl w:val="66AEA9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4"/>
  </w:num>
  <w:num w:numId="4">
    <w:abstractNumId w:val="4"/>
  </w:num>
  <w:num w:numId="5">
    <w:abstractNumId w:val="10"/>
  </w:num>
  <w:num w:numId="6">
    <w:abstractNumId w:val="15"/>
  </w:num>
  <w:num w:numId="7">
    <w:abstractNumId w:val="1"/>
  </w:num>
  <w:num w:numId="8">
    <w:abstractNumId w:val="9"/>
  </w:num>
  <w:num w:numId="9">
    <w:abstractNumId w:val="7"/>
  </w:num>
  <w:num w:numId="10">
    <w:abstractNumId w:val="3"/>
  </w:num>
  <w:num w:numId="11">
    <w:abstractNumId w:val="12"/>
  </w:num>
  <w:num w:numId="12">
    <w:abstractNumId w:val="16"/>
  </w:num>
  <w:num w:numId="13">
    <w:abstractNumId w:val="8"/>
  </w:num>
  <w:num w:numId="14">
    <w:abstractNumId w:val="5"/>
  </w:num>
  <w:num w:numId="15">
    <w:abstractNumId w:val="13"/>
  </w:num>
  <w:num w:numId="16">
    <w:abstractNumId w:val="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YeFFeQBsnfxA79LwTkZpBfnQOmfiV4Y/k2BnlZxD+bdElbCni+8oKAfuxxrWsa4dalC2B2QkaA77Dnk5OYlO0w==" w:salt="fxkqVMoFCby+iZrUAkQZ6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399"/>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0265"/>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5AB4"/>
    <w:rsid w:val="000F7FB1"/>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6CC4"/>
    <w:rsid w:val="0018114F"/>
    <w:rsid w:val="00181ADF"/>
    <w:rsid w:val="00183A38"/>
    <w:rsid w:val="001854EA"/>
    <w:rsid w:val="00185C26"/>
    <w:rsid w:val="00196C7C"/>
    <w:rsid w:val="001A107E"/>
    <w:rsid w:val="001A1C71"/>
    <w:rsid w:val="001A1DF4"/>
    <w:rsid w:val="001A34C4"/>
    <w:rsid w:val="001B6E76"/>
    <w:rsid w:val="001B7E69"/>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67617"/>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5C54"/>
    <w:rsid w:val="003B6208"/>
    <w:rsid w:val="003B7F8F"/>
    <w:rsid w:val="003C4172"/>
    <w:rsid w:val="003C437D"/>
    <w:rsid w:val="003C4456"/>
    <w:rsid w:val="003D3301"/>
    <w:rsid w:val="003D4641"/>
    <w:rsid w:val="003E05B7"/>
    <w:rsid w:val="003E0C0A"/>
    <w:rsid w:val="003E6409"/>
    <w:rsid w:val="003E6CFF"/>
    <w:rsid w:val="004010E3"/>
    <w:rsid w:val="004055B8"/>
    <w:rsid w:val="0040709D"/>
    <w:rsid w:val="004122F9"/>
    <w:rsid w:val="004124D3"/>
    <w:rsid w:val="004139BA"/>
    <w:rsid w:val="00414591"/>
    <w:rsid w:val="00421CBC"/>
    <w:rsid w:val="00424256"/>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567A"/>
    <w:rsid w:val="004F0F9C"/>
    <w:rsid w:val="004F146C"/>
    <w:rsid w:val="004F1F3C"/>
    <w:rsid w:val="004F657B"/>
    <w:rsid w:val="0050408D"/>
    <w:rsid w:val="00504C6A"/>
    <w:rsid w:val="00510364"/>
    <w:rsid w:val="005116C9"/>
    <w:rsid w:val="00511BEE"/>
    <w:rsid w:val="005175E9"/>
    <w:rsid w:val="00520368"/>
    <w:rsid w:val="0052658A"/>
    <w:rsid w:val="00533270"/>
    <w:rsid w:val="00537F65"/>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B6D2F"/>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36B"/>
    <w:rsid w:val="00604C5A"/>
    <w:rsid w:val="00607F1D"/>
    <w:rsid w:val="00612DE8"/>
    <w:rsid w:val="00615A83"/>
    <w:rsid w:val="00620EA0"/>
    <w:rsid w:val="00623E47"/>
    <w:rsid w:val="00624CD2"/>
    <w:rsid w:val="0062795C"/>
    <w:rsid w:val="00627A02"/>
    <w:rsid w:val="00631A06"/>
    <w:rsid w:val="00633D28"/>
    <w:rsid w:val="00633F1B"/>
    <w:rsid w:val="00634D07"/>
    <w:rsid w:val="00635799"/>
    <w:rsid w:val="00636A77"/>
    <w:rsid w:val="0064051B"/>
    <w:rsid w:val="00641330"/>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87BEF"/>
    <w:rsid w:val="00693B53"/>
    <w:rsid w:val="00697377"/>
    <w:rsid w:val="006A1F61"/>
    <w:rsid w:val="006A533C"/>
    <w:rsid w:val="006A5E52"/>
    <w:rsid w:val="006A712D"/>
    <w:rsid w:val="006A7B71"/>
    <w:rsid w:val="006B20FD"/>
    <w:rsid w:val="006B3B2B"/>
    <w:rsid w:val="006C024E"/>
    <w:rsid w:val="006C7ED1"/>
    <w:rsid w:val="006D2283"/>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1A4F"/>
    <w:rsid w:val="00982217"/>
    <w:rsid w:val="00984B39"/>
    <w:rsid w:val="00986A83"/>
    <w:rsid w:val="00990645"/>
    <w:rsid w:val="009A130B"/>
    <w:rsid w:val="009A2639"/>
    <w:rsid w:val="009A397F"/>
    <w:rsid w:val="009B4F83"/>
    <w:rsid w:val="009B6983"/>
    <w:rsid w:val="009C5450"/>
    <w:rsid w:val="009C5716"/>
    <w:rsid w:val="009D316A"/>
    <w:rsid w:val="009D3527"/>
    <w:rsid w:val="009D368A"/>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5277"/>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5602"/>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6712"/>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346F"/>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532A"/>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3417"/>
    <w:rsid w:val="00DF6125"/>
    <w:rsid w:val="00E04B34"/>
    <w:rsid w:val="00E0712D"/>
    <w:rsid w:val="00E13E05"/>
    <w:rsid w:val="00E15784"/>
    <w:rsid w:val="00E16734"/>
    <w:rsid w:val="00E179BE"/>
    <w:rsid w:val="00E20401"/>
    <w:rsid w:val="00E26275"/>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paragraph" w:customStyle="1" w:styleId="first">
    <w:name w:val="first"/>
    <w:basedOn w:val="Normal"/>
    <w:rsid w:val="00981A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text">
    <w:name w:val="smalltext"/>
    <w:basedOn w:val="DefaultParagraphFont"/>
    <w:rsid w:val="00981A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174282">
      <w:bodyDiv w:val="1"/>
      <w:marLeft w:val="0"/>
      <w:marRight w:val="0"/>
      <w:marTop w:val="0"/>
      <w:marBottom w:val="0"/>
      <w:divBdr>
        <w:top w:val="none" w:sz="0" w:space="0" w:color="auto"/>
        <w:left w:val="none" w:sz="0" w:space="0" w:color="auto"/>
        <w:bottom w:val="none" w:sz="0" w:space="0" w:color="auto"/>
        <w:right w:val="none" w:sz="0" w:space="0" w:color="auto"/>
      </w:divBdr>
    </w:div>
    <w:div w:id="250629926">
      <w:bodyDiv w:val="1"/>
      <w:marLeft w:val="0"/>
      <w:marRight w:val="0"/>
      <w:marTop w:val="0"/>
      <w:marBottom w:val="0"/>
      <w:divBdr>
        <w:top w:val="none" w:sz="0" w:space="0" w:color="auto"/>
        <w:left w:val="none" w:sz="0" w:space="0" w:color="auto"/>
        <w:bottom w:val="none" w:sz="0" w:space="0" w:color="auto"/>
        <w:right w:val="none" w:sz="0" w:space="0" w:color="auto"/>
      </w:divBdr>
      <w:divsChild>
        <w:div w:id="1867210820">
          <w:marLeft w:val="0"/>
          <w:marRight w:val="0"/>
          <w:marTop w:val="0"/>
          <w:marBottom w:val="0"/>
          <w:divBdr>
            <w:top w:val="none" w:sz="0" w:space="0" w:color="auto"/>
            <w:left w:val="none" w:sz="0" w:space="0" w:color="auto"/>
            <w:bottom w:val="none" w:sz="0" w:space="0" w:color="auto"/>
            <w:right w:val="none" w:sz="0" w:space="0" w:color="auto"/>
          </w:divBdr>
        </w:div>
        <w:div w:id="845170517">
          <w:marLeft w:val="0"/>
          <w:marRight w:val="0"/>
          <w:marTop w:val="0"/>
          <w:marBottom w:val="0"/>
          <w:divBdr>
            <w:top w:val="none" w:sz="0" w:space="0" w:color="auto"/>
            <w:left w:val="none" w:sz="0" w:space="0" w:color="auto"/>
            <w:bottom w:val="none" w:sz="0" w:space="0" w:color="auto"/>
            <w:right w:val="none" w:sz="0" w:space="0" w:color="auto"/>
          </w:divBdr>
        </w:div>
        <w:div w:id="674722847">
          <w:marLeft w:val="0"/>
          <w:marRight w:val="0"/>
          <w:marTop w:val="0"/>
          <w:marBottom w:val="0"/>
          <w:divBdr>
            <w:top w:val="none" w:sz="0" w:space="0" w:color="auto"/>
            <w:left w:val="none" w:sz="0" w:space="0" w:color="auto"/>
            <w:bottom w:val="none" w:sz="0" w:space="0" w:color="auto"/>
            <w:right w:val="none" w:sz="0" w:space="0" w:color="auto"/>
          </w:divBdr>
        </w:div>
        <w:div w:id="6755687">
          <w:marLeft w:val="0"/>
          <w:marRight w:val="0"/>
          <w:marTop w:val="0"/>
          <w:marBottom w:val="0"/>
          <w:divBdr>
            <w:top w:val="none" w:sz="0" w:space="0" w:color="auto"/>
            <w:left w:val="none" w:sz="0" w:space="0" w:color="auto"/>
            <w:bottom w:val="none" w:sz="0" w:space="0" w:color="auto"/>
            <w:right w:val="none" w:sz="0" w:space="0" w:color="auto"/>
          </w:divBdr>
        </w:div>
        <w:div w:id="1014772144">
          <w:marLeft w:val="0"/>
          <w:marRight w:val="0"/>
          <w:marTop w:val="0"/>
          <w:marBottom w:val="0"/>
          <w:divBdr>
            <w:top w:val="none" w:sz="0" w:space="0" w:color="auto"/>
            <w:left w:val="none" w:sz="0" w:space="0" w:color="auto"/>
            <w:bottom w:val="none" w:sz="0" w:space="0" w:color="auto"/>
            <w:right w:val="none" w:sz="0" w:space="0" w:color="auto"/>
          </w:divBdr>
          <w:divsChild>
            <w:div w:id="400373802">
              <w:marLeft w:val="0"/>
              <w:marRight w:val="0"/>
              <w:marTop w:val="0"/>
              <w:marBottom w:val="0"/>
              <w:divBdr>
                <w:top w:val="none" w:sz="0" w:space="0" w:color="auto"/>
                <w:left w:val="none" w:sz="0" w:space="0" w:color="auto"/>
                <w:bottom w:val="none" w:sz="0" w:space="0" w:color="auto"/>
                <w:right w:val="none" w:sz="0" w:space="0" w:color="auto"/>
              </w:divBdr>
            </w:div>
          </w:divsChild>
        </w:div>
        <w:div w:id="1027758715">
          <w:marLeft w:val="0"/>
          <w:marRight w:val="0"/>
          <w:marTop w:val="0"/>
          <w:marBottom w:val="0"/>
          <w:divBdr>
            <w:top w:val="none" w:sz="0" w:space="0" w:color="auto"/>
            <w:left w:val="none" w:sz="0" w:space="0" w:color="auto"/>
            <w:bottom w:val="none" w:sz="0" w:space="0" w:color="auto"/>
            <w:right w:val="none" w:sz="0" w:space="0" w:color="auto"/>
          </w:divBdr>
          <w:divsChild>
            <w:div w:id="152382540">
              <w:marLeft w:val="0"/>
              <w:marRight w:val="0"/>
              <w:marTop w:val="0"/>
              <w:marBottom w:val="0"/>
              <w:divBdr>
                <w:top w:val="none" w:sz="0" w:space="0" w:color="auto"/>
                <w:left w:val="none" w:sz="0" w:space="0" w:color="auto"/>
                <w:bottom w:val="none" w:sz="0" w:space="0" w:color="auto"/>
                <w:right w:val="none" w:sz="0" w:space="0" w:color="auto"/>
              </w:divBdr>
              <w:divsChild>
                <w:div w:id="1383366472">
                  <w:marLeft w:val="0"/>
                  <w:marRight w:val="0"/>
                  <w:marTop w:val="0"/>
                  <w:marBottom w:val="0"/>
                  <w:divBdr>
                    <w:top w:val="none" w:sz="0" w:space="0" w:color="auto"/>
                    <w:left w:val="none" w:sz="0" w:space="0" w:color="auto"/>
                    <w:bottom w:val="none" w:sz="0" w:space="0" w:color="auto"/>
                    <w:right w:val="none" w:sz="0" w:space="0" w:color="auto"/>
                  </w:divBdr>
                </w:div>
              </w:divsChild>
            </w:div>
            <w:div w:id="368913623">
              <w:marLeft w:val="0"/>
              <w:marRight w:val="0"/>
              <w:marTop w:val="0"/>
              <w:marBottom w:val="0"/>
              <w:divBdr>
                <w:top w:val="none" w:sz="0" w:space="0" w:color="auto"/>
                <w:left w:val="none" w:sz="0" w:space="0" w:color="auto"/>
                <w:bottom w:val="none" w:sz="0" w:space="0" w:color="auto"/>
                <w:right w:val="none" w:sz="0" w:space="0" w:color="auto"/>
              </w:divBdr>
              <w:divsChild>
                <w:div w:id="197940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758539">
          <w:marLeft w:val="0"/>
          <w:marRight w:val="0"/>
          <w:marTop w:val="0"/>
          <w:marBottom w:val="0"/>
          <w:divBdr>
            <w:top w:val="none" w:sz="0" w:space="0" w:color="auto"/>
            <w:left w:val="none" w:sz="0" w:space="0" w:color="auto"/>
            <w:bottom w:val="none" w:sz="0" w:space="0" w:color="auto"/>
            <w:right w:val="none" w:sz="0" w:space="0" w:color="auto"/>
          </w:divBdr>
          <w:divsChild>
            <w:div w:id="1857496102">
              <w:marLeft w:val="0"/>
              <w:marRight w:val="0"/>
              <w:marTop w:val="0"/>
              <w:marBottom w:val="0"/>
              <w:divBdr>
                <w:top w:val="none" w:sz="0" w:space="0" w:color="auto"/>
                <w:left w:val="none" w:sz="0" w:space="0" w:color="auto"/>
                <w:bottom w:val="none" w:sz="0" w:space="0" w:color="auto"/>
                <w:right w:val="none" w:sz="0" w:space="0" w:color="auto"/>
              </w:divBdr>
              <w:divsChild>
                <w:div w:id="122961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329922">
          <w:marLeft w:val="0"/>
          <w:marRight w:val="0"/>
          <w:marTop w:val="0"/>
          <w:marBottom w:val="0"/>
          <w:divBdr>
            <w:top w:val="none" w:sz="0" w:space="0" w:color="auto"/>
            <w:left w:val="none" w:sz="0" w:space="0" w:color="auto"/>
            <w:bottom w:val="none" w:sz="0" w:space="0" w:color="auto"/>
            <w:right w:val="none" w:sz="0" w:space="0" w:color="auto"/>
          </w:divBdr>
          <w:divsChild>
            <w:div w:id="698631659">
              <w:marLeft w:val="0"/>
              <w:marRight w:val="0"/>
              <w:marTop w:val="0"/>
              <w:marBottom w:val="0"/>
              <w:divBdr>
                <w:top w:val="none" w:sz="0" w:space="0" w:color="auto"/>
                <w:left w:val="none" w:sz="0" w:space="0" w:color="auto"/>
                <w:bottom w:val="none" w:sz="0" w:space="0" w:color="auto"/>
                <w:right w:val="none" w:sz="0" w:space="0" w:color="auto"/>
              </w:divBdr>
              <w:divsChild>
                <w:div w:id="140124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339161">
          <w:marLeft w:val="0"/>
          <w:marRight w:val="0"/>
          <w:marTop w:val="0"/>
          <w:marBottom w:val="0"/>
          <w:divBdr>
            <w:top w:val="none" w:sz="0" w:space="0" w:color="auto"/>
            <w:left w:val="none" w:sz="0" w:space="0" w:color="auto"/>
            <w:bottom w:val="none" w:sz="0" w:space="0" w:color="auto"/>
            <w:right w:val="none" w:sz="0" w:space="0" w:color="auto"/>
          </w:divBdr>
          <w:divsChild>
            <w:div w:id="550724896">
              <w:marLeft w:val="0"/>
              <w:marRight w:val="0"/>
              <w:marTop w:val="0"/>
              <w:marBottom w:val="0"/>
              <w:divBdr>
                <w:top w:val="none" w:sz="0" w:space="0" w:color="auto"/>
                <w:left w:val="none" w:sz="0" w:space="0" w:color="auto"/>
                <w:bottom w:val="none" w:sz="0" w:space="0" w:color="auto"/>
                <w:right w:val="none" w:sz="0" w:space="0" w:color="auto"/>
              </w:divBdr>
              <w:divsChild>
                <w:div w:id="87531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99812">
          <w:marLeft w:val="0"/>
          <w:marRight w:val="0"/>
          <w:marTop w:val="0"/>
          <w:marBottom w:val="0"/>
          <w:divBdr>
            <w:top w:val="none" w:sz="0" w:space="0" w:color="auto"/>
            <w:left w:val="none" w:sz="0" w:space="0" w:color="auto"/>
            <w:bottom w:val="none" w:sz="0" w:space="0" w:color="auto"/>
            <w:right w:val="none" w:sz="0" w:space="0" w:color="auto"/>
          </w:divBdr>
          <w:divsChild>
            <w:div w:id="301741145">
              <w:marLeft w:val="0"/>
              <w:marRight w:val="0"/>
              <w:marTop w:val="0"/>
              <w:marBottom w:val="0"/>
              <w:divBdr>
                <w:top w:val="none" w:sz="0" w:space="0" w:color="auto"/>
                <w:left w:val="none" w:sz="0" w:space="0" w:color="auto"/>
                <w:bottom w:val="none" w:sz="0" w:space="0" w:color="auto"/>
                <w:right w:val="none" w:sz="0" w:space="0" w:color="auto"/>
              </w:divBdr>
              <w:divsChild>
                <w:div w:id="2119641008">
                  <w:marLeft w:val="0"/>
                  <w:marRight w:val="0"/>
                  <w:marTop w:val="0"/>
                  <w:marBottom w:val="0"/>
                  <w:divBdr>
                    <w:top w:val="none" w:sz="0" w:space="0" w:color="auto"/>
                    <w:left w:val="none" w:sz="0" w:space="0" w:color="auto"/>
                    <w:bottom w:val="none" w:sz="0" w:space="0" w:color="auto"/>
                    <w:right w:val="none" w:sz="0" w:space="0" w:color="auto"/>
                  </w:divBdr>
                  <w:divsChild>
                    <w:div w:id="936251576">
                      <w:marLeft w:val="0"/>
                      <w:marRight w:val="0"/>
                      <w:marTop w:val="0"/>
                      <w:marBottom w:val="300"/>
                      <w:divBdr>
                        <w:top w:val="single" w:sz="36" w:space="0" w:color="FFFFFF"/>
                        <w:left w:val="single" w:sz="36" w:space="0" w:color="FFFFFF"/>
                        <w:bottom w:val="single" w:sz="36" w:space="0" w:color="FFFFFF"/>
                        <w:right w:val="single" w:sz="36" w:space="0" w:color="FFFFFF"/>
                      </w:divBdr>
                      <w:divsChild>
                        <w:div w:id="1852375615">
                          <w:marLeft w:val="0"/>
                          <w:marRight w:val="0"/>
                          <w:marTop w:val="0"/>
                          <w:marBottom w:val="0"/>
                          <w:divBdr>
                            <w:top w:val="none" w:sz="0" w:space="0" w:color="auto"/>
                            <w:left w:val="none" w:sz="0" w:space="0" w:color="auto"/>
                            <w:bottom w:val="none" w:sz="0" w:space="0" w:color="auto"/>
                            <w:right w:val="none" w:sz="0" w:space="0" w:color="auto"/>
                          </w:divBdr>
                          <w:divsChild>
                            <w:div w:id="591718">
                              <w:marLeft w:val="0"/>
                              <w:marRight w:val="0"/>
                              <w:marTop w:val="0"/>
                              <w:marBottom w:val="0"/>
                              <w:divBdr>
                                <w:top w:val="none" w:sz="0" w:space="0" w:color="auto"/>
                                <w:left w:val="none" w:sz="0" w:space="0" w:color="auto"/>
                                <w:bottom w:val="none" w:sz="0" w:space="0" w:color="auto"/>
                                <w:right w:val="none" w:sz="0" w:space="0" w:color="auto"/>
                              </w:divBdr>
                              <w:divsChild>
                                <w:div w:id="1655646515">
                                  <w:marLeft w:val="0"/>
                                  <w:marRight w:val="150"/>
                                  <w:marTop w:val="0"/>
                                  <w:marBottom w:val="0"/>
                                  <w:divBdr>
                                    <w:top w:val="single" w:sz="6" w:space="11" w:color="777777"/>
                                    <w:left w:val="single" w:sz="6" w:space="11" w:color="777777"/>
                                    <w:bottom w:val="single" w:sz="6" w:space="11" w:color="777777"/>
                                    <w:right w:val="single" w:sz="6" w:space="11" w:color="777777"/>
                                  </w:divBdr>
                                </w:div>
                                <w:div w:id="534778352">
                                  <w:marLeft w:val="0"/>
                                  <w:marRight w:val="150"/>
                                  <w:marTop w:val="0"/>
                                  <w:marBottom w:val="0"/>
                                  <w:divBdr>
                                    <w:top w:val="single" w:sz="6" w:space="11" w:color="777777"/>
                                    <w:left w:val="single" w:sz="6" w:space="11" w:color="777777"/>
                                    <w:bottom w:val="single" w:sz="6" w:space="11" w:color="777777"/>
                                    <w:right w:val="single" w:sz="6" w:space="11" w:color="777777"/>
                                  </w:divBdr>
                                </w:div>
                                <w:div w:id="841166902">
                                  <w:marLeft w:val="0"/>
                                  <w:marRight w:val="150"/>
                                  <w:marTop w:val="0"/>
                                  <w:marBottom w:val="0"/>
                                  <w:divBdr>
                                    <w:top w:val="single" w:sz="6" w:space="11" w:color="777777"/>
                                    <w:left w:val="single" w:sz="6" w:space="11" w:color="777777"/>
                                    <w:bottom w:val="single" w:sz="6" w:space="11" w:color="777777"/>
                                    <w:right w:val="single" w:sz="6" w:space="11" w:color="777777"/>
                                  </w:divBdr>
                                </w:div>
                                <w:div w:id="486090158">
                                  <w:marLeft w:val="0"/>
                                  <w:marRight w:val="150"/>
                                  <w:marTop w:val="0"/>
                                  <w:marBottom w:val="0"/>
                                  <w:divBdr>
                                    <w:top w:val="single" w:sz="6" w:space="11" w:color="777777"/>
                                    <w:left w:val="single" w:sz="6" w:space="11" w:color="777777"/>
                                    <w:bottom w:val="single" w:sz="6" w:space="11" w:color="777777"/>
                                    <w:right w:val="single" w:sz="6" w:space="11" w:color="777777"/>
                                  </w:divBdr>
                                </w:div>
                                <w:div w:id="187565978">
                                  <w:marLeft w:val="0"/>
                                  <w:marRight w:val="150"/>
                                  <w:marTop w:val="0"/>
                                  <w:marBottom w:val="0"/>
                                  <w:divBdr>
                                    <w:top w:val="single" w:sz="6" w:space="11" w:color="777777"/>
                                    <w:left w:val="single" w:sz="6" w:space="11" w:color="777777"/>
                                    <w:bottom w:val="single" w:sz="6" w:space="11" w:color="777777"/>
                                    <w:right w:val="single" w:sz="6" w:space="11" w:color="777777"/>
                                  </w:divBdr>
                                </w:div>
                                <w:div w:id="527134912">
                                  <w:marLeft w:val="0"/>
                                  <w:marRight w:val="150"/>
                                  <w:marTop w:val="0"/>
                                  <w:marBottom w:val="0"/>
                                  <w:divBdr>
                                    <w:top w:val="single" w:sz="6" w:space="11" w:color="777777"/>
                                    <w:left w:val="single" w:sz="6" w:space="11" w:color="777777"/>
                                    <w:bottom w:val="single" w:sz="6" w:space="11" w:color="777777"/>
                                    <w:right w:val="single" w:sz="6" w:space="11" w:color="777777"/>
                                  </w:divBdr>
                                </w:div>
                                <w:div w:id="502473503">
                                  <w:marLeft w:val="0"/>
                                  <w:marRight w:val="150"/>
                                  <w:marTop w:val="0"/>
                                  <w:marBottom w:val="0"/>
                                  <w:divBdr>
                                    <w:top w:val="single" w:sz="6" w:space="11" w:color="777777"/>
                                    <w:left w:val="single" w:sz="6" w:space="11" w:color="777777"/>
                                    <w:bottom w:val="single" w:sz="6" w:space="11" w:color="777777"/>
                                    <w:right w:val="single" w:sz="6" w:space="11" w:color="777777"/>
                                  </w:divBdr>
                                </w:div>
                              </w:divsChild>
                            </w:div>
                          </w:divsChild>
                        </w:div>
                      </w:divsChild>
                    </w:div>
                  </w:divsChild>
                </w:div>
              </w:divsChild>
            </w:div>
          </w:divsChild>
        </w:div>
        <w:div w:id="2092040712">
          <w:marLeft w:val="0"/>
          <w:marRight w:val="0"/>
          <w:marTop w:val="0"/>
          <w:marBottom w:val="0"/>
          <w:divBdr>
            <w:top w:val="none" w:sz="0" w:space="0" w:color="auto"/>
            <w:left w:val="none" w:sz="0" w:space="0" w:color="auto"/>
            <w:bottom w:val="none" w:sz="0" w:space="0" w:color="auto"/>
            <w:right w:val="none" w:sz="0" w:space="0" w:color="auto"/>
          </w:divBdr>
          <w:divsChild>
            <w:div w:id="1803617247">
              <w:marLeft w:val="0"/>
              <w:marRight w:val="0"/>
              <w:marTop w:val="0"/>
              <w:marBottom w:val="0"/>
              <w:divBdr>
                <w:top w:val="none" w:sz="0" w:space="0" w:color="auto"/>
                <w:left w:val="none" w:sz="0" w:space="0" w:color="auto"/>
                <w:bottom w:val="none" w:sz="0" w:space="0" w:color="auto"/>
                <w:right w:val="none" w:sz="0" w:space="0" w:color="auto"/>
              </w:divBdr>
              <w:divsChild>
                <w:div w:id="164707235">
                  <w:marLeft w:val="0"/>
                  <w:marRight w:val="0"/>
                  <w:marTop w:val="0"/>
                  <w:marBottom w:val="0"/>
                  <w:divBdr>
                    <w:top w:val="none" w:sz="0" w:space="0" w:color="auto"/>
                    <w:left w:val="none" w:sz="0" w:space="0" w:color="auto"/>
                    <w:bottom w:val="none" w:sz="0" w:space="0" w:color="auto"/>
                    <w:right w:val="none" w:sz="0" w:space="0" w:color="auto"/>
                  </w:divBdr>
                </w:div>
              </w:divsChild>
            </w:div>
            <w:div w:id="453718985">
              <w:marLeft w:val="0"/>
              <w:marRight w:val="0"/>
              <w:marTop w:val="0"/>
              <w:marBottom w:val="0"/>
              <w:divBdr>
                <w:top w:val="none" w:sz="0" w:space="0" w:color="auto"/>
                <w:left w:val="none" w:sz="0" w:space="0" w:color="auto"/>
                <w:bottom w:val="none" w:sz="0" w:space="0" w:color="auto"/>
                <w:right w:val="none" w:sz="0" w:space="0" w:color="auto"/>
              </w:divBdr>
              <w:divsChild>
                <w:div w:id="456800247">
                  <w:marLeft w:val="0"/>
                  <w:marRight w:val="0"/>
                  <w:marTop w:val="0"/>
                  <w:marBottom w:val="0"/>
                  <w:divBdr>
                    <w:top w:val="none" w:sz="0" w:space="0" w:color="auto"/>
                    <w:left w:val="none" w:sz="0" w:space="0" w:color="auto"/>
                    <w:bottom w:val="none" w:sz="0" w:space="0" w:color="auto"/>
                    <w:right w:val="none" w:sz="0" w:space="0" w:color="auto"/>
                  </w:divBdr>
                </w:div>
              </w:divsChild>
            </w:div>
            <w:div w:id="536745065">
              <w:marLeft w:val="0"/>
              <w:marRight w:val="0"/>
              <w:marTop w:val="0"/>
              <w:marBottom w:val="0"/>
              <w:divBdr>
                <w:top w:val="none" w:sz="0" w:space="0" w:color="auto"/>
                <w:left w:val="none" w:sz="0" w:space="0" w:color="auto"/>
                <w:bottom w:val="none" w:sz="0" w:space="0" w:color="auto"/>
                <w:right w:val="none" w:sz="0" w:space="0" w:color="auto"/>
              </w:divBdr>
              <w:divsChild>
                <w:div w:id="936252048">
                  <w:marLeft w:val="0"/>
                  <w:marRight w:val="0"/>
                  <w:marTop w:val="0"/>
                  <w:marBottom w:val="0"/>
                  <w:divBdr>
                    <w:top w:val="none" w:sz="0" w:space="0" w:color="auto"/>
                    <w:left w:val="none" w:sz="0" w:space="0" w:color="auto"/>
                    <w:bottom w:val="none" w:sz="0" w:space="0" w:color="auto"/>
                    <w:right w:val="none" w:sz="0" w:space="0" w:color="auto"/>
                  </w:divBdr>
                </w:div>
              </w:divsChild>
            </w:div>
            <w:div w:id="590479466">
              <w:marLeft w:val="0"/>
              <w:marRight w:val="0"/>
              <w:marTop w:val="0"/>
              <w:marBottom w:val="0"/>
              <w:divBdr>
                <w:top w:val="none" w:sz="0" w:space="0" w:color="auto"/>
                <w:left w:val="none" w:sz="0" w:space="0" w:color="auto"/>
                <w:bottom w:val="none" w:sz="0" w:space="0" w:color="auto"/>
                <w:right w:val="none" w:sz="0" w:space="0" w:color="auto"/>
              </w:divBdr>
              <w:divsChild>
                <w:div w:id="449128401">
                  <w:marLeft w:val="0"/>
                  <w:marRight w:val="0"/>
                  <w:marTop w:val="0"/>
                  <w:marBottom w:val="0"/>
                  <w:divBdr>
                    <w:top w:val="none" w:sz="0" w:space="0" w:color="auto"/>
                    <w:left w:val="none" w:sz="0" w:space="0" w:color="auto"/>
                    <w:bottom w:val="none" w:sz="0" w:space="0" w:color="auto"/>
                    <w:right w:val="none" w:sz="0" w:space="0" w:color="auto"/>
                  </w:divBdr>
                </w:div>
              </w:divsChild>
            </w:div>
            <w:div w:id="2035113780">
              <w:marLeft w:val="0"/>
              <w:marRight w:val="0"/>
              <w:marTop w:val="0"/>
              <w:marBottom w:val="0"/>
              <w:divBdr>
                <w:top w:val="none" w:sz="0" w:space="0" w:color="auto"/>
                <w:left w:val="none" w:sz="0" w:space="0" w:color="auto"/>
                <w:bottom w:val="none" w:sz="0" w:space="0" w:color="auto"/>
                <w:right w:val="none" w:sz="0" w:space="0" w:color="auto"/>
              </w:divBdr>
              <w:divsChild>
                <w:div w:id="1872105783">
                  <w:marLeft w:val="0"/>
                  <w:marRight w:val="0"/>
                  <w:marTop w:val="0"/>
                  <w:marBottom w:val="0"/>
                  <w:divBdr>
                    <w:top w:val="none" w:sz="0" w:space="0" w:color="auto"/>
                    <w:left w:val="none" w:sz="0" w:space="0" w:color="auto"/>
                    <w:bottom w:val="none" w:sz="0" w:space="0" w:color="auto"/>
                    <w:right w:val="none" w:sz="0" w:space="0" w:color="auto"/>
                  </w:divBdr>
                </w:div>
              </w:divsChild>
            </w:div>
            <w:div w:id="1800105107">
              <w:marLeft w:val="0"/>
              <w:marRight w:val="0"/>
              <w:marTop w:val="0"/>
              <w:marBottom w:val="0"/>
              <w:divBdr>
                <w:top w:val="none" w:sz="0" w:space="0" w:color="auto"/>
                <w:left w:val="none" w:sz="0" w:space="0" w:color="auto"/>
                <w:bottom w:val="none" w:sz="0" w:space="0" w:color="auto"/>
                <w:right w:val="none" w:sz="0" w:space="0" w:color="auto"/>
              </w:divBdr>
              <w:divsChild>
                <w:div w:id="1933776990">
                  <w:marLeft w:val="0"/>
                  <w:marRight w:val="0"/>
                  <w:marTop w:val="0"/>
                  <w:marBottom w:val="0"/>
                  <w:divBdr>
                    <w:top w:val="none" w:sz="0" w:space="0" w:color="auto"/>
                    <w:left w:val="none" w:sz="0" w:space="0" w:color="auto"/>
                    <w:bottom w:val="none" w:sz="0" w:space="0" w:color="auto"/>
                    <w:right w:val="none" w:sz="0" w:space="0" w:color="auto"/>
                  </w:divBdr>
                </w:div>
              </w:divsChild>
            </w:div>
            <w:div w:id="735326096">
              <w:marLeft w:val="0"/>
              <w:marRight w:val="0"/>
              <w:marTop w:val="0"/>
              <w:marBottom w:val="0"/>
              <w:divBdr>
                <w:top w:val="none" w:sz="0" w:space="0" w:color="auto"/>
                <w:left w:val="none" w:sz="0" w:space="0" w:color="auto"/>
                <w:bottom w:val="none" w:sz="0" w:space="0" w:color="auto"/>
                <w:right w:val="none" w:sz="0" w:space="0" w:color="auto"/>
              </w:divBdr>
              <w:divsChild>
                <w:div w:id="1637640327">
                  <w:marLeft w:val="0"/>
                  <w:marRight w:val="0"/>
                  <w:marTop w:val="0"/>
                  <w:marBottom w:val="0"/>
                  <w:divBdr>
                    <w:top w:val="none" w:sz="0" w:space="0" w:color="auto"/>
                    <w:left w:val="none" w:sz="0" w:space="0" w:color="auto"/>
                    <w:bottom w:val="none" w:sz="0" w:space="0" w:color="auto"/>
                    <w:right w:val="none" w:sz="0" w:space="0" w:color="auto"/>
                  </w:divBdr>
                </w:div>
              </w:divsChild>
            </w:div>
            <w:div w:id="348261877">
              <w:marLeft w:val="0"/>
              <w:marRight w:val="0"/>
              <w:marTop w:val="0"/>
              <w:marBottom w:val="0"/>
              <w:divBdr>
                <w:top w:val="none" w:sz="0" w:space="0" w:color="auto"/>
                <w:left w:val="none" w:sz="0" w:space="0" w:color="auto"/>
                <w:bottom w:val="none" w:sz="0" w:space="0" w:color="auto"/>
                <w:right w:val="none" w:sz="0" w:space="0" w:color="auto"/>
              </w:divBdr>
              <w:divsChild>
                <w:div w:id="763575975">
                  <w:marLeft w:val="0"/>
                  <w:marRight w:val="0"/>
                  <w:marTop w:val="0"/>
                  <w:marBottom w:val="0"/>
                  <w:divBdr>
                    <w:top w:val="none" w:sz="0" w:space="0" w:color="auto"/>
                    <w:left w:val="none" w:sz="0" w:space="0" w:color="auto"/>
                    <w:bottom w:val="none" w:sz="0" w:space="0" w:color="auto"/>
                    <w:right w:val="none" w:sz="0" w:space="0" w:color="auto"/>
                  </w:divBdr>
                </w:div>
              </w:divsChild>
            </w:div>
            <w:div w:id="1236865803">
              <w:marLeft w:val="0"/>
              <w:marRight w:val="0"/>
              <w:marTop w:val="0"/>
              <w:marBottom w:val="0"/>
              <w:divBdr>
                <w:top w:val="none" w:sz="0" w:space="0" w:color="auto"/>
                <w:left w:val="none" w:sz="0" w:space="0" w:color="auto"/>
                <w:bottom w:val="none" w:sz="0" w:space="0" w:color="auto"/>
                <w:right w:val="none" w:sz="0" w:space="0" w:color="auto"/>
              </w:divBdr>
              <w:divsChild>
                <w:div w:id="1972587307">
                  <w:marLeft w:val="0"/>
                  <w:marRight w:val="0"/>
                  <w:marTop w:val="0"/>
                  <w:marBottom w:val="0"/>
                  <w:divBdr>
                    <w:top w:val="none" w:sz="0" w:space="0" w:color="auto"/>
                    <w:left w:val="none" w:sz="0" w:space="0" w:color="auto"/>
                    <w:bottom w:val="none" w:sz="0" w:space="0" w:color="auto"/>
                    <w:right w:val="none" w:sz="0" w:space="0" w:color="auto"/>
                  </w:divBdr>
                </w:div>
              </w:divsChild>
            </w:div>
            <w:div w:id="1627812773">
              <w:marLeft w:val="0"/>
              <w:marRight w:val="0"/>
              <w:marTop w:val="0"/>
              <w:marBottom w:val="0"/>
              <w:divBdr>
                <w:top w:val="none" w:sz="0" w:space="0" w:color="auto"/>
                <w:left w:val="none" w:sz="0" w:space="0" w:color="auto"/>
                <w:bottom w:val="none" w:sz="0" w:space="0" w:color="auto"/>
                <w:right w:val="none" w:sz="0" w:space="0" w:color="auto"/>
              </w:divBdr>
              <w:divsChild>
                <w:div w:id="533345563">
                  <w:marLeft w:val="0"/>
                  <w:marRight w:val="0"/>
                  <w:marTop w:val="0"/>
                  <w:marBottom w:val="0"/>
                  <w:divBdr>
                    <w:top w:val="none" w:sz="0" w:space="0" w:color="auto"/>
                    <w:left w:val="none" w:sz="0" w:space="0" w:color="auto"/>
                    <w:bottom w:val="none" w:sz="0" w:space="0" w:color="auto"/>
                    <w:right w:val="none" w:sz="0" w:space="0" w:color="auto"/>
                  </w:divBdr>
                </w:div>
              </w:divsChild>
            </w:div>
            <w:div w:id="2137024259">
              <w:marLeft w:val="0"/>
              <w:marRight w:val="0"/>
              <w:marTop w:val="0"/>
              <w:marBottom w:val="0"/>
              <w:divBdr>
                <w:top w:val="none" w:sz="0" w:space="0" w:color="auto"/>
                <w:left w:val="none" w:sz="0" w:space="0" w:color="auto"/>
                <w:bottom w:val="none" w:sz="0" w:space="0" w:color="auto"/>
                <w:right w:val="none" w:sz="0" w:space="0" w:color="auto"/>
              </w:divBdr>
              <w:divsChild>
                <w:div w:id="921062922">
                  <w:marLeft w:val="0"/>
                  <w:marRight w:val="0"/>
                  <w:marTop w:val="0"/>
                  <w:marBottom w:val="0"/>
                  <w:divBdr>
                    <w:top w:val="none" w:sz="0" w:space="0" w:color="auto"/>
                    <w:left w:val="none" w:sz="0" w:space="0" w:color="auto"/>
                    <w:bottom w:val="none" w:sz="0" w:space="0" w:color="auto"/>
                    <w:right w:val="none" w:sz="0" w:space="0" w:color="auto"/>
                  </w:divBdr>
                </w:div>
              </w:divsChild>
            </w:div>
            <w:div w:id="456458415">
              <w:marLeft w:val="0"/>
              <w:marRight w:val="0"/>
              <w:marTop w:val="0"/>
              <w:marBottom w:val="0"/>
              <w:divBdr>
                <w:top w:val="none" w:sz="0" w:space="0" w:color="auto"/>
                <w:left w:val="none" w:sz="0" w:space="0" w:color="auto"/>
                <w:bottom w:val="none" w:sz="0" w:space="0" w:color="auto"/>
                <w:right w:val="none" w:sz="0" w:space="0" w:color="auto"/>
              </w:divBdr>
              <w:divsChild>
                <w:div w:id="1946301317">
                  <w:marLeft w:val="0"/>
                  <w:marRight w:val="0"/>
                  <w:marTop w:val="0"/>
                  <w:marBottom w:val="0"/>
                  <w:divBdr>
                    <w:top w:val="none" w:sz="0" w:space="0" w:color="auto"/>
                    <w:left w:val="none" w:sz="0" w:space="0" w:color="auto"/>
                    <w:bottom w:val="none" w:sz="0" w:space="0" w:color="auto"/>
                    <w:right w:val="none" w:sz="0" w:space="0" w:color="auto"/>
                  </w:divBdr>
                </w:div>
              </w:divsChild>
            </w:div>
            <w:div w:id="1089237441">
              <w:marLeft w:val="0"/>
              <w:marRight w:val="0"/>
              <w:marTop w:val="0"/>
              <w:marBottom w:val="0"/>
              <w:divBdr>
                <w:top w:val="none" w:sz="0" w:space="0" w:color="auto"/>
                <w:left w:val="none" w:sz="0" w:space="0" w:color="auto"/>
                <w:bottom w:val="none" w:sz="0" w:space="0" w:color="auto"/>
                <w:right w:val="none" w:sz="0" w:space="0" w:color="auto"/>
              </w:divBdr>
              <w:divsChild>
                <w:div w:id="965476577">
                  <w:marLeft w:val="0"/>
                  <w:marRight w:val="0"/>
                  <w:marTop w:val="0"/>
                  <w:marBottom w:val="0"/>
                  <w:divBdr>
                    <w:top w:val="none" w:sz="0" w:space="0" w:color="auto"/>
                    <w:left w:val="none" w:sz="0" w:space="0" w:color="auto"/>
                    <w:bottom w:val="none" w:sz="0" w:space="0" w:color="auto"/>
                    <w:right w:val="none" w:sz="0" w:space="0" w:color="auto"/>
                  </w:divBdr>
                </w:div>
              </w:divsChild>
            </w:div>
            <w:div w:id="862746135">
              <w:marLeft w:val="0"/>
              <w:marRight w:val="0"/>
              <w:marTop w:val="0"/>
              <w:marBottom w:val="0"/>
              <w:divBdr>
                <w:top w:val="none" w:sz="0" w:space="0" w:color="auto"/>
                <w:left w:val="none" w:sz="0" w:space="0" w:color="auto"/>
                <w:bottom w:val="none" w:sz="0" w:space="0" w:color="auto"/>
                <w:right w:val="none" w:sz="0" w:space="0" w:color="auto"/>
              </w:divBdr>
              <w:divsChild>
                <w:div w:id="420225952">
                  <w:marLeft w:val="0"/>
                  <w:marRight w:val="0"/>
                  <w:marTop w:val="0"/>
                  <w:marBottom w:val="0"/>
                  <w:divBdr>
                    <w:top w:val="none" w:sz="0" w:space="0" w:color="auto"/>
                    <w:left w:val="none" w:sz="0" w:space="0" w:color="auto"/>
                    <w:bottom w:val="none" w:sz="0" w:space="0" w:color="auto"/>
                    <w:right w:val="none" w:sz="0" w:space="0" w:color="auto"/>
                  </w:divBdr>
                </w:div>
              </w:divsChild>
            </w:div>
            <w:div w:id="818182726">
              <w:marLeft w:val="0"/>
              <w:marRight w:val="0"/>
              <w:marTop w:val="0"/>
              <w:marBottom w:val="0"/>
              <w:divBdr>
                <w:top w:val="none" w:sz="0" w:space="0" w:color="auto"/>
                <w:left w:val="none" w:sz="0" w:space="0" w:color="auto"/>
                <w:bottom w:val="none" w:sz="0" w:space="0" w:color="auto"/>
                <w:right w:val="none" w:sz="0" w:space="0" w:color="auto"/>
              </w:divBdr>
              <w:divsChild>
                <w:div w:id="114176892">
                  <w:marLeft w:val="0"/>
                  <w:marRight w:val="0"/>
                  <w:marTop w:val="0"/>
                  <w:marBottom w:val="0"/>
                  <w:divBdr>
                    <w:top w:val="none" w:sz="0" w:space="0" w:color="auto"/>
                    <w:left w:val="none" w:sz="0" w:space="0" w:color="auto"/>
                    <w:bottom w:val="none" w:sz="0" w:space="0" w:color="auto"/>
                    <w:right w:val="none" w:sz="0" w:space="0" w:color="auto"/>
                  </w:divBdr>
                </w:div>
              </w:divsChild>
            </w:div>
            <w:div w:id="276791225">
              <w:marLeft w:val="0"/>
              <w:marRight w:val="0"/>
              <w:marTop w:val="0"/>
              <w:marBottom w:val="0"/>
              <w:divBdr>
                <w:top w:val="none" w:sz="0" w:space="0" w:color="auto"/>
                <w:left w:val="none" w:sz="0" w:space="0" w:color="auto"/>
                <w:bottom w:val="none" w:sz="0" w:space="0" w:color="auto"/>
                <w:right w:val="none" w:sz="0" w:space="0" w:color="auto"/>
              </w:divBdr>
              <w:divsChild>
                <w:div w:id="2015183597">
                  <w:marLeft w:val="0"/>
                  <w:marRight w:val="0"/>
                  <w:marTop w:val="0"/>
                  <w:marBottom w:val="0"/>
                  <w:divBdr>
                    <w:top w:val="none" w:sz="0" w:space="0" w:color="auto"/>
                    <w:left w:val="none" w:sz="0" w:space="0" w:color="auto"/>
                    <w:bottom w:val="none" w:sz="0" w:space="0" w:color="auto"/>
                    <w:right w:val="none" w:sz="0" w:space="0" w:color="auto"/>
                  </w:divBdr>
                </w:div>
              </w:divsChild>
            </w:div>
            <w:div w:id="148795119">
              <w:marLeft w:val="0"/>
              <w:marRight w:val="0"/>
              <w:marTop w:val="0"/>
              <w:marBottom w:val="0"/>
              <w:divBdr>
                <w:top w:val="none" w:sz="0" w:space="0" w:color="auto"/>
                <w:left w:val="none" w:sz="0" w:space="0" w:color="auto"/>
                <w:bottom w:val="none" w:sz="0" w:space="0" w:color="auto"/>
                <w:right w:val="none" w:sz="0" w:space="0" w:color="auto"/>
              </w:divBdr>
              <w:divsChild>
                <w:div w:id="2083480546">
                  <w:marLeft w:val="0"/>
                  <w:marRight w:val="0"/>
                  <w:marTop w:val="0"/>
                  <w:marBottom w:val="0"/>
                  <w:divBdr>
                    <w:top w:val="none" w:sz="0" w:space="0" w:color="auto"/>
                    <w:left w:val="none" w:sz="0" w:space="0" w:color="auto"/>
                    <w:bottom w:val="none" w:sz="0" w:space="0" w:color="auto"/>
                    <w:right w:val="none" w:sz="0" w:space="0" w:color="auto"/>
                  </w:divBdr>
                </w:div>
              </w:divsChild>
            </w:div>
            <w:div w:id="893005494">
              <w:marLeft w:val="0"/>
              <w:marRight w:val="0"/>
              <w:marTop w:val="0"/>
              <w:marBottom w:val="0"/>
              <w:divBdr>
                <w:top w:val="none" w:sz="0" w:space="0" w:color="auto"/>
                <w:left w:val="none" w:sz="0" w:space="0" w:color="auto"/>
                <w:bottom w:val="none" w:sz="0" w:space="0" w:color="auto"/>
                <w:right w:val="none" w:sz="0" w:space="0" w:color="auto"/>
              </w:divBdr>
              <w:divsChild>
                <w:div w:id="1787002864">
                  <w:marLeft w:val="0"/>
                  <w:marRight w:val="0"/>
                  <w:marTop w:val="0"/>
                  <w:marBottom w:val="0"/>
                  <w:divBdr>
                    <w:top w:val="none" w:sz="0" w:space="0" w:color="auto"/>
                    <w:left w:val="none" w:sz="0" w:space="0" w:color="auto"/>
                    <w:bottom w:val="none" w:sz="0" w:space="0" w:color="auto"/>
                    <w:right w:val="none" w:sz="0" w:space="0" w:color="auto"/>
                  </w:divBdr>
                </w:div>
              </w:divsChild>
            </w:div>
            <w:div w:id="693263133">
              <w:marLeft w:val="0"/>
              <w:marRight w:val="0"/>
              <w:marTop w:val="0"/>
              <w:marBottom w:val="0"/>
              <w:divBdr>
                <w:top w:val="none" w:sz="0" w:space="0" w:color="auto"/>
                <w:left w:val="none" w:sz="0" w:space="0" w:color="auto"/>
                <w:bottom w:val="none" w:sz="0" w:space="0" w:color="auto"/>
                <w:right w:val="none" w:sz="0" w:space="0" w:color="auto"/>
              </w:divBdr>
              <w:divsChild>
                <w:div w:id="327709808">
                  <w:marLeft w:val="0"/>
                  <w:marRight w:val="0"/>
                  <w:marTop w:val="0"/>
                  <w:marBottom w:val="0"/>
                  <w:divBdr>
                    <w:top w:val="none" w:sz="0" w:space="0" w:color="auto"/>
                    <w:left w:val="none" w:sz="0" w:space="0" w:color="auto"/>
                    <w:bottom w:val="none" w:sz="0" w:space="0" w:color="auto"/>
                    <w:right w:val="none" w:sz="0" w:space="0" w:color="auto"/>
                  </w:divBdr>
                </w:div>
              </w:divsChild>
            </w:div>
            <w:div w:id="1390690757">
              <w:marLeft w:val="0"/>
              <w:marRight w:val="0"/>
              <w:marTop w:val="0"/>
              <w:marBottom w:val="0"/>
              <w:divBdr>
                <w:top w:val="none" w:sz="0" w:space="0" w:color="auto"/>
                <w:left w:val="none" w:sz="0" w:space="0" w:color="auto"/>
                <w:bottom w:val="none" w:sz="0" w:space="0" w:color="auto"/>
                <w:right w:val="none" w:sz="0" w:space="0" w:color="auto"/>
              </w:divBdr>
              <w:divsChild>
                <w:div w:id="255095695">
                  <w:marLeft w:val="0"/>
                  <w:marRight w:val="0"/>
                  <w:marTop w:val="0"/>
                  <w:marBottom w:val="0"/>
                  <w:divBdr>
                    <w:top w:val="none" w:sz="0" w:space="0" w:color="auto"/>
                    <w:left w:val="none" w:sz="0" w:space="0" w:color="auto"/>
                    <w:bottom w:val="none" w:sz="0" w:space="0" w:color="auto"/>
                    <w:right w:val="none" w:sz="0" w:space="0" w:color="auto"/>
                  </w:divBdr>
                </w:div>
              </w:divsChild>
            </w:div>
            <w:div w:id="457257768">
              <w:marLeft w:val="0"/>
              <w:marRight w:val="0"/>
              <w:marTop w:val="0"/>
              <w:marBottom w:val="0"/>
              <w:divBdr>
                <w:top w:val="none" w:sz="0" w:space="0" w:color="auto"/>
                <w:left w:val="none" w:sz="0" w:space="0" w:color="auto"/>
                <w:bottom w:val="none" w:sz="0" w:space="0" w:color="auto"/>
                <w:right w:val="none" w:sz="0" w:space="0" w:color="auto"/>
              </w:divBdr>
              <w:divsChild>
                <w:div w:id="1359813241">
                  <w:marLeft w:val="0"/>
                  <w:marRight w:val="0"/>
                  <w:marTop w:val="0"/>
                  <w:marBottom w:val="0"/>
                  <w:divBdr>
                    <w:top w:val="none" w:sz="0" w:space="0" w:color="auto"/>
                    <w:left w:val="none" w:sz="0" w:space="0" w:color="auto"/>
                    <w:bottom w:val="none" w:sz="0" w:space="0" w:color="auto"/>
                    <w:right w:val="none" w:sz="0" w:space="0" w:color="auto"/>
                  </w:divBdr>
                </w:div>
              </w:divsChild>
            </w:div>
            <w:div w:id="992830409">
              <w:marLeft w:val="0"/>
              <w:marRight w:val="0"/>
              <w:marTop w:val="0"/>
              <w:marBottom w:val="0"/>
              <w:divBdr>
                <w:top w:val="none" w:sz="0" w:space="0" w:color="auto"/>
                <w:left w:val="none" w:sz="0" w:space="0" w:color="auto"/>
                <w:bottom w:val="none" w:sz="0" w:space="0" w:color="auto"/>
                <w:right w:val="none" w:sz="0" w:space="0" w:color="auto"/>
              </w:divBdr>
              <w:divsChild>
                <w:div w:id="758410162">
                  <w:marLeft w:val="0"/>
                  <w:marRight w:val="0"/>
                  <w:marTop w:val="0"/>
                  <w:marBottom w:val="0"/>
                  <w:divBdr>
                    <w:top w:val="none" w:sz="0" w:space="0" w:color="auto"/>
                    <w:left w:val="none" w:sz="0" w:space="0" w:color="auto"/>
                    <w:bottom w:val="none" w:sz="0" w:space="0" w:color="auto"/>
                    <w:right w:val="none" w:sz="0" w:space="0" w:color="auto"/>
                  </w:divBdr>
                </w:div>
              </w:divsChild>
            </w:div>
            <w:div w:id="151602738">
              <w:marLeft w:val="0"/>
              <w:marRight w:val="0"/>
              <w:marTop w:val="0"/>
              <w:marBottom w:val="0"/>
              <w:divBdr>
                <w:top w:val="none" w:sz="0" w:space="0" w:color="auto"/>
                <w:left w:val="none" w:sz="0" w:space="0" w:color="auto"/>
                <w:bottom w:val="none" w:sz="0" w:space="0" w:color="auto"/>
                <w:right w:val="none" w:sz="0" w:space="0" w:color="auto"/>
              </w:divBdr>
              <w:divsChild>
                <w:div w:id="818232735">
                  <w:marLeft w:val="0"/>
                  <w:marRight w:val="0"/>
                  <w:marTop w:val="0"/>
                  <w:marBottom w:val="0"/>
                  <w:divBdr>
                    <w:top w:val="none" w:sz="0" w:space="0" w:color="auto"/>
                    <w:left w:val="none" w:sz="0" w:space="0" w:color="auto"/>
                    <w:bottom w:val="none" w:sz="0" w:space="0" w:color="auto"/>
                    <w:right w:val="none" w:sz="0" w:space="0" w:color="auto"/>
                  </w:divBdr>
                </w:div>
              </w:divsChild>
            </w:div>
            <w:div w:id="521214421">
              <w:marLeft w:val="0"/>
              <w:marRight w:val="0"/>
              <w:marTop w:val="0"/>
              <w:marBottom w:val="0"/>
              <w:divBdr>
                <w:top w:val="none" w:sz="0" w:space="0" w:color="auto"/>
                <w:left w:val="none" w:sz="0" w:space="0" w:color="auto"/>
                <w:bottom w:val="none" w:sz="0" w:space="0" w:color="auto"/>
                <w:right w:val="none" w:sz="0" w:space="0" w:color="auto"/>
              </w:divBdr>
              <w:divsChild>
                <w:div w:id="345526689">
                  <w:marLeft w:val="0"/>
                  <w:marRight w:val="0"/>
                  <w:marTop w:val="0"/>
                  <w:marBottom w:val="0"/>
                  <w:divBdr>
                    <w:top w:val="none" w:sz="0" w:space="0" w:color="auto"/>
                    <w:left w:val="none" w:sz="0" w:space="0" w:color="auto"/>
                    <w:bottom w:val="none" w:sz="0" w:space="0" w:color="auto"/>
                    <w:right w:val="none" w:sz="0" w:space="0" w:color="auto"/>
                  </w:divBdr>
                </w:div>
              </w:divsChild>
            </w:div>
            <w:div w:id="990407146">
              <w:marLeft w:val="0"/>
              <w:marRight w:val="0"/>
              <w:marTop w:val="0"/>
              <w:marBottom w:val="0"/>
              <w:divBdr>
                <w:top w:val="none" w:sz="0" w:space="0" w:color="auto"/>
                <w:left w:val="none" w:sz="0" w:space="0" w:color="auto"/>
                <w:bottom w:val="none" w:sz="0" w:space="0" w:color="auto"/>
                <w:right w:val="none" w:sz="0" w:space="0" w:color="auto"/>
              </w:divBdr>
              <w:divsChild>
                <w:div w:id="64227607">
                  <w:marLeft w:val="0"/>
                  <w:marRight w:val="0"/>
                  <w:marTop w:val="0"/>
                  <w:marBottom w:val="0"/>
                  <w:divBdr>
                    <w:top w:val="none" w:sz="0" w:space="0" w:color="auto"/>
                    <w:left w:val="none" w:sz="0" w:space="0" w:color="auto"/>
                    <w:bottom w:val="none" w:sz="0" w:space="0" w:color="auto"/>
                    <w:right w:val="none" w:sz="0" w:space="0" w:color="auto"/>
                  </w:divBdr>
                </w:div>
              </w:divsChild>
            </w:div>
            <w:div w:id="1325477818">
              <w:marLeft w:val="0"/>
              <w:marRight w:val="0"/>
              <w:marTop w:val="0"/>
              <w:marBottom w:val="0"/>
              <w:divBdr>
                <w:top w:val="none" w:sz="0" w:space="0" w:color="auto"/>
                <w:left w:val="none" w:sz="0" w:space="0" w:color="auto"/>
                <w:bottom w:val="none" w:sz="0" w:space="0" w:color="auto"/>
                <w:right w:val="none" w:sz="0" w:space="0" w:color="auto"/>
              </w:divBdr>
              <w:divsChild>
                <w:div w:id="1888300567">
                  <w:marLeft w:val="0"/>
                  <w:marRight w:val="0"/>
                  <w:marTop w:val="0"/>
                  <w:marBottom w:val="0"/>
                  <w:divBdr>
                    <w:top w:val="none" w:sz="0" w:space="0" w:color="auto"/>
                    <w:left w:val="none" w:sz="0" w:space="0" w:color="auto"/>
                    <w:bottom w:val="none" w:sz="0" w:space="0" w:color="auto"/>
                    <w:right w:val="none" w:sz="0" w:space="0" w:color="auto"/>
                  </w:divBdr>
                </w:div>
              </w:divsChild>
            </w:div>
            <w:div w:id="444007901">
              <w:marLeft w:val="0"/>
              <w:marRight w:val="0"/>
              <w:marTop w:val="0"/>
              <w:marBottom w:val="0"/>
              <w:divBdr>
                <w:top w:val="none" w:sz="0" w:space="0" w:color="auto"/>
                <w:left w:val="none" w:sz="0" w:space="0" w:color="auto"/>
                <w:bottom w:val="none" w:sz="0" w:space="0" w:color="auto"/>
                <w:right w:val="none" w:sz="0" w:space="0" w:color="auto"/>
              </w:divBdr>
              <w:divsChild>
                <w:div w:id="44644967">
                  <w:marLeft w:val="0"/>
                  <w:marRight w:val="0"/>
                  <w:marTop w:val="0"/>
                  <w:marBottom w:val="0"/>
                  <w:divBdr>
                    <w:top w:val="none" w:sz="0" w:space="0" w:color="auto"/>
                    <w:left w:val="none" w:sz="0" w:space="0" w:color="auto"/>
                    <w:bottom w:val="none" w:sz="0" w:space="0" w:color="auto"/>
                    <w:right w:val="none" w:sz="0" w:space="0" w:color="auto"/>
                  </w:divBdr>
                </w:div>
              </w:divsChild>
            </w:div>
            <w:div w:id="891697761">
              <w:marLeft w:val="0"/>
              <w:marRight w:val="0"/>
              <w:marTop w:val="0"/>
              <w:marBottom w:val="0"/>
              <w:divBdr>
                <w:top w:val="none" w:sz="0" w:space="0" w:color="auto"/>
                <w:left w:val="none" w:sz="0" w:space="0" w:color="auto"/>
                <w:bottom w:val="none" w:sz="0" w:space="0" w:color="auto"/>
                <w:right w:val="none" w:sz="0" w:space="0" w:color="auto"/>
              </w:divBdr>
              <w:divsChild>
                <w:div w:id="1862283579">
                  <w:marLeft w:val="0"/>
                  <w:marRight w:val="0"/>
                  <w:marTop w:val="0"/>
                  <w:marBottom w:val="0"/>
                  <w:divBdr>
                    <w:top w:val="none" w:sz="0" w:space="0" w:color="auto"/>
                    <w:left w:val="none" w:sz="0" w:space="0" w:color="auto"/>
                    <w:bottom w:val="none" w:sz="0" w:space="0" w:color="auto"/>
                    <w:right w:val="none" w:sz="0" w:space="0" w:color="auto"/>
                  </w:divBdr>
                </w:div>
              </w:divsChild>
            </w:div>
            <w:div w:id="787941336">
              <w:marLeft w:val="0"/>
              <w:marRight w:val="0"/>
              <w:marTop w:val="0"/>
              <w:marBottom w:val="0"/>
              <w:divBdr>
                <w:top w:val="none" w:sz="0" w:space="0" w:color="auto"/>
                <w:left w:val="none" w:sz="0" w:space="0" w:color="auto"/>
                <w:bottom w:val="none" w:sz="0" w:space="0" w:color="auto"/>
                <w:right w:val="none" w:sz="0" w:space="0" w:color="auto"/>
              </w:divBdr>
              <w:divsChild>
                <w:div w:id="809979897">
                  <w:marLeft w:val="0"/>
                  <w:marRight w:val="0"/>
                  <w:marTop w:val="0"/>
                  <w:marBottom w:val="0"/>
                  <w:divBdr>
                    <w:top w:val="none" w:sz="0" w:space="0" w:color="auto"/>
                    <w:left w:val="none" w:sz="0" w:space="0" w:color="auto"/>
                    <w:bottom w:val="none" w:sz="0" w:space="0" w:color="auto"/>
                    <w:right w:val="none" w:sz="0" w:space="0" w:color="auto"/>
                  </w:divBdr>
                </w:div>
              </w:divsChild>
            </w:div>
            <w:div w:id="1363097053">
              <w:marLeft w:val="0"/>
              <w:marRight w:val="0"/>
              <w:marTop w:val="0"/>
              <w:marBottom w:val="0"/>
              <w:divBdr>
                <w:top w:val="none" w:sz="0" w:space="0" w:color="auto"/>
                <w:left w:val="none" w:sz="0" w:space="0" w:color="auto"/>
                <w:bottom w:val="none" w:sz="0" w:space="0" w:color="auto"/>
                <w:right w:val="none" w:sz="0" w:space="0" w:color="auto"/>
              </w:divBdr>
              <w:divsChild>
                <w:div w:id="1867525509">
                  <w:marLeft w:val="0"/>
                  <w:marRight w:val="0"/>
                  <w:marTop w:val="0"/>
                  <w:marBottom w:val="0"/>
                  <w:divBdr>
                    <w:top w:val="none" w:sz="0" w:space="0" w:color="auto"/>
                    <w:left w:val="none" w:sz="0" w:space="0" w:color="auto"/>
                    <w:bottom w:val="none" w:sz="0" w:space="0" w:color="auto"/>
                    <w:right w:val="none" w:sz="0" w:space="0" w:color="auto"/>
                  </w:divBdr>
                </w:div>
              </w:divsChild>
            </w:div>
            <w:div w:id="1605767887">
              <w:marLeft w:val="0"/>
              <w:marRight w:val="0"/>
              <w:marTop w:val="0"/>
              <w:marBottom w:val="0"/>
              <w:divBdr>
                <w:top w:val="none" w:sz="0" w:space="0" w:color="auto"/>
                <w:left w:val="none" w:sz="0" w:space="0" w:color="auto"/>
                <w:bottom w:val="none" w:sz="0" w:space="0" w:color="auto"/>
                <w:right w:val="none" w:sz="0" w:space="0" w:color="auto"/>
              </w:divBdr>
              <w:divsChild>
                <w:div w:id="1994017883">
                  <w:marLeft w:val="0"/>
                  <w:marRight w:val="0"/>
                  <w:marTop w:val="0"/>
                  <w:marBottom w:val="0"/>
                  <w:divBdr>
                    <w:top w:val="none" w:sz="0" w:space="0" w:color="auto"/>
                    <w:left w:val="none" w:sz="0" w:space="0" w:color="auto"/>
                    <w:bottom w:val="none" w:sz="0" w:space="0" w:color="auto"/>
                    <w:right w:val="none" w:sz="0" w:space="0" w:color="auto"/>
                  </w:divBdr>
                </w:div>
              </w:divsChild>
            </w:div>
            <w:div w:id="313409399">
              <w:marLeft w:val="0"/>
              <w:marRight w:val="0"/>
              <w:marTop w:val="0"/>
              <w:marBottom w:val="0"/>
              <w:divBdr>
                <w:top w:val="none" w:sz="0" w:space="0" w:color="auto"/>
                <w:left w:val="none" w:sz="0" w:space="0" w:color="auto"/>
                <w:bottom w:val="none" w:sz="0" w:space="0" w:color="auto"/>
                <w:right w:val="none" w:sz="0" w:space="0" w:color="auto"/>
              </w:divBdr>
              <w:divsChild>
                <w:div w:id="668405731">
                  <w:marLeft w:val="0"/>
                  <w:marRight w:val="0"/>
                  <w:marTop w:val="0"/>
                  <w:marBottom w:val="0"/>
                  <w:divBdr>
                    <w:top w:val="none" w:sz="0" w:space="0" w:color="auto"/>
                    <w:left w:val="none" w:sz="0" w:space="0" w:color="auto"/>
                    <w:bottom w:val="none" w:sz="0" w:space="0" w:color="auto"/>
                    <w:right w:val="none" w:sz="0" w:space="0" w:color="auto"/>
                  </w:divBdr>
                </w:div>
              </w:divsChild>
            </w:div>
            <w:div w:id="1230532964">
              <w:marLeft w:val="0"/>
              <w:marRight w:val="0"/>
              <w:marTop w:val="0"/>
              <w:marBottom w:val="0"/>
              <w:divBdr>
                <w:top w:val="none" w:sz="0" w:space="0" w:color="auto"/>
                <w:left w:val="none" w:sz="0" w:space="0" w:color="auto"/>
                <w:bottom w:val="none" w:sz="0" w:space="0" w:color="auto"/>
                <w:right w:val="none" w:sz="0" w:space="0" w:color="auto"/>
              </w:divBdr>
              <w:divsChild>
                <w:div w:id="1266572426">
                  <w:marLeft w:val="0"/>
                  <w:marRight w:val="0"/>
                  <w:marTop w:val="0"/>
                  <w:marBottom w:val="0"/>
                  <w:divBdr>
                    <w:top w:val="none" w:sz="0" w:space="0" w:color="auto"/>
                    <w:left w:val="none" w:sz="0" w:space="0" w:color="auto"/>
                    <w:bottom w:val="none" w:sz="0" w:space="0" w:color="auto"/>
                    <w:right w:val="none" w:sz="0" w:space="0" w:color="auto"/>
                  </w:divBdr>
                </w:div>
              </w:divsChild>
            </w:div>
            <w:div w:id="1637369282">
              <w:marLeft w:val="0"/>
              <w:marRight w:val="0"/>
              <w:marTop w:val="0"/>
              <w:marBottom w:val="0"/>
              <w:divBdr>
                <w:top w:val="none" w:sz="0" w:space="0" w:color="auto"/>
                <w:left w:val="none" w:sz="0" w:space="0" w:color="auto"/>
                <w:bottom w:val="none" w:sz="0" w:space="0" w:color="auto"/>
                <w:right w:val="none" w:sz="0" w:space="0" w:color="auto"/>
              </w:divBdr>
              <w:divsChild>
                <w:div w:id="1092704925">
                  <w:marLeft w:val="0"/>
                  <w:marRight w:val="0"/>
                  <w:marTop w:val="0"/>
                  <w:marBottom w:val="0"/>
                  <w:divBdr>
                    <w:top w:val="none" w:sz="0" w:space="0" w:color="auto"/>
                    <w:left w:val="none" w:sz="0" w:space="0" w:color="auto"/>
                    <w:bottom w:val="none" w:sz="0" w:space="0" w:color="auto"/>
                    <w:right w:val="none" w:sz="0" w:space="0" w:color="auto"/>
                  </w:divBdr>
                </w:div>
              </w:divsChild>
            </w:div>
            <w:div w:id="3868751">
              <w:marLeft w:val="0"/>
              <w:marRight w:val="0"/>
              <w:marTop w:val="0"/>
              <w:marBottom w:val="0"/>
              <w:divBdr>
                <w:top w:val="none" w:sz="0" w:space="0" w:color="auto"/>
                <w:left w:val="none" w:sz="0" w:space="0" w:color="auto"/>
                <w:bottom w:val="none" w:sz="0" w:space="0" w:color="auto"/>
                <w:right w:val="none" w:sz="0" w:space="0" w:color="auto"/>
              </w:divBdr>
              <w:divsChild>
                <w:div w:id="897403098">
                  <w:marLeft w:val="0"/>
                  <w:marRight w:val="0"/>
                  <w:marTop w:val="0"/>
                  <w:marBottom w:val="0"/>
                  <w:divBdr>
                    <w:top w:val="none" w:sz="0" w:space="0" w:color="auto"/>
                    <w:left w:val="none" w:sz="0" w:space="0" w:color="auto"/>
                    <w:bottom w:val="none" w:sz="0" w:space="0" w:color="auto"/>
                    <w:right w:val="none" w:sz="0" w:space="0" w:color="auto"/>
                  </w:divBdr>
                </w:div>
              </w:divsChild>
            </w:div>
            <w:div w:id="396321674">
              <w:marLeft w:val="0"/>
              <w:marRight w:val="0"/>
              <w:marTop w:val="0"/>
              <w:marBottom w:val="0"/>
              <w:divBdr>
                <w:top w:val="none" w:sz="0" w:space="0" w:color="auto"/>
                <w:left w:val="none" w:sz="0" w:space="0" w:color="auto"/>
                <w:bottom w:val="none" w:sz="0" w:space="0" w:color="auto"/>
                <w:right w:val="none" w:sz="0" w:space="0" w:color="auto"/>
              </w:divBdr>
              <w:divsChild>
                <w:div w:id="1520854134">
                  <w:marLeft w:val="0"/>
                  <w:marRight w:val="0"/>
                  <w:marTop w:val="0"/>
                  <w:marBottom w:val="0"/>
                  <w:divBdr>
                    <w:top w:val="none" w:sz="0" w:space="0" w:color="auto"/>
                    <w:left w:val="none" w:sz="0" w:space="0" w:color="auto"/>
                    <w:bottom w:val="none" w:sz="0" w:space="0" w:color="auto"/>
                    <w:right w:val="none" w:sz="0" w:space="0" w:color="auto"/>
                  </w:divBdr>
                </w:div>
              </w:divsChild>
            </w:div>
            <w:div w:id="177548443">
              <w:marLeft w:val="0"/>
              <w:marRight w:val="0"/>
              <w:marTop w:val="0"/>
              <w:marBottom w:val="0"/>
              <w:divBdr>
                <w:top w:val="none" w:sz="0" w:space="0" w:color="auto"/>
                <w:left w:val="none" w:sz="0" w:space="0" w:color="auto"/>
                <w:bottom w:val="none" w:sz="0" w:space="0" w:color="auto"/>
                <w:right w:val="none" w:sz="0" w:space="0" w:color="auto"/>
              </w:divBdr>
              <w:divsChild>
                <w:div w:id="1485315871">
                  <w:marLeft w:val="0"/>
                  <w:marRight w:val="0"/>
                  <w:marTop w:val="0"/>
                  <w:marBottom w:val="0"/>
                  <w:divBdr>
                    <w:top w:val="none" w:sz="0" w:space="0" w:color="auto"/>
                    <w:left w:val="none" w:sz="0" w:space="0" w:color="auto"/>
                    <w:bottom w:val="none" w:sz="0" w:space="0" w:color="auto"/>
                    <w:right w:val="none" w:sz="0" w:space="0" w:color="auto"/>
                  </w:divBdr>
                </w:div>
              </w:divsChild>
            </w:div>
            <w:div w:id="2087607863">
              <w:marLeft w:val="0"/>
              <w:marRight w:val="0"/>
              <w:marTop w:val="0"/>
              <w:marBottom w:val="0"/>
              <w:divBdr>
                <w:top w:val="none" w:sz="0" w:space="0" w:color="auto"/>
                <w:left w:val="none" w:sz="0" w:space="0" w:color="auto"/>
                <w:bottom w:val="none" w:sz="0" w:space="0" w:color="auto"/>
                <w:right w:val="none" w:sz="0" w:space="0" w:color="auto"/>
              </w:divBdr>
              <w:divsChild>
                <w:div w:id="1156847517">
                  <w:marLeft w:val="0"/>
                  <w:marRight w:val="0"/>
                  <w:marTop w:val="0"/>
                  <w:marBottom w:val="0"/>
                  <w:divBdr>
                    <w:top w:val="none" w:sz="0" w:space="0" w:color="auto"/>
                    <w:left w:val="none" w:sz="0" w:space="0" w:color="auto"/>
                    <w:bottom w:val="none" w:sz="0" w:space="0" w:color="auto"/>
                    <w:right w:val="none" w:sz="0" w:space="0" w:color="auto"/>
                  </w:divBdr>
                </w:div>
              </w:divsChild>
            </w:div>
            <w:div w:id="1741556212">
              <w:marLeft w:val="0"/>
              <w:marRight w:val="0"/>
              <w:marTop w:val="0"/>
              <w:marBottom w:val="0"/>
              <w:divBdr>
                <w:top w:val="none" w:sz="0" w:space="0" w:color="auto"/>
                <w:left w:val="none" w:sz="0" w:space="0" w:color="auto"/>
                <w:bottom w:val="none" w:sz="0" w:space="0" w:color="auto"/>
                <w:right w:val="none" w:sz="0" w:space="0" w:color="auto"/>
              </w:divBdr>
              <w:divsChild>
                <w:div w:id="1996957488">
                  <w:marLeft w:val="0"/>
                  <w:marRight w:val="0"/>
                  <w:marTop w:val="0"/>
                  <w:marBottom w:val="0"/>
                  <w:divBdr>
                    <w:top w:val="none" w:sz="0" w:space="0" w:color="auto"/>
                    <w:left w:val="none" w:sz="0" w:space="0" w:color="auto"/>
                    <w:bottom w:val="none" w:sz="0" w:space="0" w:color="auto"/>
                    <w:right w:val="none" w:sz="0" w:space="0" w:color="auto"/>
                  </w:divBdr>
                </w:div>
              </w:divsChild>
            </w:div>
            <w:div w:id="2112124496">
              <w:marLeft w:val="0"/>
              <w:marRight w:val="0"/>
              <w:marTop w:val="0"/>
              <w:marBottom w:val="0"/>
              <w:divBdr>
                <w:top w:val="none" w:sz="0" w:space="0" w:color="auto"/>
                <w:left w:val="none" w:sz="0" w:space="0" w:color="auto"/>
                <w:bottom w:val="none" w:sz="0" w:space="0" w:color="auto"/>
                <w:right w:val="none" w:sz="0" w:space="0" w:color="auto"/>
              </w:divBdr>
              <w:divsChild>
                <w:div w:id="1772435149">
                  <w:marLeft w:val="0"/>
                  <w:marRight w:val="0"/>
                  <w:marTop w:val="0"/>
                  <w:marBottom w:val="0"/>
                  <w:divBdr>
                    <w:top w:val="none" w:sz="0" w:space="0" w:color="auto"/>
                    <w:left w:val="none" w:sz="0" w:space="0" w:color="auto"/>
                    <w:bottom w:val="none" w:sz="0" w:space="0" w:color="auto"/>
                    <w:right w:val="none" w:sz="0" w:space="0" w:color="auto"/>
                  </w:divBdr>
                </w:div>
              </w:divsChild>
            </w:div>
            <w:div w:id="448090980">
              <w:marLeft w:val="0"/>
              <w:marRight w:val="0"/>
              <w:marTop w:val="0"/>
              <w:marBottom w:val="0"/>
              <w:divBdr>
                <w:top w:val="none" w:sz="0" w:space="0" w:color="auto"/>
                <w:left w:val="none" w:sz="0" w:space="0" w:color="auto"/>
                <w:bottom w:val="none" w:sz="0" w:space="0" w:color="auto"/>
                <w:right w:val="none" w:sz="0" w:space="0" w:color="auto"/>
              </w:divBdr>
              <w:divsChild>
                <w:div w:id="90130000">
                  <w:marLeft w:val="0"/>
                  <w:marRight w:val="0"/>
                  <w:marTop w:val="0"/>
                  <w:marBottom w:val="0"/>
                  <w:divBdr>
                    <w:top w:val="none" w:sz="0" w:space="0" w:color="auto"/>
                    <w:left w:val="none" w:sz="0" w:space="0" w:color="auto"/>
                    <w:bottom w:val="none" w:sz="0" w:space="0" w:color="auto"/>
                    <w:right w:val="none" w:sz="0" w:space="0" w:color="auto"/>
                  </w:divBdr>
                </w:div>
              </w:divsChild>
            </w:div>
            <w:div w:id="2090148089">
              <w:marLeft w:val="0"/>
              <w:marRight w:val="0"/>
              <w:marTop w:val="0"/>
              <w:marBottom w:val="0"/>
              <w:divBdr>
                <w:top w:val="none" w:sz="0" w:space="0" w:color="auto"/>
                <w:left w:val="none" w:sz="0" w:space="0" w:color="auto"/>
                <w:bottom w:val="none" w:sz="0" w:space="0" w:color="auto"/>
                <w:right w:val="none" w:sz="0" w:space="0" w:color="auto"/>
              </w:divBdr>
              <w:divsChild>
                <w:div w:id="1403336311">
                  <w:marLeft w:val="0"/>
                  <w:marRight w:val="0"/>
                  <w:marTop w:val="0"/>
                  <w:marBottom w:val="0"/>
                  <w:divBdr>
                    <w:top w:val="none" w:sz="0" w:space="0" w:color="auto"/>
                    <w:left w:val="none" w:sz="0" w:space="0" w:color="auto"/>
                    <w:bottom w:val="none" w:sz="0" w:space="0" w:color="auto"/>
                    <w:right w:val="none" w:sz="0" w:space="0" w:color="auto"/>
                  </w:divBdr>
                </w:div>
              </w:divsChild>
            </w:div>
            <w:div w:id="543715817">
              <w:marLeft w:val="0"/>
              <w:marRight w:val="0"/>
              <w:marTop w:val="0"/>
              <w:marBottom w:val="0"/>
              <w:divBdr>
                <w:top w:val="none" w:sz="0" w:space="0" w:color="auto"/>
                <w:left w:val="none" w:sz="0" w:space="0" w:color="auto"/>
                <w:bottom w:val="none" w:sz="0" w:space="0" w:color="auto"/>
                <w:right w:val="none" w:sz="0" w:space="0" w:color="auto"/>
              </w:divBdr>
              <w:divsChild>
                <w:div w:id="207450908">
                  <w:marLeft w:val="0"/>
                  <w:marRight w:val="0"/>
                  <w:marTop w:val="0"/>
                  <w:marBottom w:val="0"/>
                  <w:divBdr>
                    <w:top w:val="none" w:sz="0" w:space="0" w:color="auto"/>
                    <w:left w:val="none" w:sz="0" w:space="0" w:color="auto"/>
                    <w:bottom w:val="none" w:sz="0" w:space="0" w:color="auto"/>
                    <w:right w:val="none" w:sz="0" w:space="0" w:color="auto"/>
                  </w:divBdr>
                </w:div>
              </w:divsChild>
            </w:div>
            <w:div w:id="1982533590">
              <w:marLeft w:val="0"/>
              <w:marRight w:val="0"/>
              <w:marTop w:val="0"/>
              <w:marBottom w:val="0"/>
              <w:divBdr>
                <w:top w:val="none" w:sz="0" w:space="0" w:color="auto"/>
                <w:left w:val="none" w:sz="0" w:space="0" w:color="auto"/>
                <w:bottom w:val="none" w:sz="0" w:space="0" w:color="auto"/>
                <w:right w:val="none" w:sz="0" w:space="0" w:color="auto"/>
              </w:divBdr>
              <w:divsChild>
                <w:div w:id="793407245">
                  <w:marLeft w:val="0"/>
                  <w:marRight w:val="0"/>
                  <w:marTop w:val="0"/>
                  <w:marBottom w:val="0"/>
                  <w:divBdr>
                    <w:top w:val="none" w:sz="0" w:space="0" w:color="auto"/>
                    <w:left w:val="none" w:sz="0" w:space="0" w:color="auto"/>
                    <w:bottom w:val="none" w:sz="0" w:space="0" w:color="auto"/>
                    <w:right w:val="none" w:sz="0" w:space="0" w:color="auto"/>
                  </w:divBdr>
                </w:div>
              </w:divsChild>
            </w:div>
            <w:div w:id="1379471136">
              <w:marLeft w:val="0"/>
              <w:marRight w:val="0"/>
              <w:marTop w:val="0"/>
              <w:marBottom w:val="0"/>
              <w:divBdr>
                <w:top w:val="none" w:sz="0" w:space="0" w:color="auto"/>
                <w:left w:val="none" w:sz="0" w:space="0" w:color="auto"/>
                <w:bottom w:val="none" w:sz="0" w:space="0" w:color="auto"/>
                <w:right w:val="none" w:sz="0" w:space="0" w:color="auto"/>
              </w:divBdr>
              <w:divsChild>
                <w:div w:id="76557250">
                  <w:marLeft w:val="0"/>
                  <w:marRight w:val="0"/>
                  <w:marTop w:val="0"/>
                  <w:marBottom w:val="0"/>
                  <w:divBdr>
                    <w:top w:val="none" w:sz="0" w:space="0" w:color="auto"/>
                    <w:left w:val="none" w:sz="0" w:space="0" w:color="auto"/>
                    <w:bottom w:val="none" w:sz="0" w:space="0" w:color="auto"/>
                    <w:right w:val="none" w:sz="0" w:space="0" w:color="auto"/>
                  </w:divBdr>
                </w:div>
              </w:divsChild>
            </w:div>
            <w:div w:id="1690764301">
              <w:marLeft w:val="0"/>
              <w:marRight w:val="0"/>
              <w:marTop w:val="0"/>
              <w:marBottom w:val="0"/>
              <w:divBdr>
                <w:top w:val="none" w:sz="0" w:space="0" w:color="auto"/>
                <w:left w:val="none" w:sz="0" w:space="0" w:color="auto"/>
                <w:bottom w:val="none" w:sz="0" w:space="0" w:color="auto"/>
                <w:right w:val="none" w:sz="0" w:space="0" w:color="auto"/>
              </w:divBdr>
              <w:divsChild>
                <w:div w:id="1150829585">
                  <w:marLeft w:val="0"/>
                  <w:marRight w:val="0"/>
                  <w:marTop w:val="0"/>
                  <w:marBottom w:val="0"/>
                  <w:divBdr>
                    <w:top w:val="none" w:sz="0" w:space="0" w:color="auto"/>
                    <w:left w:val="none" w:sz="0" w:space="0" w:color="auto"/>
                    <w:bottom w:val="none" w:sz="0" w:space="0" w:color="auto"/>
                    <w:right w:val="none" w:sz="0" w:space="0" w:color="auto"/>
                  </w:divBdr>
                </w:div>
              </w:divsChild>
            </w:div>
            <w:div w:id="615253132">
              <w:marLeft w:val="0"/>
              <w:marRight w:val="0"/>
              <w:marTop w:val="0"/>
              <w:marBottom w:val="0"/>
              <w:divBdr>
                <w:top w:val="none" w:sz="0" w:space="0" w:color="auto"/>
                <w:left w:val="none" w:sz="0" w:space="0" w:color="auto"/>
                <w:bottom w:val="none" w:sz="0" w:space="0" w:color="auto"/>
                <w:right w:val="none" w:sz="0" w:space="0" w:color="auto"/>
              </w:divBdr>
              <w:divsChild>
                <w:div w:id="205052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648411">
          <w:marLeft w:val="0"/>
          <w:marRight w:val="0"/>
          <w:marTop w:val="0"/>
          <w:marBottom w:val="0"/>
          <w:divBdr>
            <w:top w:val="none" w:sz="0" w:space="0" w:color="auto"/>
            <w:left w:val="none" w:sz="0" w:space="0" w:color="auto"/>
            <w:bottom w:val="none" w:sz="0" w:space="0" w:color="auto"/>
            <w:right w:val="none" w:sz="0" w:space="0" w:color="auto"/>
          </w:divBdr>
        </w:div>
      </w:divsChild>
    </w:div>
    <w:div w:id="255290142">
      <w:bodyDiv w:val="1"/>
      <w:marLeft w:val="0"/>
      <w:marRight w:val="0"/>
      <w:marTop w:val="0"/>
      <w:marBottom w:val="0"/>
      <w:divBdr>
        <w:top w:val="none" w:sz="0" w:space="0" w:color="auto"/>
        <w:left w:val="none" w:sz="0" w:space="0" w:color="auto"/>
        <w:bottom w:val="none" w:sz="0" w:space="0" w:color="auto"/>
        <w:right w:val="none" w:sz="0" w:space="0" w:color="auto"/>
      </w:divBdr>
      <w:divsChild>
        <w:div w:id="1811168289">
          <w:marLeft w:val="0"/>
          <w:marRight w:val="0"/>
          <w:marTop w:val="0"/>
          <w:marBottom w:val="0"/>
          <w:divBdr>
            <w:top w:val="none" w:sz="0" w:space="0" w:color="auto"/>
            <w:left w:val="none" w:sz="0" w:space="0" w:color="auto"/>
            <w:bottom w:val="none" w:sz="0" w:space="0" w:color="auto"/>
            <w:right w:val="none" w:sz="0" w:space="0" w:color="auto"/>
          </w:divBdr>
        </w:div>
        <w:div w:id="1857619845">
          <w:marLeft w:val="0"/>
          <w:marRight w:val="0"/>
          <w:marTop w:val="0"/>
          <w:marBottom w:val="0"/>
          <w:divBdr>
            <w:top w:val="none" w:sz="0" w:space="0" w:color="auto"/>
            <w:left w:val="none" w:sz="0" w:space="0" w:color="auto"/>
            <w:bottom w:val="none" w:sz="0" w:space="0" w:color="auto"/>
            <w:right w:val="none" w:sz="0" w:space="0" w:color="auto"/>
          </w:divBdr>
          <w:divsChild>
            <w:div w:id="279385320">
              <w:marLeft w:val="0"/>
              <w:marRight w:val="0"/>
              <w:marTop w:val="0"/>
              <w:marBottom w:val="0"/>
              <w:divBdr>
                <w:top w:val="none" w:sz="0" w:space="0" w:color="auto"/>
                <w:left w:val="none" w:sz="0" w:space="0" w:color="auto"/>
                <w:bottom w:val="none" w:sz="0" w:space="0" w:color="auto"/>
                <w:right w:val="none" w:sz="0" w:space="0" w:color="auto"/>
              </w:divBdr>
              <w:divsChild>
                <w:div w:id="1117483727">
                  <w:marLeft w:val="0"/>
                  <w:marRight w:val="0"/>
                  <w:marTop w:val="0"/>
                  <w:marBottom w:val="0"/>
                  <w:divBdr>
                    <w:top w:val="none" w:sz="0" w:space="0" w:color="auto"/>
                    <w:left w:val="none" w:sz="0" w:space="0" w:color="auto"/>
                    <w:bottom w:val="none" w:sz="0" w:space="0" w:color="auto"/>
                    <w:right w:val="none" w:sz="0" w:space="0" w:color="auto"/>
                  </w:divBdr>
                </w:div>
              </w:divsChild>
            </w:div>
            <w:div w:id="560403577">
              <w:marLeft w:val="0"/>
              <w:marRight w:val="0"/>
              <w:marTop w:val="0"/>
              <w:marBottom w:val="0"/>
              <w:divBdr>
                <w:top w:val="none" w:sz="0" w:space="0" w:color="auto"/>
                <w:left w:val="none" w:sz="0" w:space="0" w:color="auto"/>
                <w:bottom w:val="none" w:sz="0" w:space="0" w:color="auto"/>
                <w:right w:val="none" w:sz="0" w:space="0" w:color="auto"/>
              </w:divBdr>
              <w:divsChild>
                <w:div w:id="43124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945520">
      <w:bodyDiv w:val="1"/>
      <w:marLeft w:val="0"/>
      <w:marRight w:val="0"/>
      <w:marTop w:val="0"/>
      <w:marBottom w:val="0"/>
      <w:divBdr>
        <w:top w:val="none" w:sz="0" w:space="0" w:color="auto"/>
        <w:left w:val="none" w:sz="0" w:space="0" w:color="auto"/>
        <w:bottom w:val="none" w:sz="0" w:space="0" w:color="auto"/>
        <w:right w:val="none" w:sz="0" w:space="0" w:color="auto"/>
      </w:divBdr>
      <w:divsChild>
        <w:div w:id="1138691146">
          <w:marLeft w:val="0"/>
          <w:marRight w:val="0"/>
          <w:marTop w:val="0"/>
          <w:marBottom w:val="0"/>
          <w:divBdr>
            <w:top w:val="none" w:sz="0" w:space="0" w:color="auto"/>
            <w:left w:val="none" w:sz="0" w:space="0" w:color="auto"/>
            <w:bottom w:val="none" w:sz="0" w:space="0" w:color="auto"/>
            <w:right w:val="none" w:sz="0" w:space="0" w:color="auto"/>
          </w:divBdr>
        </w:div>
        <w:div w:id="1989050165">
          <w:marLeft w:val="0"/>
          <w:marRight w:val="0"/>
          <w:marTop w:val="0"/>
          <w:marBottom w:val="0"/>
          <w:divBdr>
            <w:top w:val="none" w:sz="0" w:space="0" w:color="auto"/>
            <w:left w:val="none" w:sz="0" w:space="0" w:color="auto"/>
            <w:bottom w:val="none" w:sz="0" w:space="0" w:color="auto"/>
            <w:right w:val="none" w:sz="0" w:space="0" w:color="auto"/>
          </w:divBdr>
        </w:div>
        <w:div w:id="1279262939">
          <w:marLeft w:val="0"/>
          <w:marRight w:val="0"/>
          <w:marTop w:val="0"/>
          <w:marBottom w:val="0"/>
          <w:divBdr>
            <w:top w:val="none" w:sz="0" w:space="0" w:color="auto"/>
            <w:left w:val="none" w:sz="0" w:space="0" w:color="auto"/>
            <w:bottom w:val="none" w:sz="0" w:space="0" w:color="auto"/>
            <w:right w:val="none" w:sz="0" w:space="0" w:color="auto"/>
          </w:divBdr>
        </w:div>
        <w:div w:id="1315913490">
          <w:marLeft w:val="0"/>
          <w:marRight w:val="0"/>
          <w:marTop w:val="0"/>
          <w:marBottom w:val="0"/>
          <w:divBdr>
            <w:top w:val="none" w:sz="0" w:space="0" w:color="auto"/>
            <w:left w:val="none" w:sz="0" w:space="0" w:color="auto"/>
            <w:bottom w:val="none" w:sz="0" w:space="0" w:color="auto"/>
            <w:right w:val="none" w:sz="0" w:space="0" w:color="auto"/>
          </w:divBdr>
        </w:div>
        <w:div w:id="951278197">
          <w:marLeft w:val="0"/>
          <w:marRight w:val="0"/>
          <w:marTop w:val="0"/>
          <w:marBottom w:val="0"/>
          <w:divBdr>
            <w:top w:val="none" w:sz="0" w:space="0" w:color="auto"/>
            <w:left w:val="none" w:sz="0" w:space="0" w:color="auto"/>
            <w:bottom w:val="none" w:sz="0" w:space="0" w:color="auto"/>
            <w:right w:val="none" w:sz="0" w:space="0" w:color="auto"/>
          </w:divBdr>
          <w:divsChild>
            <w:div w:id="548616644">
              <w:marLeft w:val="0"/>
              <w:marRight w:val="0"/>
              <w:marTop w:val="0"/>
              <w:marBottom w:val="0"/>
              <w:divBdr>
                <w:top w:val="none" w:sz="0" w:space="0" w:color="auto"/>
                <w:left w:val="none" w:sz="0" w:space="0" w:color="auto"/>
                <w:bottom w:val="none" w:sz="0" w:space="0" w:color="auto"/>
                <w:right w:val="none" w:sz="0" w:space="0" w:color="auto"/>
              </w:divBdr>
            </w:div>
          </w:divsChild>
        </w:div>
        <w:div w:id="1241133246">
          <w:marLeft w:val="0"/>
          <w:marRight w:val="0"/>
          <w:marTop w:val="0"/>
          <w:marBottom w:val="0"/>
          <w:divBdr>
            <w:top w:val="none" w:sz="0" w:space="0" w:color="auto"/>
            <w:left w:val="none" w:sz="0" w:space="0" w:color="auto"/>
            <w:bottom w:val="none" w:sz="0" w:space="0" w:color="auto"/>
            <w:right w:val="none" w:sz="0" w:space="0" w:color="auto"/>
          </w:divBdr>
          <w:divsChild>
            <w:div w:id="1156342169">
              <w:marLeft w:val="0"/>
              <w:marRight w:val="0"/>
              <w:marTop w:val="0"/>
              <w:marBottom w:val="0"/>
              <w:divBdr>
                <w:top w:val="none" w:sz="0" w:space="0" w:color="auto"/>
                <w:left w:val="none" w:sz="0" w:space="0" w:color="auto"/>
                <w:bottom w:val="none" w:sz="0" w:space="0" w:color="auto"/>
                <w:right w:val="none" w:sz="0" w:space="0" w:color="auto"/>
              </w:divBdr>
              <w:divsChild>
                <w:div w:id="1589344546">
                  <w:marLeft w:val="0"/>
                  <w:marRight w:val="0"/>
                  <w:marTop w:val="0"/>
                  <w:marBottom w:val="0"/>
                  <w:divBdr>
                    <w:top w:val="none" w:sz="0" w:space="0" w:color="auto"/>
                    <w:left w:val="none" w:sz="0" w:space="0" w:color="auto"/>
                    <w:bottom w:val="none" w:sz="0" w:space="0" w:color="auto"/>
                    <w:right w:val="none" w:sz="0" w:space="0" w:color="auto"/>
                  </w:divBdr>
                </w:div>
              </w:divsChild>
            </w:div>
            <w:div w:id="1877960339">
              <w:marLeft w:val="0"/>
              <w:marRight w:val="0"/>
              <w:marTop w:val="0"/>
              <w:marBottom w:val="0"/>
              <w:divBdr>
                <w:top w:val="none" w:sz="0" w:space="0" w:color="auto"/>
                <w:left w:val="none" w:sz="0" w:space="0" w:color="auto"/>
                <w:bottom w:val="none" w:sz="0" w:space="0" w:color="auto"/>
                <w:right w:val="none" w:sz="0" w:space="0" w:color="auto"/>
              </w:divBdr>
              <w:divsChild>
                <w:div w:id="132608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922100">
          <w:marLeft w:val="0"/>
          <w:marRight w:val="0"/>
          <w:marTop w:val="0"/>
          <w:marBottom w:val="0"/>
          <w:divBdr>
            <w:top w:val="none" w:sz="0" w:space="0" w:color="auto"/>
            <w:left w:val="none" w:sz="0" w:space="0" w:color="auto"/>
            <w:bottom w:val="none" w:sz="0" w:space="0" w:color="auto"/>
            <w:right w:val="none" w:sz="0" w:space="0" w:color="auto"/>
          </w:divBdr>
          <w:divsChild>
            <w:div w:id="1914075067">
              <w:marLeft w:val="0"/>
              <w:marRight w:val="0"/>
              <w:marTop w:val="0"/>
              <w:marBottom w:val="0"/>
              <w:divBdr>
                <w:top w:val="none" w:sz="0" w:space="0" w:color="auto"/>
                <w:left w:val="none" w:sz="0" w:space="0" w:color="auto"/>
                <w:bottom w:val="none" w:sz="0" w:space="0" w:color="auto"/>
                <w:right w:val="none" w:sz="0" w:space="0" w:color="auto"/>
              </w:divBdr>
              <w:divsChild>
                <w:div w:id="208417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79154">
          <w:marLeft w:val="0"/>
          <w:marRight w:val="0"/>
          <w:marTop w:val="0"/>
          <w:marBottom w:val="0"/>
          <w:divBdr>
            <w:top w:val="none" w:sz="0" w:space="0" w:color="auto"/>
            <w:left w:val="none" w:sz="0" w:space="0" w:color="auto"/>
            <w:bottom w:val="none" w:sz="0" w:space="0" w:color="auto"/>
            <w:right w:val="none" w:sz="0" w:space="0" w:color="auto"/>
          </w:divBdr>
          <w:divsChild>
            <w:div w:id="188875706">
              <w:marLeft w:val="0"/>
              <w:marRight w:val="0"/>
              <w:marTop w:val="0"/>
              <w:marBottom w:val="0"/>
              <w:divBdr>
                <w:top w:val="none" w:sz="0" w:space="0" w:color="auto"/>
                <w:left w:val="none" w:sz="0" w:space="0" w:color="auto"/>
                <w:bottom w:val="none" w:sz="0" w:space="0" w:color="auto"/>
                <w:right w:val="none" w:sz="0" w:space="0" w:color="auto"/>
              </w:divBdr>
              <w:divsChild>
                <w:div w:id="111228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642001">
          <w:marLeft w:val="0"/>
          <w:marRight w:val="0"/>
          <w:marTop w:val="0"/>
          <w:marBottom w:val="0"/>
          <w:divBdr>
            <w:top w:val="none" w:sz="0" w:space="0" w:color="auto"/>
            <w:left w:val="none" w:sz="0" w:space="0" w:color="auto"/>
            <w:bottom w:val="none" w:sz="0" w:space="0" w:color="auto"/>
            <w:right w:val="none" w:sz="0" w:space="0" w:color="auto"/>
          </w:divBdr>
          <w:divsChild>
            <w:div w:id="1046180016">
              <w:marLeft w:val="0"/>
              <w:marRight w:val="0"/>
              <w:marTop w:val="0"/>
              <w:marBottom w:val="0"/>
              <w:divBdr>
                <w:top w:val="none" w:sz="0" w:space="0" w:color="auto"/>
                <w:left w:val="none" w:sz="0" w:space="0" w:color="auto"/>
                <w:bottom w:val="none" w:sz="0" w:space="0" w:color="auto"/>
                <w:right w:val="none" w:sz="0" w:space="0" w:color="auto"/>
              </w:divBdr>
              <w:divsChild>
                <w:div w:id="8704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129964">
          <w:marLeft w:val="0"/>
          <w:marRight w:val="0"/>
          <w:marTop w:val="0"/>
          <w:marBottom w:val="0"/>
          <w:divBdr>
            <w:top w:val="none" w:sz="0" w:space="0" w:color="auto"/>
            <w:left w:val="none" w:sz="0" w:space="0" w:color="auto"/>
            <w:bottom w:val="none" w:sz="0" w:space="0" w:color="auto"/>
            <w:right w:val="none" w:sz="0" w:space="0" w:color="auto"/>
          </w:divBdr>
          <w:divsChild>
            <w:div w:id="256521847">
              <w:marLeft w:val="0"/>
              <w:marRight w:val="0"/>
              <w:marTop w:val="0"/>
              <w:marBottom w:val="0"/>
              <w:divBdr>
                <w:top w:val="none" w:sz="0" w:space="0" w:color="auto"/>
                <w:left w:val="none" w:sz="0" w:space="0" w:color="auto"/>
                <w:bottom w:val="none" w:sz="0" w:space="0" w:color="auto"/>
                <w:right w:val="none" w:sz="0" w:space="0" w:color="auto"/>
              </w:divBdr>
              <w:divsChild>
                <w:div w:id="1135567075">
                  <w:marLeft w:val="0"/>
                  <w:marRight w:val="0"/>
                  <w:marTop w:val="0"/>
                  <w:marBottom w:val="0"/>
                  <w:divBdr>
                    <w:top w:val="none" w:sz="0" w:space="0" w:color="auto"/>
                    <w:left w:val="none" w:sz="0" w:space="0" w:color="auto"/>
                    <w:bottom w:val="none" w:sz="0" w:space="0" w:color="auto"/>
                    <w:right w:val="none" w:sz="0" w:space="0" w:color="auto"/>
                  </w:divBdr>
                  <w:divsChild>
                    <w:div w:id="992682015">
                      <w:marLeft w:val="0"/>
                      <w:marRight w:val="0"/>
                      <w:marTop w:val="0"/>
                      <w:marBottom w:val="300"/>
                      <w:divBdr>
                        <w:top w:val="single" w:sz="36" w:space="0" w:color="FFFFFF"/>
                        <w:left w:val="single" w:sz="36" w:space="0" w:color="FFFFFF"/>
                        <w:bottom w:val="single" w:sz="36" w:space="0" w:color="FFFFFF"/>
                        <w:right w:val="single" w:sz="36" w:space="0" w:color="FFFFFF"/>
                      </w:divBdr>
                      <w:divsChild>
                        <w:div w:id="1476219314">
                          <w:marLeft w:val="0"/>
                          <w:marRight w:val="0"/>
                          <w:marTop w:val="0"/>
                          <w:marBottom w:val="0"/>
                          <w:divBdr>
                            <w:top w:val="none" w:sz="0" w:space="0" w:color="auto"/>
                            <w:left w:val="none" w:sz="0" w:space="0" w:color="auto"/>
                            <w:bottom w:val="none" w:sz="0" w:space="0" w:color="auto"/>
                            <w:right w:val="none" w:sz="0" w:space="0" w:color="auto"/>
                          </w:divBdr>
                          <w:divsChild>
                            <w:div w:id="1888452329">
                              <w:marLeft w:val="0"/>
                              <w:marRight w:val="0"/>
                              <w:marTop w:val="0"/>
                              <w:marBottom w:val="0"/>
                              <w:divBdr>
                                <w:top w:val="none" w:sz="0" w:space="0" w:color="auto"/>
                                <w:left w:val="none" w:sz="0" w:space="0" w:color="auto"/>
                                <w:bottom w:val="none" w:sz="0" w:space="0" w:color="auto"/>
                                <w:right w:val="none" w:sz="0" w:space="0" w:color="auto"/>
                              </w:divBdr>
                              <w:divsChild>
                                <w:div w:id="116409986">
                                  <w:marLeft w:val="0"/>
                                  <w:marRight w:val="150"/>
                                  <w:marTop w:val="0"/>
                                  <w:marBottom w:val="0"/>
                                  <w:divBdr>
                                    <w:top w:val="single" w:sz="6" w:space="11" w:color="777777"/>
                                    <w:left w:val="single" w:sz="6" w:space="11" w:color="777777"/>
                                    <w:bottom w:val="single" w:sz="6" w:space="11" w:color="777777"/>
                                    <w:right w:val="single" w:sz="6" w:space="11" w:color="777777"/>
                                  </w:divBdr>
                                </w:div>
                                <w:div w:id="2128963398">
                                  <w:marLeft w:val="0"/>
                                  <w:marRight w:val="150"/>
                                  <w:marTop w:val="0"/>
                                  <w:marBottom w:val="0"/>
                                  <w:divBdr>
                                    <w:top w:val="single" w:sz="6" w:space="11" w:color="777777"/>
                                    <w:left w:val="single" w:sz="6" w:space="11" w:color="777777"/>
                                    <w:bottom w:val="single" w:sz="6" w:space="11" w:color="777777"/>
                                    <w:right w:val="single" w:sz="6" w:space="11" w:color="777777"/>
                                  </w:divBdr>
                                </w:div>
                                <w:div w:id="73481504">
                                  <w:marLeft w:val="0"/>
                                  <w:marRight w:val="150"/>
                                  <w:marTop w:val="0"/>
                                  <w:marBottom w:val="0"/>
                                  <w:divBdr>
                                    <w:top w:val="single" w:sz="6" w:space="11" w:color="777777"/>
                                    <w:left w:val="single" w:sz="6" w:space="11" w:color="777777"/>
                                    <w:bottom w:val="single" w:sz="6" w:space="11" w:color="777777"/>
                                    <w:right w:val="single" w:sz="6" w:space="11" w:color="777777"/>
                                  </w:divBdr>
                                </w:div>
                                <w:div w:id="248000299">
                                  <w:marLeft w:val="0"/>
                                  <w:marRight w:val="150"/>
                                  <w:marTop w:val="0"/>
                                  <w:marBottom w:val="0"/>
                                  <w:divBdr>
                                    <w:top w:val="single" w:sz="6" w:space="11" w:color="777777"/>
                                    <w:left w:val="single" w:sz="6" w:space="11" w:color="777777"/>
                                    <w:bottom w:val="single" w:sz="6" w:space="11" w:color="777777"/>
                                    <w:right w:val="single" w:sz="6" w:space="11" w:color="777777"/>
                                  </w:divBdr>
                                </w:div>
                                <w:div w:id="126045378">
                                  <w:marLeft w:val="0"/>
                                  <w:marRight w:val="150"/>
                                  <w:marTop w:val="0"/>
                                  <w:marBottom w:val="0"/>
                                  <w:divBdr>
                                    <w:top w:val="single" w:sz="6" w:space="11" w:color="777777"/>
                                    <w:left w:val="single" w:sz="6" w:space="11" w:color="777777"/>
                                    <w:bottom w:val="single" w:sz="6" w:space="11" w:color="777777"/>
                                    <w:right w:val="single" w:sz="6" w:space="11" w:color="777777"/>
                                  </w:divBdr>
                                </w:div>
                                <w:div w:id="1338850379">
                                  <w:marLeft w:val="0"/>
                                  <w:marRight w:val="150"/>
                                  <w:marTop w:val="0"/>
                                  <w:marBottom w:val="0"/>
                                  <w:divBdr>
                                    <w:top w:val="single" w:sz="6" w:space="11" w:color="777777"/>
                                    <w:left w:val="single" w:sz="6" w:space="11" w:color="777777"/>
                                    <w:bottom w:val="single" w:sz="6" w:space="11" w:color="777777"/>
                                    <w:right w:val="single" w:sz="6" w:space="11" w:color="777777"/>
                                  </w:divBdr>
                                </w:div>
                                <w:div w:id="284124036">
                                  <w:marLeft w:val="0"/>
                                  <w:marRight w:val="150"/>
                                  <w:marTop w:val="0"/>
                                  <w:marBottom w:val="0"/>
                                  <w:divBdr>
                                    <w:top w:val="single" w:sz="6" w:space="11" w:color="777777"/>
                                    <w:left w:val="single" w:sz="6" w:space="11" w:color="777777"/>
                                    <w:bottom w:val="single" w:sz="6" w:space="11" w:color="777777"/>
                                    <w:right w:val="single" w:sz="6" w:space="11" w:color="777777"/>
                                  </w:divBdr>
                                </w:div>
                              </w:divsChild>
                            </w:div>
                          </w:divsChild>
                        </w:div>
                      </w:divsChild>
                    </w:div>
                  </w:divsChild>
                </w:div>
              </w:divsChild>
            </w:div>
          </w:divsChild>
        </w:div>
        <w:div w:id="294481819">
          <w:marLeft w:val="0"/>
          <w:marRight w:val="0"/>
          <w:marTop w:val="0"/>
          <w:marBottom w:val="0"/>
          <w:divBdr>
            <w:top w:val="none" w:sz="0" w:space="0" w:color="auto"/>
            <w:left w:val="none" w:sz="0" w:space="0" w:color="auto"/>
            <w:bottom w:val="none" w:sz="0" w:space="0" w:color="auto"/>
            <w:right w:val="none" w:sz="0" w:space="0" w:color="auto"/>
          </w:divBdr>
          <w:divsChild>
            <w:div w:id="396905145">
              <w:marLeft w:val="0"/>
              <w:marRight w:val="0"/>
              <w:marTop w:val="0"/>
              <w:marBottom w:val="0"/>
              <w:divBdr>
                <w:top w:val="none" w:sz="0" w:space="0" w:color="auto"/>
                <w:left w:val="none" w:sz="0" w:space="0" w:color="auto"/>
                <w:bottom w:val="none" w:sz="0" w:space="0" w:color="auto"/>
                <w:right w:val="none" w:sz="0" w:space="0" w:color="auto"/>
              </w:divBdr>
              <w:divsChild>
                <w:div w:id="948318389">
                  <w:marLeft w:val="0"/>
                  <w:marRight w:val="0"/>
                  <w:marTop w:val="0"/>
                  <w:marBottom w:val="0"/>
                  <w:divBdr>
                    <w:top w:val="none" w:sz="0" w:space="0" w:color="auto"/>
                    <w:left w:val="none" w:sz="0" w:space="0" w:color="auto"/>
                    <w:bottom w:val="none" w:sz="0" w:space="0" w:color="auto"/>
                    <w:right w:val="none" w:sz="0" w:space="0" w:color="auto"/>
                  </w:divBdr>
                </w:div>
              </w:divsChild>
            </w:div>
            <w:div w:id="1531383674">
              <w:marLeft w:val="0"/>
              <w:marRight w:val="0"/>
              <w:marTop w:val="0"/>
              <w:marBottom w:val="0"/>
              <w:divBdr>
                <w:top w:val="none" w:sz="0" w:space="0" w:color="auto"/>
                <w:left w:val="none" w:sz="0" w:space="0" w:color="auto"/>
                <w:bottom w:val="none" w:sz="0" w:space="0" w:color="auto"/>
                <w:right w:val="none" w:sz="0" w:space="0" w:color="auto"/>
              </w:divBdr>
              <w:divsChild>
                <w:div w:id="1253514007">
                  <w:marLeft w:val="0"/>
                  <w:marRight w:val="0"/>
                  <w:marTop w:val="0"/>
                  <w:marBottom w:val="0"/>
                  <w:divBdr>
                    <w:top w:val="none" w:sz="0" w:space="0" w:color="auto"/>
                    <w:left w:val="none" w:sz="0" w:space="0" w:color="auto"/>
                    <w:bottom w:val="none" w:sz="0" w:space="0" w:color="auto"/>
                    <w:right w:val="none" w:sz="0" w:space="0" w:color="auto"/>
                  </w:divBdr>
                </w:div>
              </w:divsChild>
            </w:div>
            <w:div w:id="1044983484">
              <w:marLeft w:val="0"/>
              <w:marRight w:val="0"/>
              <w:marTop w:val="0"/>
              <w:marBottom w:val="0"/>
              <w:divBdr>
                <w:top w:val="none" w:sz="0" w:space="0" w:color="auto"/>
                <w:left w:val="none" w:sz="0" w:space="0" w:color="auto"/>
                <w:bottom w:val="none" w:sz="0" w:space="0" w:color="auto"/>
                <w:right w:val="none" w:sz="0" w:space="0" w:color="auto"/>
              </w:divBdr>
              <w:divsChild>
                <w:div w:id="1350987228">
                  <w:marLeft w:val="0"/>
                  <w:marRight w:val="0"/>
                  <w:marTop w:val="0"/>
                  <w:marBottom w:val="0"/>
                  <w:divBdr>
                    <w:top w:val="none" w:sz="0" w:space="0" w:color="auto"/>
                    <w:left w:val="none" w:sz="0" w:space="0" w:color="auto"/>
                    <w:bottom w:val="none" w:sz="0" w:space="0" w:color="auto"/>
                    <w:right w:val="none" w:sz="0" w:space="0" w:color="auto"/>
                  </w:divBdr>
                </w:div>
              </w:divsChild>
            </w:div>
            <w:div w:id="94130468">
              <w:marLeft w:val="0"/>
              <w:marRight w:val="0"/>
              <w:marTop w:val="0"/>
              <w:marBottom w:val="0"/>
              <w:divBdr>
                <w:top w:val="none" w:sz="0" w:space="0" w:color="auto"/>
                <w:left w:val="none" w:sz="0" w:space="0" w:color="auto"/>
                <w:bottom w:val="none" w:sz="0" w:space="0" w:color="auto"/>
                <w:right w:val="none" w:sz="0" w:space="0" w:color="auto"/>
              </w:divBdr>
              <w:divsChild>
                <w:div w:id="1916091550">
                  <w:marLeft w:val="0"/>
                  <w:marRight w:val="0"/>
                  <w:marTop w:val="0"/>
                  <w:marBottom w:val="0"/>
                  <w:divBdr>
                    <w:top w:val="none" w:sz="0" w:space="0" w:color="auto"/>
                    <w:left w:val="none" w:sz="0" w:space="0" w:color="auto"/>
                    <w:bottom w:val="none" w:sz="0" w:space="0" w:color="auto"/>
                    <w:right w:val="none" w:sz="0" w:space="0" w:color="auto"/>
                  </w:divBdr>
                </w:div>
              </w:divsChild>
            </w:div>
            <w:div w:id="270868262">
              <w:marLeft w:val="0"/>
              <w:marRight w:val="0"/>
              <w:marTop w:val="0"/>
              <w:marBottom w:val="0"/>
              <w:divBdr>
                <w:top w:val="none" w:sz="0" w:space="0" w:color="auto"/>
                <w:left w:val="none" w:sz="0" w:space="0" w:color="auto"/>
                <w:bottom w:val="none" w:sz="0" w:space="0" w:color="auto"/>
                <w:right w:val="none" w:sz="0" w:space="0" w:color="auto"/>
              </w:divBdr>
              <w:divsChild>
                <w:div w:id="1650859898">
                  <w:marLeft w:val="0"/>
                  <w:marRight w:val="0"/>
                  <w:marTop w:val="0"/>
                  <w:marBottom w:val="0"/>
                  <w:divBdr>
                    <w:top w:val="none" w:sz="0" w:space="0" w:color="auto"/>
                    <w:left w:val="none" w:sz="0" w:space="0" w:color="auto"/>
                    <w:bottom w:val="none" w:sz="0" w:space="0" w:color="auto"/>
                    <w:right w:val="none" w:sz="0" w:space="0" w:color="auto"/>
                  </w:divBdr>
                </w:div>
              </w:divsChild>
            </w:div>
            <w:div w:id="252010085">
              <w:marLeft w:val="0"/>
              <w:marRight w:val="0"/>
              <w:marTop w:val="0"/>
              <w:marBottom w:val="0"/>
              <w:divBdr>
                <w:top w:val="none" w:sz="0" w:space="0" w:color="auto"/>
                <w:left w:val="none" w:sz="0" w:space="0" w:color="auto"/>
                <w:bottom w:val="none" w:sz="0" w:space="0" w:color="auto"/>
                <w:right w:val="none" w:sz="0" w:space="0" w:color="auto"/>
              </w:divBdr>
              <w:divsChild>
                <w:div w:id="2057585926">
                  <w:marLeft w:val="0"/>
                  <w:marRight w:val="0"/>
                  <w:marTop w:val="0"/>
                  <w:marBottom w:val="0"/>
                  <w:divBdr>
                    <w:top w:val="none" w:sz="0" w:space="0" w:color="auto"/>
                    <w:left w:val="none" w:sz="0" w:space="0" w:color="auto"/>
                    <w:bottom w:val="none" w:sz="0" w:space="0" w:color="auto"/>
                    <w:right w:val="none" w:sz="0" w:space="0" w:color="auto"/>
                  </w:divBdr>
                </w:div>
              </w:divsChild>
            </w:div>
            <w:div w:id="1066955597">
              <w:marLeft w:val="0"/>
              <w:marRight w:val="0"/>
              <w:marTop w:val="0"/>
              <w:marBottom w:val="0"/>
              <w:divBdr>
                <w:top w:val="none" w:sz="0" w:space="0" w:color="auto"/>
                <w:left w:val="none" w:sz="0" w:space="0" w:color="auto"/>
                <w:bottom w:val="none" w:sz="0" w:space="0" w:color="auto"/>
                <w:right w:val="none" w:sz="0" w:space="0" w:color="auto"/>
              </w:divBdr>
              <w:divsChild>
                <w:div w:id="2083524654">
                  <w:marLeft w:val="0"/>
                  <w:marRight w:val="0"/>
                  <w:marTop w:val="0"/>
                  <w:marBottom w:val="0"/>
                  <w:divBdr>
                    <w:top w:val="none" w:sz="0" w:space="0" w:color="auto"/>
                    <w:left w:val="none" w:sz="0" w:space="0" w:color="auto"/>
                    <w:bottom w:val="none" w:sz="0" w:space="0" w:color="auto"/>
                    <w:right w:val="none" w:sz="0" w:space="0" w:color="auto"/>
                  </w:divBdr>
                </w:div>
              </w:divsChild>
            </w:div>
            <w:div w:id="602690153">
              <w:marLeft w:val="0"/>
              <w:marRight w:val="0"/>
              <w:marTop w:val="0"/>
              <w:marBottom w:val="0"/>
              <w:divBdr>
                <w:top w:val="none" w:sz="0" w:space="0" w:color="auto"/>
                <w:left w:val="none" w:sz="0" w:space="0" w:color="auto"/>
                <w:bottom w:val="none" w:sz="0" w:space="0" w:color="auto"/>
                <w:right w:val="none" w:sz="0" w:space="0" w:color="auto"/>
              </w:divBdr>
              <w:divsChild>
                <w:div w:id="1771394588">
                  <w:marLeft w:val="0"/>
                  <w:marRight w:val="0"/>
                  <w:marTop w:val="0"/>
                  <w:marBottom w:val="0"/>
                  <w:divBdr>
                    <w:top w:val="none" w:sz="0" w:space="0" w:color="auto"/>
                    <w:left w:val="none" w:sz="0" w:space="0" w:color="auto"/>
                    <w:bottom w:val="none" w:sz="0" w:space="0" w:color="auto"/>
                    <w:right w:val="none" w:sz="0" w:space="0" w:color="auto"/>
                  </w:divBdr>
                </w:div>
              </w:divsChild>
            </w:div>
            <w:div w:id="310864108">
              <w:marLeft w:val="0"/>
              <w:marRight w:val="0"/>
              <w:marTop w:val="0"/>
              <w:marBottom w:val="0"/>
              <w:divBdr>
                <w:top w:val="none" w:sz="0" w:space="0" w:color="auto"/>
                <w:left w:val="none" w:sz="0" w:space="0" w:color="auto"/>
                <w:bottom w:val="none" w:sz="0" w:space="0" w:color="auto"/>
                <w:right w:val="none" w:sz="0" w:space="0" w:color="auto"/>
              </w:divBdr>
              <w:divsChild>
                <w:div w:id="532233204">
                  <w:marLeft w:val="0"/>
                  <w:marRight w:val="0"/>
                  <w:marTop w:val="0"/>
                  <w:marBottom w:val="0"/>
                  <w:divBdr>
                    <w:top w:val="none" w:sz="0" w:space="0" w:color="auto"/>
                    <w:left w:val="none" w:sz="0" w:space="0" w:color="auto"/>
                    <w:bottom w:val="none" w:sz="0" w:space="0" w:color="auto"/>
                    <w:right w:val="none" w:sz="0" w:space="0" w:color="auto"/>
                  </w:divBdr>
                </w:div>
              </w:divsChild>
            </w:div>
            <w:div w:id="1683778870">
              <w:marLeft w:val="0"/>
              <w:marRight w:val="0"/>
              <w:marTop w:val="0"/>
              <w:marBottom w:val="0"/>
              <w:divBdr>
                <w:top w:val="none" w:sz="0" w:space="0" w:color="auto"/>
                <w:left w:val="none" w:sz="0" w:space="0" w:color="auto"/>
                <w:bottom w:val="none" w:sz="0" w:space="0" w:color="auto"/>
                <w:right w:val="none" w:sz="0" w:space="0" w:color="auto"/>
              </w:divBdr>
              <w:divsChild>
                <w:div w:id="1357732549">
                  <w:marLeft w:val="0"/>
                  <w:marRight w:val="0"/>
                  <w:marTop w:val="0"/>
                  <w:marBottom w:val="0"/>
                  <w:divBdr>
                    <w:top w:val="none" w:sz="0" w:space="0" w:color="auto"/>
                    <w:left w:val="none" w:sz="0" w:space="0" w:color="auto"/>
                    <w:bottom w:val="none" w:sz="0" w:space="0" w:color="auto"/>
                    <w:right w:val="none" w:sz="0" w:space="0" w:color="auto"/>
                  </w:divBdr>
                </w:div>
              </w:divsChild>
            </w:div>
            <w:div w:id="1752656858">
              <w:marLeft w:val="0"/>
              <w:marRight w:val="0"/>
              <w:marTop w:val="0"/>
              <w:marBottom w:val="0"/>
              <w:divBdr>
                <w:top w:val="none" w:sz="0" w:space="0" w:color="auto"/>
                <w:left w:val="none" w:sz="0" w:space="0" w:color="auto"/>
                <w:bottom w:val="none" w:sz="0" w:space="0" w:color="auto"/>
                <w:right w:val="none" w:sz="0" w:space="0" w:color="auto"/>
              </w:divBdr>
              <w:divsChild>
                <w:div w:id="1362362627">
                  <w:marLeft w:val="0"/>
                  <w:marRight w:val="0"/>
                  <w:marTop w:val="0"/>
                  <w:marBottom w:val="0"/>
                  <w:divBdr>
                    <w:top w:val="none" w:sz="0" w:space="0" w:color="auto"/>
                    <w:left w:val="none" w:sz="0" w:space="0" w:color="auto"/>
                    <w:bottom w:val="none" w:sz="0" w:space="0" w:color="auto"/>
                    <w:right w:val="none" w:sz="0" w:space="0" w:color="auto"/>
                  </w:divBdr>
                </w:div>
              </w:divsChild>
            </w:div>
            <w:div w:id="205724851">
              <w:marLeft w:val="0"/>
              <w:marRight w:val="0"/>
              <w:marTop w:val="0"/>
              <w:marBottom w:val="0"/>
              <w:divBdr>
                <w:top w:val="none" w:sz="0" w:space="0" w:color="auto"/>
                <w:left w:val="none" w:sz="0" w:space="0" w:color="auto"/>
                <w:bottom w:val="none" w:sz="0" w:space="0" w:color="auto"/>
                <w:right w:val="none" w:sz="0" w:space="0" w:color="auto"/>
              </w:divBdr>
              <w:divsChild>
                <w:div w:id="769349148">
                  <w:marLeft w:val="0"/>
                  <w:marRight w:val="0"/>
                  <w:marTop w:val="0"/>
                  <w:marBottom w:val="0"/>
                  <w:divBdr>
                    <w:top w:val="none" w:sz="0" w:space="0" w:color="auto"/>
                    <w:left w:val="none" w:sz="0" w:space="0" w:color="auto"/>
                    <w:bottom w:val="none" w:sz="0" w:space="0" w:color="auto"/>
                    <w:right w:val="none" w:sz="0" w:space="0" w:color="auto"/>
                  </w:divBdr>
                </w:div>
              </w:divsChild>
            </w:div>
            <w:div w:id="1915355419">
              <w:marLeft w:val="0"/>
              <w:marRight w:val="0"/>
              <w:marTop w:val="0"/>
              <w:marBottom w:val="0"/>
              <w:divBdr>
                <w:top w:val="none" w:sz="0" w:space="0" w:color="auto"/>
                <w:left w:val="none" w:sz="0" w:space="0" w:color="auto"/>
                <w:bottom w:val="none" w:sz="0" w:space="0" w:color="auto"/>
                <w:right w:val="none" w:sz="0" w:space="0" w:color="auto"/>
              </w:divBdr>
              <w:divsChild>
                <w:div w:id="208761176">
                  <w:marLeft w:val="0"/>
                  <w:marRight w:val="0"/>
                  <w:marTop w:val="0"/>
                  <w:marBottom w:val="0"/>
                  <w:divBdr>
                    <w:top w:val="none" w:sz="0" w:space="0" w:color="auto"/>
                    <w:left w:val="none" w:sz="0" w:space="0" w:color="auto"/>
                    <w:bottom w:val="none" w:sz="0" w:space="0" w:color="auto"/>
                    <w:right w:val="none" w:sz="0" w:space="0" w:color="auto"/>
                  </w:divBdr>
                </w:div>
              </w:divsChild>
            </w:div>
            <w:div w:id="1263418130">
              <w:marLeft w:val="0"/>
              <w:marRight w:val="0"/>
              <w:marTop w:val="0"/>
              <w:marBottom w:val="0"/>
              <w:divBdr>
                <w:top w:val="none" w:sz="0" w:space="0" w:color="auto"/>
                <w:left w:val="none" w:sz="0" w:space="0" w:color="auto"/>
                <w:bottom w:val="none" w:sz="0" w:space="0" w:color="auto"/>
                <w:right w:val="none" w:sz="0" w:space="0" w:color="auto"/>
              </w:divBdr>
              <w:divsChild>
                <w:div w:id="1701121884">
                  <w:marLeft w:val="0"/>
                  <w:marRight w:val="0"/>
                  <w:marTop w:val="0"/>
                  <w:marBottom w:val="0"/>
                  <w:divBdr>
                    <w:top w:val="none" w:sz="0" w:space="0" w:color="auto"/>
                    <w:left w:val="none" w:sz="0" w:space="0" w:color="auto"/>
                    <w:bottom w:val="none" w:sz="0" w:space="0" w:color="auto"/>
                    <w:right w:val="none" w:sz="0" w:space="0" w:color="auto"/>
                  </w:divBdr>
                </w:div>
              </w:divsChild>
            </w:div>
            <w:div w:id="427626163">
              <w:marLeft w:val="0"/>
              <w:marRight w:val="0"/>
              <w:marTop w:val="0"/>
              <w:marBottom w:val="0"/>
              <w:divBdr>
                <w:top w:val="none" w:sz="0" w:space="0" w:color="auto"/>
                <w:left w:val="none" w:sz="0" w:space="0" w:color="auto"/>
                <w:bottom w:val="none" w:sz="0" w:space="0" w:color="auto"/>
                <w:right w:val="none" w:sz="0" w:space="0" w:color="auto"/>
              </w:divBdr>
              <w:divsChild>
                <w:div w:id="1031298092">
                  <w:marLeft w:val="0"/>
                  <w:marRight w:val="0"/>
                  <w:marTop w:val="0"/>
                  <w:marBottom w:val="0"/>
                  <w:divBdr>
                    <w:top w:val="none" w:sz="0" w:space="0" w:color="auto"/>
                    <w:left w:val="none" w:sz="0" w:space="0" w:color="auto"/>
                    <w:bottom w:val="none" w:sz="0" w:space="0" w:color="auto"/>
                    <w:right w:val="none" w:sz="0" w:space="0" w:color="auto"/>
                  </w:divBdr>
                </w:div>
              </w:divsChild>
            </w:div>
            <w:div w:id="433862465">
              <w:marLeft w:val="0"/>
              <w:marRight w:val="0"/>
              <w:marTop w:val="0"/>
              <w:marBottom w:val="0"/>
              <w:divBdr>
                <w:top w:val="none" w:sz="0" w:space="0" w:color="auto"/>
                <w:left w:val="none" w:sz="0" w:space="0" w:color="auto"/>
                <w:bottom w:val="none" w:sz="0" w:space="0" w:color="auto"/>
                <w:right w:val="none" w:sz="0" w:space="0" w:color="auto"/>
              </w:divBdr>
              <w:divsChild>
                <w:div w:id="1936471074">
                  <w:marLeft w:val="0"/>
                  <w:marRight w:val="0"/>
                  <w:marTop w:val="0"/>
                  <w:marBottom w:val="0"/>
                  <w:divBdr>
                    <w:top w:val="none" w:sz="0" w:space="0" w:color="auto"/>
                    <w:left w:val="none" w:sz="0" w:space="0" w:color="auto"/>
                    <w:bottom w:val="none" w:sz="0" w:space="0" w:color="auto"/>
                    <w:right w:val="none" w:sz="0" w:space="0" w:color="auto"/>
                  </w:divBdr>
                </w:div>
              </w:divsChild>
            </w:div>
            <w:div w:id="1204516499">
              <w:marLeft w:val="0"/>
              <w:marRight w:val="0"/>
              <w:marTop w:val="0"/>
              <w:marBottom w:val="0"/>
              <w:divBdr>
                <w:top w:val="none" w:sz="0" w:space="0" w:color="auto"/>
                <w:left w:val="none" w:sz="0" w:space="0" w:color="auto"/>
                <w:bottom w:val="none" w:sz="0" w:space="0" w:color="auto"/>
                <w:right w:val="none" w:sz="0" w:space="0" w:color="auto"/>
              </w:divBdr>
              <w:divsChild>
                <w:div w:id="1580099036">
                  <w:marLeft w:val="0"/>
                  <w:marRight w:val="0"/>
                  <w:marTop w:val="0"/>
                  <w:marBottom w:val="0"/>
                  <w:divBdr>
                    <w:top w:val="none" w:sz="0" w:space="0" w:color="auto"/>
                    <w:left w:val="none" w:sz="0" w:space="0" w:color="auto"/>
                    <w:bottom w:val="none" w:sz="0" w:space="0" w:color="auto"/>
                    <w:right w:val="none" w:sz="0" w:space="0" w:color="auto"/>
                  </w:divBdr>
                </w:div>
              </w:divsChild>
            </w:div>
            <w:div w:id="542250085">
              <w:marLeft w:val="0"/>
              <w:marRight w:val="0"/>
              <w:marTop w:val="0"/>
              <w:marBottom w:val="0"/>
              <w:divBdr>
                <w:top w:val="none" w:sz="0" w:space="0" w:color="auto"/>
                <w:left w:val="none" w:sz="0" w:space="0" w:color="auto"/>
                <w:bottom w:val="none" w:sz="0" w:space="0" w:color="auto"/>
                <w:right w:val="none" w:sz="0" w:space="0" w:color="auto"/>
              </w:divBdr>
              <w:divsChild>
                <w:div w:id="287397501">
                  <w:marLeft w:val="0"/>
                  <w:marRight w:val="0"/>
                  <w:marTop w:val="0"/>
                  <w:marBottom w:val="0"/>
                  <w:divBdr>
                    <w:top w:val="none" w:sz="0" w:space="0" w:color="auto"/>
                    <w:left w:val="none" w:sz="0" w:space="0" w:color="auto"/>
                    <w:bottom w:val="none" w:sz="0" w:space="0" w:color="auto"/>
                    <w:right w:val="none" w:sz="0" w:space="0" w:color="auto"/>
                  </w:divBdr>
                </w:div>
              </w:divsChild>
            </w:div>
            <w:div w:id="1891265524">
              <w:marLeft w:val="0"/>
              <w:marRight w:val="0"/>
              <w:marTop w:val="0"/>
              <w:marBottom w:val="0"/>
              <w:divBdr>
                <w:top w:val="none" w:sz="0" w:space="0" w:color="auto"/>
                <w:left w:val="none" w:sz="0" w:space="0" w:color="auto"/>
                <w:bottom w:val="none" w:sz="0" w:space="0" w:color="auto"/>
                <w:right w:val="none" w:sz="0" w:space="0" w:color="auto"/>
              </w:divBdr>
              <w:divsChild>
                <w:div w:id="1640114529">
                  <w:marLeft w:val="0"/>
                  <w:marRight w:val="0"/>
                  <w:marTop w:val="0"/>
                  <w:marBottom w:val="0"/>
                  <w:divBdr>
                    <w:top w:val="none" w:sz="0" w:space="0" w:color="auto"/>
                    <w:left w:val="none" w:sz="0" w:space="0" w:color="auto"/>
                    <w:bottom w:val="none" w:sz="0" w:space="0" w:color="auto"/>
                    <w:right w:val="none" w:sz="0" w:space="0" w:color="auto"/>
                  </w:divBdr>
                </w:div>
              </w:divsChild>
            </w:div>
            <w:div w:id="377359681">
              <w:marLeft w:val="0"/>
              <w:marRight w:val="0"/>
              <w:marTop w:val="0"/>
              <w:marBottom w:val="0"/>
              <w:divBdr>
                <w:top w:val="none" w:sz="0" w:space="0" w:color="auto"/>
                <w:left w:val="none" w:sz="0" w:space="0" w:color="auto"/>
                <w:bottom w:val="none" w:sz="0" w:space="0" w:color="auto"/>
                <w:right w:val="none" w:sz="0" w:space="0" w:color="auto"/>
              </w:divBdr>
              <w:divsChild>
                <w:div w:id="570038821">
                  <w:marLeft w:val="0"/>
                  <w:marRight w:val="0"/>
                  <w:marTop w:val="0"/>
                  <w:marBottom w:val="0"/>
                  <w:divBdr>
                    <w:top w:val="none" w:sz="0" w:space="0" w:color="auto"/>
                    <w:left w:val="none" w:sz="0" w:space="0" w:color="auto"/>
                    <w:bottom w:val="none" w:sz="0" w:space="0" w:color="auto"/>
                    <w:right w:val="none" w:sz="0" w:space="0" w:color="auto"/>
                  </w:divBdr>
                </w:div>
              </w:divsChild>
            </w:div>
            <w:div w:id="1415396256">
              <w:marLeft w:val="0"/>
              <w:marRight w:val="0"/>
              <w:marTop w:val="0"/>
              <w:marBottom w:val="0"/>
              <w:divBdr>
                <w:top w:val="none" w:sz="0" w:space="0" w:color="auto"/>
                <w:left w:val="none" w:sz="0" w:space="0" w:color="auto"/>
                <w:bottom w:val="none" w:sz="0" w:space="0" w:color="auto"/>
                <w:right w:val="none" w:sz="0" w:space="0" w:color="auto"/>
              </w:divBdr>
              <w:divsChild>
                <w:div w:id="1876387075">
                  <w:marLeft w:val="0"/>
                  <w:marRight w:val="0"/>
                  <w:marTop w:val="0"/>
                  <w:marBottom w:val="0"/>
                  <w:divBdr>
                    <w:top w:val="none" w:sz="0" w:space="0" w:color="auto"/>
                    <w:left w:val="none" w:sz="0" w:space="0" w:color="auto"/>
                    <w:bottom w:val="none" w:sz="0" w:space="0" w:color="auto"/>
                    <w:right w:val="none" w:sz="0" w:space="0" w:color="auto"/>
                  </w:divBdr>
                </w:div>
              </w:divsChild>
            </w:div>
            <w:div w:id="7145534">
              <w:marLeft w:val="0"/>
              <w:marRight w:val="0"/>
              <w:marTop w:val="0"/>
              <w:marBottom w:val="0"/>
              <w:divBdr>
                <w:top w:val="none" w:sz="0" w:space="0" w:color="auto"/>
                <w:left w:val="none" w:sz="0" w:space="0" w:color="auto"/>
                <w:bottom w:val="none" w:sz="0" w:space="0" w:color="auto"/>
                <w:right w:val="none" w:sz="0" w:space="0" w:color="auto"/>
              </w:divBdr>
              <w:divsChild>
                <w:div w:id="240720704">
                  <w:marLeft w:val="0"/>
                  <w:marRight w:val="0"/>
                  <w:marTop w:val="0"/>
                  <w:marBottom w:val="0"/>
                  <w:divBdr>
                    <w:top w:val="none" w:sz="0" w:space="0" w:color="auto"/>
                    <w:left w:val="none" w:sz="0" w:space="0" w:color="auto"/>
                    <w:bottom w:val="none" w:sz="0" w:space="0" w:color="auto"/>
                    <w:right w:val="none" w:sz="0" w:space="0" w:color="auto"/>
                  </w:divBdr>
                </w:div>
              </w:divsChild>
            </w:div>
            <w:div w:id="349768117">
              <w:marLeft w:val="0"/>
              <w:marRight w:val="0"/>
              <w:marTop w:val="0"/>
              <w:marBottom w:val="0"/>
              <w:divBdr>
                <w:top w:val="none" w:sz="0" w:space="0" w:color="auto"/>
                <w:left w:val="none" w:sz="0" w:space="0" w:color="auto"/>
                <w:bottom w:val="none" w:sz="0" w:space="0" w:color="auto"/>
                <w:right w:val="none" w:sz="0" w:space="0" w:color="auto"/>
              </w:divBdr>
              <w:divsChild>
                <w:div w:id="1091856572">
                  <w:marLeft w:val="0"/>
                  <w:marRight w:val="0"/>
                  <w:marTop w:val="0"/>
                  <w:marBottom w:val="0"/>
                  <w:divBdr>
                    <w:top w:val="none" w:sz="0" w:space="0" w:color="auto"/>
                    <w:left w:val="none" w:sz="0" w:space="0" w:color="auto"/>
                    <w:bottom w:val="none" w:sz="0" w:space="0" w:color="auto"/>
                    <w:right w:val="none" w:sz="0" w:space="0" w:color="auto"/>
                  </w:divBdr>
                </w:div>
              </w:divsChild>
            </w:div>
            <w:div w:id="1029256876">
              <w:marLeft w:val="0"/>
              <w:marRight w:val="0"/>
              <w:marTop w:val="0"/>
              <w:marBottom w:val="0"/>
              <w:divBdr>
                <w:top w:val="none" w:sz="0" w:space="0" w:color="auto"/>
                <w:left w:val="none" w:sz="0" w:space="0" w:color="auto"/>
                <w:bottom w:val="none" w:sz="0" w:space="0" w:color="auto"/>
                <w:right w:val="none" w:sz="0" w:space="0" w:color="auto"/>
              </w:divBdr>
              <w:divsChild>
                <w:div w:id="1716008028">
                  <w:marLeft w:val="0"/>
                  <w:marRight w:val="0"/>
                  <w:marTop w:val="0"/>
                  <w:marBottom w:val="0"/>
                  <w:divBdr>
                    <w:top w:val="none" w:sz="0" w:space="0" w:color="auto"/>
                    <w:left w:val="none" w:sz="0" w:space="0" w:color="auto"/>
                    <w:bottom w:val="none" w:sz="0" w:space="0" w:color="auto"/>
                    <w:right w:val="none" w:sz="0" w:space="0" w:color="auto"/>
                  </w:divBdr>
                </w:div>
              </w:divsChild>
            </w:div>
            <w:div w:id="475874567">
              <w:marLeft w:val="0"/>
              <w:marRight w:val="0"/>
              <w:marTop w:val="0"/>
              <w:marBottom w:val="0"/>
              <w:divBdr>
                <w:top w:val="none" w:sz="0" w:space="0" w:color="auto"/>
                <w:left w:val="none" w:sz="0" w:space="0" w:color="auto"/>
                <w:bottom w:val="none" w:sz="0" w:space="0" w:color="auto"/>
                <w:right w:val="none" w:sz="0" w:space="0" w:color="auto"/>
              </w:divBdr>
              <w:divsChild>
                <w:div w:id="56435478">
                  <w:marLeft w:val="0"/>
                  <w:marRight w:val="0"/>
                  <w:marTop w:val="0"/>
                  <w:marBottom w:val="0"/>
                  <w:divBdr>
                    <w:top w:val="none" w:sz="0" w:space="0" w:color="auto"/>
                    <w:left w:val="none" w:sz="0" w:space="0" w:color="auto"/>
                    <w:bottom w:val="none" w:sz="0" w:space="0" w:color="auto"/>
                    <w:right w:val="none" w:sz="0" w:space="0" w:color="auto"/>
                  </w:divBdr>
                </w:div>
              </w:divsChild>
            </w:div>
            <w:div w:id="804011321">
              <w:marLeft w:val="0"/>
              <w:marRight w:val="0"/>
              <w:marTop w:val="0"/>
              <w:marBottom w:val="0"/>
              <w:divBdr>
                <w:top w:val="none" w:sz="0" w:space="0" w:color="auto"/>
                <w:left w:val="none" w:sz="0" w:space="0" w:color="auto"/>
                <w:bottom w:val="none" w:sz="0" w:space="0" w:color="auto"/>
                <w:right w:val="none" w:sz="0" w:space="0" w:color="auto"/>
              </w:divBdr>
              <w:divsChild>
                <w:div w:id="806169611">
                  <w:marLeft w:val="0"/>
                  <w:marRight w:val="0"/>
                  <w:marTop w:val="0"/>
                  <w:marBottom w:val="0"/>
                  <w:divBdr>
                    <w:top w:val="none" w:sz="0" w:space="0" w:color="auto"/>
                    <w:left w:val="none" w:sz="0" w:space="0" w:color="auto"/>
                    <w:bottom w:val="none" w:sz="0" w:space="0" w:color="auto"/>
                    <w:right w:val="none" w:sz="0" w:space="0" w:color="auto"/>
                  </w:divBdr>
                </w:div>
              </w:divsChild>
            </w:div>
            <w:div w:id="1206141209">
              <w:marLeft w:val="0"/>
              <w:marRight w:val="0"/>
              <w:marTop w:val="0"/>
              <w:marBottom w:val="0"/>
              <w:divBdr>
                <w:top w:val="none" w:sz="0" w:space="0" w:color="auto"/>
                <w:left w:val="none" w:sz="0" w:space="0" w:color="auto"/>
                <w:bottom w:val="none" w:sz="0" w:space="0" w:color="auto"/>
                <w:right w:val="none" w:sz="0" w:space="0" w:color="auto"/>
              </w:divBdr>
              <w:divsChild>
                <w:div w:id="1229878105">
                  <w:marLeft w:val="0"/>
                  <w:marRight w:val="0"/>
                  <w:marTop w:val="0"/>
                  <w:marBottom w:val="0"/>
                  <w:divBdr>
                    <w:top w:val="none" w:sz="0" w:space="0" w:color="auto"/>
                    <w:left w:val="none" w:sz="0" w:space="0" w:color="auto"/>
                    <w:bottom w:val="none" w:sz="0" w:space="0" w:color="auto"/>
                    <w:right w:val="none" w:sz="0" w:space="0" w:color="auto"/>
                  </w:divBdr>
                </w:div>
              </w:divsChild>
            </w:div>
            <w:div w:id="1445224055">
              <w:marLeft w:val="0"/>
              <w:marRight w:val="0"/>
              <w:marTop w:val="0"/>
              <w:marBottom w:val="0"/>
              <w:divBdr>
                <w:top w:val="none" w:sz="0" w:space="0" w:color="auto"/>
                <w:left w:val="none" w:sz="0" w:space="0" w:color="auto"/>
                <w:bottom w:val="none" w:sz="0" w:space="0" w:color="auto"/>
                <w:right w:val="none" w:sz="0" w:space="0" w:color="auto"/>
              </w:divBdr>
              <w:divsChild>
                <w:div w:id="1913468740">
                  <w:marLeft w:val="0"/>
                  <w:marRight w:val="0"/>
                  <w:marTop w:val="0"/>
                  <w:marBottom w:val="0"/>
                  <w:divBdr>
                    <w:top w:val="none" w:sz="0" w:space="0" w:color="auto"/>
                    <w:left w:val="none" w:sz="0" w:space="0" w:color="auto"/>
                    <w:bottom w:val="none" w:sz="0" w:space="0" w:color="auto"/>
                    <w:right w:val="none" w:sz="0" w:space="0" w:color="auto"/>
                  </w:divBdr>
                </w:div>
              </w:divsChild>
            </w:div>
            <w:div w:id="1422139821">
              <w:marLeft w:val="0"/>
              <w:marRight w:val="0"/>
              <w:marTop w:val="0"/>
              <w:marBottom w:val="0"/>
              <w:divBdr>
                <w:top w:val="none" w:sz="0" w:space="0" w:color="auto"/>
                <w:left w:val="none" w:sz="0" w:space="0" w:color="auto"/>
                <w:bottom w:val="none" w:sz="0" w:space="0" w:color="auto"/>
                <w:right w:val="none" w:sz="0" w:space="0" w:color="auto"/>
              </w:divBdr>
              <w:divsChild>
                <w:div w:id="510532846">
                  <w:marLeft w:val="0"/>
                  <w:marRight w:val="0"/>
                  <w:marTop w:val="0"/>
                  <w:marBottom w:val="0"/>
                  <w:divBdr>
                    <w:top w:val="none" w:sz="0" w:space="0" w:color="auto"/>
                    <w:left w:val="none" w:sz="0" w:space="0" w:color="auto"/>
                    <w:bottom w:val="none" w:sz="0" w:space="0" w:color="auto"/>
                    <w:right w:val="none" w:sz="0" w:space="0" w:color="auto"/>
                  </w:divBdr>
                </w:div>
              </w:divsChild>
            </w:div>
            <w:div w:id="772749947">
              <w:marLeft w:val="0"/>
              <w:marRight w:val="0"/>
              <w:marTop w:val="0"/>
              <w:marBottom w:val="0"/>
              <w:divBdr>
                <w:top w:val="none" w:sz="0" w:space="0" w:color="auto"/>
                <w:left w:val="none" w:sz="0" w:space="0" w:color="auto"/>
                <w:bottom w:val="none" w:sz="0" w:space="0" w:color="auto"/>
                <w:right w:val="none" w:sz="0" w:space="0" w:color="auto"/>
              </w:divBdr>
              <w:divsChild>
                <w:div w:id="2145151808">
                  <w:marLeft w:val="0"/>
                  <w:marRight w:val="0"/>
                  <w:marTop w:val="0"/>
                  <w:marBottom w:val="0"/>
                  <w:divBdr>
                    <w:top w:val="none" w:sz="0" w:space="0" w:color="auto"/>
                    <w:left w:val="none" w:sz="0" w:space="0" w:color="auto"/>
                    <w:bottom w:val="none" w:sz="0" w:space="0" w:color="auto"/>
                    <w:right w:val="none" w:sz="0" w:space="0" w:color="auto"/>
                  </w:divBdr>
                </w:div>
              </w:divsChild>
            </w:div>
            <w:div w:id="1315987035">
              <w:marLeft w:val="0"/>
              <w:marRight w:val="0"/>
              <w:marTop w:val="0"/>
              <w:marBottom w:val="0"/>
              <w:divBdr>
                <w:top w:val="none" w:sz="0" w:space="0" w:color="auto"/>
                <w:left w:val="none" w:sz="0" w:space="0" w:color="auto"/>
                <w:bottom w:val="none" w:sz="0" w:space="0" w:color="auto"/>
                <w:right w:val="none" w:sz="0" w:space="0" w:color="auto"/>
              </w:divBdr>
              <w:divsChild>
                <w:div w:id="752893515">
                  <w:marLeft w:val="0"/>
                  <w:marRight w:val="0"/>
                  <w:marTop w:val="0"/>
                  <w:marBottom w:val="0"/>
                  <w:divBdr>
                    <w:top w:val="none" w:sz="0" w:space="0" w:color="auto"/>
                    <w:left w:val="none" w:sz="0" w:space="0" w:color="auto"/>
                    <w:bottom w:val="none" w:sz="0" w:space="0" w:color="auto"/>
                    <w:right w:val="none" w:sz="0" w:space="0" w:color="auto"/>
                  </w:divBdr>
                </w:div>
              </w:divsChild>
            </w:div>
            <w:div w:id="1705056369">
              <w:marLeft w:val="0"/>
              <w:marRight w:val="0"/>
              <w:marTop w:val="0"/>
              <w:marBottom w:val="0"/>
              <w:divBdr>
                <w:top w:val="none" w:sz="0" w:space="0" w:color="auto"/>
                <w:left w:val="none" w:sz="0" w:space="0" w:color="auto"/>
                <w:bottom w:val="none" w:sz="0" w:space="0" w:color="auto"/>
                <w:right w:val="none" w:sz="0" w:space="0" w:color="auto"/>
              </w:divBdr>
              <w:divsChild>
                <w:div w:id="1603218464">
                  <w:marLeft w:val="0"/>
                  <w:marRight w:val="0"/>
                  <w:marTop w:val="0"/>
                  <w:marBottom w:val="0"/>
                  <w:divBdr>
                    <w:top w:val="none" w:sz="0" w:space="0" w:color="auto"/>
                    <w:left w:val="none" w:sz="0" w:space="0" w:color="auto"/>
                    <w:bottom w:val="none" w:sz="0" w:space="0" w:color="auto"/>
                    <w:right w:val="none" w:sz="0" w:space="0" w:color="auto"/>
                  </w:divBdr>
                </w:div>
              </w:divsChild>
            </w:div>
            <w:div w:id="132260045">
              <w:marLeft w:val="0"/>
              <w:marRight w:val="0"/>
              <w:marTop w:val="0"/>
              <w:marBottom w:val="0"/>
              <w:divBdr>
                <w:top w:val="none" w:sz="0" w:space="0" w:color="auto"/>
                <w:left w:val="none" w:sz="0" w:space="0" w:color="auto"/>
                <w:bottom w:val="none" w:sz="0" w:space="0" w:color="auto"/>
                <w:right w:val="none" w:sz="0" w:space="0" w:color="auto"/>
              </w:divBdr>
              <w:divsChild>
                <w:div w:id="890307721">
                  <w:marLeft w:val="0"/>
                  <w:marRight w:val="0"/>
                  <w:marTop w:val="0"/>
                  <w:marBottom w:val="0"/>
                  <w:divBdr>
                    <w:top w:val="none" w:sz="0" w:space="0" w:color="auto"/>
                    <w:left w:val="none" w:sz="0" w:space="0" w:color="auto"/>
                    <w:bottom w:val="none" w:sz="0" w:space="0" w:color="auto"/>
                    <w:right w:val="none" w:sz="0" w:space="0" w:color="auto"/>
                  </w:divBdr>
                </w:div>
              </w:divsChild>
            </w:div>
            <w:div w:id="226108262">
              <w:marLeft w:val="0"/>
              <w:marRight w:val="0"/>
              <w:marTop w:val="0"/>
              <w:marBottom w:val="0"/>
              <w:divBdr>
                <w:top w:val="none" w:sz="0" w:space="0" w:color="auto"/>
                <w:left w:val="none" w:sz="0" w:space="0" w:color="auto"/>
                <w:bottom w:val="none" w:sz="0" w:space="0" w:color="auto"/>
                <w:right w:val="none" w:sz="0" w:space="0" w:color="auto"/>
              </w:divBdr>
              <w:divsChild>
                <w:div w:id="1876968837">
                  <w:marLeft w:val="0"/>
                  <w:marRight w:val="0"/>
                  <w:marTop w:val="0"/>
                  <w:marBottom w:val="0"/>
                  <w:divBdr>
                    <w:top w:val="none" w:sz="0" w:space="0" w:color="auto"/>
                    <w:left w:val="none" w:sz="0" w:space="0" w:color="auto"/>
                    <w:bottom w:val="none" w:sz="0" w:space="0" w:color="auto"/>
                    <w:right w:val="none" w:sz="0" w:space="0" w:color="auto"/>
                  </w:divBdr>
                </w:div>
              </w:divsChild>
            </w:div>
            <w:div w:id="1593389218">
              <w:marLeft w:val="0"/>
              <w:marRight w:val="0"/>
              <w:marTop w:val="0"/>
              <w:marBottom w:val="0"/>
              <w:divBdr>
                <w:top w:val="none" w:sz="0" w:space="0" w:color="auto"/>
                <w:left w:val="none" w:sz="0" w:space="0" w:color="auto"/>
                <w:bottom w:val="none" w:sz="0" w:space="0" w:color="auto"/>
                <w:right w:val="none" w:sz="0" w:space="0" w:color="auto"/>
              </w:divBdr>
              <w:divsChild>
                <w:div w:id="346172952">
                  <w:marLeft w:val="0"/>
                  <w:marRight w:val="0"/>
                  <w:marTop w:val="0"/>
                  <w:marBottom w:val="0"/>
                  <w:divBdr>
                    <w:top w:val="none" w:sz="0" w:space="0" w:color="auto"/>
                    <w:left w:val="none" w:sz="0" w:space="0" w:color="auto"/>
                    <w:bottom w:val="none" w:sz="0" w:space="0" w:color="auto"/>
                    <w:right w:val="none" w:sz="0" w:space="0" w:color="auto"/>
                  </w:divBdr>
                </w:div>
              </w:divsChild>
            </w:div>
            <w:div w:id="851531678">
              <w:marLeft w:val="0"/>
              <w:marRight w:val="0"/>
              <w:marTop w:val="0"/>
              <w:marBottom w:val="0"/>
              <w:divBdr>
                <w:top w:val="none" w:sz="0" w:space="0" w:color="auto"/>
                <w:left w:val="none" w:sz="0" w:space="0" w:color="auto"/>
                <w:bottom w:val="none" w:sz="0" w:space="0" w:color="auto"/>
                <w:right w:val="none" w:sz="0" w:space="0" w:color="auto"/>
              </w:divBdr>
              <w:divsChild>
                <w:div w:id="1447121550">
                  <w:marLeft w:val="0"/>
                  <w:marRight w:val="0"/>
                  <w:marTop w:val="0"/>
                  <w:marBottom w:val="0"/>
                  <w:divBdr>
                    <w:top w:val="none" w:sz="0" w:space="0" w:color="auto"/>
                    <w:left w:val="none" w:sz="0" w:space="0" w:color="auto"/>
                    <w:bottom w:val="none" w:sz="0" w:space="0" w:color="auto"/>
                    <w:right w:val="none" w:sz="0" w:space="0" w:color="auto"/>
                  </w:divBdr>
                </w:div>
              </w:divsChild>
            </w:div>
            <w:div w:id="1431506788">
              <w:marLeft w:val="0"/>
              <w:marRight w:val="0"/>
              <w:marTop w:val="0"/>
              <w:marBottom w:val="0"/>
              <w:divBdr>
                <w:top w:val="none" w:sz="0" w:space="0" w:color="auto"/>
                <w:left w:val="none" w:sz="0" w:space="0" w:color="auto"/>
                <w:bottom w:val="none" w:sz="0" w:space="0" w:color="auto"/>
                <w:right w:val="none" w:sz="0" w:space="0" w:color="auto"/>
              </w:divBdr>
              <w:divsChild>
                <w:div w:id="1490973973">
                  <w:marLeft w:val="0"/>
                  <w:marRight w:val="0"/>
                  <w:marTop w:val="0"/>
                  <w:marBottom w:val="0"/>
                  <w:divBdr>
                    <w:top w:val="none" w:sz="0" w:space="0" w:color="auto"/>
                    <w:left w:val="none" w:sz="0" w:space="0" w:color="auto"/>
                    <w:bottom w:val="none" w:sz="0" w:space="0" w:color="auto"/>
                    <w:right w:val="none" w:sz="0" w:space="0" w:color="auto"/>
                  </w:divBdr>
                </w:div>
              </w:divsChild>
            </w:div>
            <w:div w:id="1799637980">
              <w:marLeft w:val="0"/>
              <w:marRight w:val="0"/>
              <w:marTop w:val="0"/>
              <w:marBottom w:val="0"/>
              <w:divBdr>
                <w:top w:val="none" w:sz="0" w:space="0" w:color="auto"/>
                <w:left w:val="none" w:sz="0" w:space="0" w:color="auto"/>
                <w:bottom w:val="none" w:sz="0" w:space="0" w:color="auto"/>
                <w:right w:val="none" w:sz="0" w:space="0" w:color="auto"/>
              </w:divBdr>
              <w:divsChild>
                <w:div w:id="1838685566">
                  <w:marLeft w:val="0"/>
                  <w:marRight w:val="0"/>
                  <w:marTop w:val="0"/>
                  <w:marBottom w:val="0"/>
                  <w:divBdr>
                    <w:top w:val="none" w:sz="0" w:space="0" w:color="auto"/>
                    <w:left w:val="none" w:sz="0" w:space="0" w:color="auto"/>
                    <w:bottom w:val="none" w:sz="0" w:space="0" w:color="auto"/>
                    <w:right w:val="none" w:sz="0" w:space="0" w:color="auto"/>
                  </w:divBdr>
                </w:div>
              </w:divsChild>
            </w:div>
            <w:div w:id="203097859">
              <w:marLeft w:val="0"/>
              <w:marRight w:val="0"/>
              <w:marTop w:val="0"/>
              <w:marBottom w:val="0"/>
              <w:divBdr>
                <w:top w:val="none" w:sz="0" w:space="0" w:color="auto"/>
                <w:left w:val="none" w:sz="0" w:space="0" w:color="auto"/>
                <w:bottom w:val="none" w:sz="0" w:space="0" w:color="auto"/>
                <w:right w:val="none" w:sz="0" w:space="0" w:color="auto"/>
              </w:divBdr>
              <w:divsChild>
                <w:div w:id="1481771179">
                  <w:marLeft w:val="0"/>
                  <w:marRight w:val="0"/>
                  <w:marTop w:val="0"/>
                  <w:marBottom w:val="0"/>
                  <w:divBdr>
                    <w:top w:val="none" w:sz="0" w:space="0" w:color="auto"/>
                    <w:left w:val="none" w:sz="0" w:space="0" w:color="auto"/>
                    <w:bottom w:val="none" w:sz="0" w:space="0" w:color="auto"/>
                    <w:right w:val="none" w:sz="0" w:space="0" w:color="auto"/>
                  </w:divBdr>
                </w:div>
              </w:divsChild>
            </w:div>
            <w:div w:id="2067024833">
              <w:marLeft w:val="0"/>
              <w:marRight w:val="0"/>
              <w:marTop w:val="0"/>
              <w:marBottom w:val="0"/>
              <w:divBdr>
                <w:top w:val="none" w:sz="0" w:space="0" w:color="auto"/>
                <w:left w:val="none" w:sz="0" w:space="0" w:color="auto"/>
                <w:bottom w:val="none" w:sz="0" w:space="0" w:color="auto"/>
                <w:right w:val="none" w:sz="0" w:space="0" w:color="auto"/>
              </w:divBdr>
              <w:divsChild>
                <w:div w:id="214852038">
                  <w:marLeft w:val="0"/>
                  <w:marRight w:val="0"/>
                  <w:marTop w:val="0"/>
                  <w:marBottom w:val="0"/>
                  <w:divBdr>
                    <w:top w:val="none" w:sz="0" w:space="0" w:color="auto"/>
                    <w:left w:val="none" w:sz="0" w:space="0" w:color="auto"/>
                    <w:bottom w:val="none" w:sz="0" w:space="0" w:color="auto"/>
                    <w:right w:val="none" w:sz="0" w:space="0" w:color="auto"/>
                  </w:divBdr>
                </w:div>
              </w:divsChild>
            </w:div>
            <w:div w:id="706030237">
              <w:marLeft w:val="0"/>
              <w:marRight w:val="0"/>
              <w:marTop w:val="0"/>
              <w:marBottom w:val="0"/>
              <w:divBdr>
                <w:top w:val="none" w:sz="0" w:space="0" w:color="auto"/>
                <w:left w:val="none" w:sz="0" w:space="0" w:color="auto"/>
                <w:bottom w:val="none" w:sz="0" w:space="0" w:color="auto"/>
                <w:right w:val="none" w:sz="0" w:space="0" w:color="auto"/>
              </w:divBdr>
              <w:divsChild>
                <w:div w:id="1311136498">
                  <w:marLeft w:val="0"/>
                  <w:marRight w:val="0"/>
                  <w:marTop w:val="0"/>
                  <w:marBottom w:val="0"/>
                  <w:divBdr>
                    <w:top w:val="none" w:sz="0" w:space="0" w:color="auto"/>
                    <w:left w:val="none" w:sz="0" w:space="0" w:color="auto"/>
                    <w:bottom w:val="none" w:sz="0" w:space="0" w:color="auto"/>
                    <w:right w:val="none" w:sz="0" w:space="0" w:color="auto"/>
                  </w:divBdr>
                </w:div>
              </w:divsChild>
            </w:div>
            <w:div w:id="1513371437">
              <w:marLeft w:val="0"/>
              <w:marRight w:val="0"/>
              <w:marTop w:val="0"/>
              <w:marBottom w:val="0"/>
              <w:divBdr>
                <w:top w:val="none" w:sz="0" w:space="0" w:color="auto"/>
                <w:left w:val="none" w:sz="0" w:space="0" w:color="auto"/>
                <w:bottom w:val="none" w:sz="0" w:space="0" w:color="auto"/>
                <w:right w:val="none" w:sz="0" w:space="0" w:color="auto"/>
              </w:divBdr>
              <w:divsChild>
                <w:div w:id="1625303662">
                  <w:marLeft w:val="0"/>
                  <w:marRight w:val="0"/>
                  <w:marTop w:val="0"/>
                  <w:marBottom w:val="0"/>
                  <w:divBdr>
                    <w:top w:val="none" w:sz="0" w:space="0" w:color="auto"/>
                    <w:left w:val="none" w:sz="0" w:space="0" w:color="auto"/>
                    <w:bottom w:val="none" w:sz="0" w:space="0" w:color="auto"/>
                    <w:right w:val="none" w:sz="0" w:space="0" w:color="auto"/>
                  </w:divBdr>
                </w:div>
              </w:divsChild>
            </w:div>
            <w:div w:id="1228766094">
              <w:marLeft w:val="0"/>
              <w:marRight w:val="0"/>
              <w:marTop w:val="0"/>
              <w:marBottom w:val="0"/>
              <w:divBdr>
                <w:top w:val="none" w:sz="0" w:space="0" w:color="auto"/>
                <w:left w:val="none" w:sz="0" w:space="0" w:color="auto"/>
                <w:bottom w:val="none" w:sz="0" w:space="0" w:color="auto"/>
                <w:right w:val="none" w:sz="0" w:space="0" w:color="auto"/>
              </w:divBdr>
              <w:divsChild>
                <w:div w:id="1112895077">
                  <w:marLeft w:val="0"/>
                  <w:marRight w:val="0"/>
                  <w:marTop w:val="0"/>
                  <w:marBottom w:val="0"/>
                  <w:divBdr>
                    <w:top w:val="none" w:sz="0" w:space="0" w:color="auto"/>
                    <w:left w:val="none" w:sz="0" w:space="0" w:color="auto"/>
                    <w:bottom w:val="none" w:sz="0" w:space="0" w:color="auto"/>
                    <w:right w:val="none" w:sz="0" w:space="0" w:color="auto"/>
                  </w:divBdr>
                </w:div>
              </w:divsChild>
            </w:div>
            <w:div w:id="1413312564">
              <w:marLeft w:val="0"/>
              <w:marRight w:val="0"/>
              <w:marTop w:val="0"/>
              <w:marBottom w:val="0"/>
              <w:divBdr>
                <w:top w:val="none" w:sz="0" w:space="0" w:color="auto"/>
                <w:left w:val="none" w:sz="0" w:space="0" w:color="auto"/>
                <w:bottom w:val="none" w:sz="0" w:space="0" w:color="auto"/>
                <w:right w:val="none" w:sz="0" w:space="0" w:color="auto"/>
              </w:divBdr>
              <w:divsChild>
                <w:div w:id="438069414">
                  <w:marLeft w:val="0"/>
                  <w:marRight w:val="0"/>
                  <w:marTop w:val="0"/>
                  <w:marBottom w:val="0"/>
                  <w:divBdr>
                    <w:top w:val="none" w:sz="0" w:space="0" w:color="auto"/>
                    <w:left w:val="none" w:sz="0" w:space="0" w:color="auto"/>
                    <w:bottom w:val="none" w:sz="0" w:space="0" w:color="auto"/>
                    <w:right w:val="none" w:sz="0" w:space="0" w:color="auto"/>
                  </w:divBdr>
                </w:div>
              </w:divsChild>
            </w:div>
            <w:div w:id="194582768">
              <w:marLeft w:val="0"/>
              <w:marRight w:val="0"/>
              <w:marTop w:val="0"/>
              <w:marBottom w:val="0"/>
              <w:divBdr>
                <w:top w:val="none" w:sz="0" w:space="0" w:color="auto"/>
                <w:left w:val="none" w:sz="0" w:space="0" w:color="auto"/>
                <w:bottom w:val="none" w:sz="0" w:space="0" w:color="auto"/>
                <w:right w:val="none" w:sz="0" w:space="0" w:color="auto"/>
              </w:divBdr>
              <w:divsChild>
                <w:div w:id="343558773">
                  <w:marLeft w:val="0"/>
                  <w:marRight w:val="0"/>
                  <w:marTop w:val="0"/>
                  <w:marBottom w:val="0"/>
                  <w:divBdr>
                    <w:top w:val="none" w:sz="0" w:space="0" w:color="auto"/>
                    <w:left w:val="none" w:sz="0" w:space="0" w:color="auto"/>
                    <w:bottom w:val="none" w:sz="0" w:space="0" w:color="auto"/>
                    <w:right w:val="none" w:sz="0" w:space="0" w:color="auto"/>
                  </w:divBdr>
                </w:div>
              </w:divsChild>
            </w:div>
            <w:div w:id="1867055495">
              <w:marLeft w:val="0"/>
              <w:marRight w:val="0"/>
              <w:marTop w:val="0"/>
              <w:marBottom w:val="0"/>
              <w:divBdr>
                <w:top w:val="none" w:sz="0" w:space="0" w:color="auto"/>
                <w:left w:val="none" w:sz="0" w:space="0" w:color="auto"/>
                <w:bottom w:val="none" w:sz="0" w:space="0" w:color="auto"/>
                <w:right w:val="none" w:sz="0" w:space="0" w:color="auto"/>
              </w:divBdr>
              <w:divsChild>
                <w:div w:id="823669753">
                  <w:marLeft w:val="0"/>
                  <w:marRight w:val="0"/>
                  <w:marTop w:val="0"/>
                  <w:marBottom w:val="0"/>
                  <w:divBdr>
                    <w:top w:val="none" w:sz="0" w:space="0" w:color="auto"/>
                    <w:left w:val="none" w:sz="0" w:space="0" w:color="auto"/>
                    <w:bottom w:val="none" w:sz="0" w:space="0" w:color="auto"/>
                    <w:right w:val="none" w:sz="0" w:space="0" w:color="auto"/>
                  </w:divBdr>
                </w:div>
              </w:divsChild>
            </w:div>
            <w:div w:id="1911228190">
              <w:marLeft w:val="0"/>
              <w:marRight w:val="0"/>
              <w:marTop w:val="0"/>
              <w:marBottom w:val="0"/>
              <w:divBdr>
                <w:top w:val="none" w:sz="0" w:space="0" w:color="auto"/>
                <w:left w:val="none" w:sz="0" w:space="0" w:color="auto"/>
                <w:bottom w:val="none" w:sz="0" w:space="0" w:color="auto"/>
                <w:right w:val="none" w:sz="0" w:space="0" w:color="auto"/>
              </w:divBdr>
              <w:divsChild>
                <w:div w:id="28527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785146">
          <w:marLeft w:val="0"/>
          <w:marRight w:val="0"/>
          <w:marTop w:val="0"/>
          <w:marBottom w:val="0"/>
          <w:divBdr>
            <w:top w:val="none" w:sz="0" w:space="0" w:color="auto"/>
            <w:left w:val="none" w:sz="0" w:space="0" w:color="auto"/>
            <w:bottom w:val="none" w:sz="0" w:space="0" w:color="auto"/>
            <w:right w:val="none" w:sz="0" w:space="0" w:color="auto"/>
          </w:divBdr>
        </w:div>
      </w:divsChild>
    </w:div>
    <w:div w:id="1026372212">
      <w:bodyDiv w:val="1"/>
      <w:marLeft w:val="0"/>
      <w:marRight w:val="0"/>
      <w:marTop w:val="0"/>
      <w:marBottom w:val="0"/>
      <w:divBdr>
        <w:top w:val="none" w:sz="0" w:space="0" w:color="auto"/>
        <w:left w:val="none" w:sz="0" w:space="0" w:color="auto"/>
        <w:bottom w:val="none" w:sz="0" w:space="0" w:color="auto"/>
        <w:right w:val="none" w:sz="0" w:space="0" w:color="auto"/>
      </w:divBdr>
      <w:divsChild>
        <w:div w:id="1012730942">
          <w:marLeft w:val="0"/>
          <w:marRight w:val="0"/>
          <w:marTop w:val="0"/>
          <w:marBottom w:val="0"/>
          <w:divBdr>
            <w:top w:val="none" w:sz="0" w:space="0" w:color="auto"/>
            <w:left w:val="none" w:sz="0" w:space="0" w:color="auto"/>
            <w:bottom w:val="none" w:sz="0" w:space="0" w:color="auto"/>
            <w:right w:val="none" w:sz="0" w:space="0" w:color="auto"/>
          </w:divBdr>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159/000510614" TargetMode="External"/><Relationship Id="rId13" Type="http://schemas.openxmlformats.org/officeDocument/2006/relationships/hyperlink" Target="https://www.karger.com/WebMaterial/ShowPic/1238639" TargetMode="External"/><Relationship Id="rId18" Type="http://schemas.openxmlformats.org/officeDocument/2006/relationships/image" Target="media/image5.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https://www.karger.com/WebMaterial/ShowPic/1238637"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karger.com/WebMaterial/ShowPic/1238640" TargetMode="External"/><Relationship Id="rId5" Type="http://schemas.openxmlformats.org/officeDocument/2006/relationships/styles" Target="styles.xml"/><Relationship Id="rId15" Type="http://schemas.openxmlformats.org/officeDocument/2006/relationships/hyperlink" Target="https://www.karger.com/WebMaterial/ShowPic/1238638"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15</Pages>
  <Words>6075</Words>
  <Characters>34633</Characters>
  <Application>Microsoft Office Word</Application>
  <DocSecurity>8</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30</cp:revision>
  <dcterms:created xsi:type="dcterms:W3CDTF">2021-07-29T15:51:00Z</dcterms:created>
  <dcterms:modified xsi:type="dcterms:W3CDTF">2021-12-21T20:18:00Z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