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F64E51C" w:rsidR="000A7622" w:rsidRPr="00C04F25" w:rsidRDefault="0083159E"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996F21C" w:rsidR="00440BC4" w:rsidRDefault="005820ED" w:rsidP="00A6156D">
      <w:pPr>
        <w:rPr>
          <w:b/>
          <w:bCs/>
          <w:sz w:val="24"/>
          <w:szCs w:val="24"/>
        </w:rPr>
      </w:pPr>
      <w:r>
        <w:rPr>
          <w:i/>
          <w:iCs/>
          <w:sz w:val="24"/>
          <w:szCs w:val="24"/>
          <w:lang w:val="fr-FR"/>
        </w:rPr>
        <w:t xml:space="preserve">International Journal of </w:t>
      </w:r>
      <w:proofErr w:type="spellStart"/>
      <w:r>
        <w:rPr>
          <w:i/>
          <w:iCs/>
          <w:sz w:val="24"/>
          <w:szCs w:val="24"/>
          <w:lang w:val="fr-FR"/>
        </w:rPr>
        <w:t>Hyperthermia</w:t>
      </w:r>
      <w:proofErr w:type="spellEnd"/>
      <w:r w:rsidR="000A7622" w:rsidRPr="63C1CD34">
        <w:rPr>
          <w:sz w:val="24"/>
          <w:szCs w:val="24"/>
          <w:lang w:val="fr-FR"/>
        </w:rPr>
        <w:t xml:space="preserve">, Vol. </w:t>
      </w:r>
      <w:r>
        <w:rPr>
          <w:sz w:val="24"/>
          <w:szCs w:val="24"/>
          <w:lang w:val="fr-FR"/>
        </w:rPr>
        <w:t>35</w:t>
      </w:r>
      <w:r w:rsidR="000A7622" w:rsidRPr="63C1CD34">
        <w:rPr>
          <w:sz w:val="24"/>
          <w:szCs w:val="24"/>
          <w:lang w:val="fr-FR"/>
        </w:rPr>
        <w:t xml:space="preserve">, No. </w:t>
      </w:r>
      <w:r>
        <w:rPr>
          <w:sz w:val="24"/>
          <w:szCs w:val="24"/>
          <w:lang w:val="fr-FR"/>
        </w:rPr>
        <w:t>1</w:t>
      </w:r>
      <w:r w:rsidR="000A7622" w:rsidRPr="63C1CD34">
        <w:rPr>
          <w:sz w:val="24"/>
          <w:szCs w:val="24"/>
          <w:lang w:val="fr-FR"/>
        </w:rPr>
        <w:t xml:space="preserve"> (</w:t>
      </w:r>
      <w:r>
        <w:rPr>
          <w:sz w:val="24"/>
          <w:szCs w:val="24"/>
          <w:lang w:val="fr-FR"/>
        </w:rPr>
        <w:t>2018</w:t>
      </w:r>
      <w:proofErr w:type="gramStart"/>
      <w:r w:rsidR="000A7622" w:rsidRPr="63C1CD34">
        <w:rPr>
          <w:sz w:val="24"/>
          <w:szCs w:val="24"/>
          <w:lang w:val="fr-FR"/>
        </w:rPr>
        <w:t>):</w:t>
      </w:r>
      <w:proofErr w:type="gramEnd"/>
      <w:r w:rsidR="000A7622" w:rsidRPr="63C1CD34">
        <w:rPr>
          <w:sz w:val="24"/>
          <w:szCs w:val="24"/>
          <w:lang w:val="fr-FR"/>
        </w:rPr>
        <w:t xml:space="preserve"> </w:t>
      </w:r>
      <w:r>
        <w:rPr>
          <w:sz w:val="24"/>
          <w:szCs w:val="24"/>
          <w:lang w:val="fr-FR"/>
        </w:rPr>
        <w:t>176-182</w:t>
      </w:r>
      <w:r w:rsidR="000A7622" w:rsidRPr="63C1CD34">
        <w:rPr>
          <w:sz w:val="24"/>
          <w:szCs w:val="24"/>
          <w:lang w:val="fr-FR"/>
        </w:rPr>
        <w:t xml:space="preserve">. </w:t>
      </w:r>
      <w:hyperlink r:id="rId8">
        <w:r w:rsidR="000A7622" w:rsidRPr="63C1CD34">
          <w:rPr>
            <w:color w:val="0563C1"/>
            <w:sz w:val="24"/>
            <w:szCs w:val="24"/>
            <w:u w:val="single"/>
            <w:lang w:val="fr-FR"/>
          </w:rPr>
          <w:t>DOI</w:t>
        </w:r>
      </w:hyperlink>
      <w:r w:rsidR="000A7622" w:rsidRPr="63C1CD34">
        <w:rPr>
          <w:sz w:val="24"/>
          <w:szCs w:val="24"/>
          <w:lang w:val="fr-FR"/>
        </w:rPr>
        <w:t xml:space="preserve">. </w:t>
      </w:r>
      <w:r w:rsidR="000A7622" w:rsidRPr="63C1CD34">
        <w:rPr>
          <w:sz w:val="24"/>
          <w:szCs w:val="24"/>
        </w:rPr>
        <w:t>This article is ©</w:t>
      </w:r>
      <w:r w:rsidR="00BB08B5">
        <w:rPr>
          <w:sz w:val="24"/>
          <w:szCs w:val="24"/>
        </w:rPr>
        <w:t xml:space="preserve"> 2018</w:t>
      </w:r>
      <w:r w:rsidR="000A7622" w:rsidRPr="63C1CD34">
        <w:rPr>
          <w:sz w:val="24"/>
          <w:szCs w:val="24"/>
        </w:rPr>
        <w:t xml:space="preserve"> </w:t>
      </w:r>
      <w:r w:rsidR="009B7445">
        <w:rPr>
          <w:sz w:val="24"/>
          <w:szCs w:val="24"/>
        </w:rPr>
        <w:t>T</w:t>
      </w:r>
      <w:r w:rsidR="009B7445" w:rsidRPr="009B7445">
        <w:rPr>
          <w:sz w:val="24"/>
          <w:szCs w:val="24"/>
        </w:rPr>
        <w:t>he Author(s). Published with</w:t>
      </w:r>
      <w:r w:rsidR="00BB08B5">
        <w:rPr>
          <w:sz w:val="24"/>
          <w:szCs w:val="24"/>
        </w:rPr>
        <w:t xml:space="preserve"> license by Taylor &amp;</w:t>
      </w:r>
      <w:r w:rsidR="009B7445" w:rsidRPr="009B7445">
        <w:rPr>
          <w:sz w:val="24"/>
          <w:szCs w:val="24"/>
        </w:rPr>
        <w:t>Francis Group, LLC</w:t>
      </w:r>
      <w:r w:rsidR="00BB08B5">
        <w:rPr>
          <w:sz w:val="24"/>
          <w:szCs w:val="24"/>
        </w:rPr>
        <w:t>. P</w:t>
      </w:r>
      <w:r w:rsidR="000A7622" w:rsidRPr="63C1CD34">
        <w:rPr>
          <w:sz w:val="24"/>
          <w:szCs w:val="24"/>
        </w:rPr>
        <w:t xml:space="preserve">ermission has been granted for this version to appear in </w:t>
      </w:r>
      <w:hyperlink r:id="rId9">
        <w:r w:rsidR="000A7622" w:rsidRPr="63C1CD34">
          <w:rPr>
            <w:color w:val="0563C1"/>
            <w:sz w:val="24"/>
            <w:szCs w:val="24"/>
            <w:u w:val="single"/>
          </w:rPr>
          <w:t>e-Publications@Marquette</w:t>
        </w:r>
      </w:hyperlink>
      <w:r w:rsidR="000A7622" w:rsidRPr="63C1CD34">
        <w:rPr>
          <w:sz w:val="24"/>
          <w:szCs w:val="24"/>
        </w:rPr>
        <w:t xml:space="preserve">. </w:t>
      </w:r>
      <w:bookmarkEnd w:id="1"/>
      <w:r w:rsidR="00A6156D" w:rsidRPr="00A6156D">
        <w:rPr>
          <w:sz w:val="24"/>
          <w:szCs w:val="24"/>
        </w:rPr>
        <w:t>This is an Open Access article distributed under the terms of the Creative Commons Attribution License (http://creativecommons.org/licenses/by/4.0/), which permits unrestricted use,</w:t>
      </w:r>
      <w:r w:rsidR="00A6156D">
        <w:rPr>
          <w:sz w:val="24"/>
          <w:szCs w:val="24"/>
        </w:rPr>
        <w:t xml:space="preserve"> </w:t>
      </w:r>
      <w:r w:rsidR="00A6156D" w:rsidRPr="00A6156D">
        <w:rPr>
          <w:sz w:val="24"/>
          <w:szCs w:val="24"/>
        </w:rPr>
        <w:t>distribution, and reproduction in any medium, provided the original work is properly cited.</w:t>
      </w:r>
    </w:p>
    <w:p w14:paraId="664667EB" w14:textId="717B98C2" w:rsidR="63C1CD34" w:rsidRDefault="63C1CD34" w:rsidP="63C1CD34">
      <w:pPr>
        <w:rPr>
          <w:b/>
          <w:bCs/>
          <w:sz w:val="24"/>
          <w:szCs w:val="24"/>
        </w:rPr>
      </w:pPr>
    </w:p>
    <w:p w14:paraId="6B4A2731" w14:textId="79B21DF3" w:rsidR="00F01333" w:rsidRDefault="004D6C5E" w:rsidP="63C1CD34">
      <w:pPr>
        <w:pStyle w:val="Title"/>
        <w:rPr>
          <w:rFonts w:ascii="Calibri Light" w:eastAsia="MS Gothic" w:hAnsi="Calibri Light" w:cs="Times New Roman"/>
          <w:b/>
          <w:bCs/>
        </w:rPr>
      </w:pPr>
      <w:r>
        <w:t xml:space="preserve">Real </w:t>
      </w:r>
      <w:r w:rsidR="005F4F6B">
        <w:t>Time Evaluation of Tissue Optical Properties During Thermal Ablation of </w:t>
      </w:r>
      <w:r w:rsidR="005F4F6B" w:rsidRPr="005F4F6B">
        <w:rPr>
          <w:i/>
          <w:iCs/>
        </w:rPr>
        <w:t>Ex Vivo</w:t>
      </w:r>
      <w:r w:rsidR="005F4F6B">
        <w:t> Liver Tissues</w:t>
      </w:r>
    </w:p>
    <w:p w14:paraId="00FDD0ED" w14:textId="77777777" w:rsidR="004D6C5E" w:rsidRDefault="004D6C5E" w:rsidP="63C1CD34">
      <w:pPr>
        <w:rPr>
          <w:b/>
          <w:bCs/>
          <w:sz w:val="24"/>
          <w:szCs w:val="24"/>
        </w:rPr>
      </w:pPr>
    </w:p>
    <w:p w14:paraId="3C1CCC7F" w14:textId="4571AF9B" w:rsidR="63C1CD34" w:rsidRDefault="63C1CD34" w:rsidP="63C1CD34">
      <w:pPr>
        <w:pStyle w:val="NoSpacing"/>
        <w:rPr>
          <w:sz w:val="28"/>
          <w:szCs w:val="28"/>
        </w:rPr>
      </w:pPr>
      <w:r w:rsidRPr="63C1CD34">
        <w:rPr>
          <w:sz w:val="28"/>
          <w:szCs w:val="28"/>
        </w:rPr>
        <w:t>Vivek K. Nagarajan</w:t>
      </w:r>
    </w:p>
    <w:p w14:paraId="7DE73B50" w14:textId="29D7C87A" w:rsidR="63C1CD34" w:rsidRDefault="63C1CD34" w:rsidP="63C1CD34">
      <w:pPr>
        <w:pStyle w:val="NoSpacing"/>
      </w:pPr>
      <w:r w:rsidRPr="63C1CD34">
        <w:t>Department of Biomedical Engineering, Marquette University and Medical College of Wisconsin, Milwaukee, WI, USA</w:t>
      </w:r>
    </w:p>
    <w:p w14:paraId="1690A9C1" w14:textId="5D01D93D" w:rsidR="63C1CD34" w:rsidRDefault="63C1CD34" w:rsidP="63C1CD34">
      <w:pPr>
        <w:pStyle w:val="NoSpacing"/>
        <w:rPr>
          <w:sz w:val="28"/>
          <w:szCs w:val="28"/>
        </w:rPr>
      </w:pPr>
      <w:proofErr w:type="spellStart"/>
      <w:r w:rsidRPr="63C1CD34">
        <w:rPr>
          <w:sz w:val="28"/>
          <w:szCs w:val="28"/>
        </w:rPr>
        <w:t>Venkateswara</w:t>
      </w:r>
      <w:proofErr w:type="spellEnd"/>
      <w:r w:rsidRPr="63C1CD34">
        <w:rPr>
          <w:sz w:val="28"/>
          <w:szCs w:val="28"/>
        </w:rPr>
        <w:t xml:space="preserve"> R. </w:t>
      </w:r>
      <w:proofErr w:type="spellStart"/>
      <w:r w:rsidRPr="63C1CD34">
        <w:rPr>
          <w:sz w:val="28"/>
          <w:szCs w:val="28"/>
        </w:rPr>
        <w:t>Gogineni</w:t>
      </w:r>
      <w:proofErr w:type="spellEnd"/>
    </w:p>
    <w:p w14:paraId="59EC09D7" w14:textId="22C29575" w:rsidR="63C1CD34" w:rsidRDefault="63C1CD34" w:rsidP="63C1CD34">
      <w:pPr>
        <w:pStyle w:val="NoSpacing"/>
      </w:pPr>
      <w:r w:rsidRPr="63C1CD34">
        <w:t>Department of Radiology, Division of Vascular Interventional Radiology, Medical College of Wisconsin, Milwaukee, WI, USA</w:t>
      </w:r>
    </w:p>
    <w:p w14:paraId="0422DB0C" w14:textId="57A29C31" w:rsidR="63C1CD34" w:rsidRDefault="63C1CD34" w:rsidP="63C1CD34">
      <w:pPr>
        <w:pStyle w:val="NoSpacing"/>
        <w:rPr>
          <w:sz w:val="28"/>
          <w:szCs w:val="28"/>
        </w:rPr>
      </w:pPr>
      <w:r w:rsidRPr="63C1CD34">
        <w:rPr>
          <w:sz w:val="28"/>
          <w:szCs w:val="28"/>
        </w:rPr>
        <w:t>Sarah B. White</w:t>
      </w:r>
    </w:p>
    <w:p w14:paraId="4AA1F83A" w14:textId="0840D461" w:rsidR="63C1CD34" w:rsidRDefault="63C1CD34" w:rsidP="63C1CD34">
      <w:pPr>
        <w:pStyle w:val="NoSpacing"/>
      </w:pPr>
      <w:r w:rsidRPr="63C1CD34">
        <w:t>Department of Radiology, Division of Vascular Interventional Radiology, Medical College of Wisconsin, Milwaukee, WI, USA</w:t>
      </w:r>
    </w:p>
    <w:p w14:paraId="5D2E7E69" w14:textId="28EEDD7E" w:rsidR="63C1CD34" w:rsidRDefault="63C1CD34" w:rsidP="63C1CD34">
      <w:pPr>
        <w:pStyle w:val="NoSpacing"/>
        <w:rPr>
          <w:sz w:val="28"/>
          <w:szCs w:val="28"/>
        </w:rPr>
      </w:pPr>
      <w:r w:rsidRPr="63C1CD34">
        <w:rPr>
          <w:sz w:val="28"/>
          <w:szCs w:val="28"/>
        </w:rPr>
        <w:t>Bing Yu</w:t>
      </w:r>
    </w:p>
    <w:p w14:paraId="18C4AB64" w14:textId="2786C6EE" w:rsidR="63C1CD34" w:rsidRDefault="63C1CD34" w:rsidP="63C1CD34">
      <w:pPr>
        <w:pStyle w:val="NoSpacing"/>
      </w:pPr>
      <w:r w:rsidRPr="63C1CD34">
        <w:t>Department of Biomedical Engineering, Marquette University and Medical College of Wisconsin, Milwaukee, WI, USA</w:t>
      </w:r>
    </w:p>
    <w:p w14:paraId="7809EB88" w14:textId="2AD8B27D" w:rsidR="63C1CD34" w:rsidRDefault="63C1CD34" w:rsidP="63C1CD34">
      <w:pPr>
        <w:rPr>
          <w:b/>
          <w:bCs/>
          <w:sz w:val="24"/>
          <w:szCs w:val="24"/>
        </w:rPr>
      </w:pPr>
    </w:p>
    <w:p w14:paraId="60514FF9" w14:textId="77777777" w:rsidR="00472D32" w:rsidRDefault="00472D32" w:rsidP="63C1CD34">
      <w:pPr>
        <w:pStyle w:val="Heading1"/>
        <w:rPr>
          <w:rFonts w:ascii="Calibri Light" w:eastAsia="MS Gothic" w:hAnsi="Calibri Light" w:cs="Times New Roman"/>
          <w:b/>
          <w:bCs/>
        </w:rPr>
      </w:pPr>
      <w:r>
        <w:lastRenderedPageBreak/>
        <w:t>Abstract</w:t>
      </w:r>
    </w:p>
    <w:p w14:paraId="4A09B9C5" w14:textId="5B13F000" w:rsidR="00D74A69" w:rsidRPr="00D74A69" w:rsidRDefault="00D74A69" w:rsidP="00D74A69">
      <w:pPr>
        <w:rPr>
          <w:rFonts w:cstheme="minorHAnsi"/>
          <w:sz w:val="24"/>
          <w:szCs w:val="24"/>
        </w:rPr>
      </w:pPr>
      <w:r w:rsidRPr="00D74A69">
        <w:rPr>
          <w:rFonts w:cstheme="minorHAnsi"/>
          <w:sz w:val="24"/>
          <w:szCs w:val="24"/>
        </w:rPr>
        <w:t>Complete ablation of liver tumors is vital for minimizing the risk of local tumor recurrence. Accurately identifying the hallmarks of tissue necrosis during thermal ablative therapies may significantly increase the efficacy of ablation, while minimizing unnecessary damage to the surrounding normal tissues or critical structures. Light propagation in biological tissues is sensitive to the tissue microstructure and chromophore concentrations. In our previous studies, we found that the wavelength (</w:t>
      </w:r>
      <w:r w:rsidRPr="00D74A69">
        <w:rPr>
          <w:rFonts w:cstheme="minorHAnsi"/>
          <w:i/>
          <w:iCs/>
          <w:sz w:val="24"/>
          <w:szCs w:val="24"/>
        </w:rPr>
        <w:t>λ</w:t>
      </w:r>
      <w:r w:rsidRPr="00D74A69">
        <w:rPr>
          <w:rFonts w:cstheme="minorHAnsi"/>
          <w:sz w:val="24"/>
          <w:szCs w:val="24"/>
        </w:rPr>
        <w:t xml:space="preserve">) averaged liver tissue absorption coefficient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oMath>
      <w:r w:rsidRPr="00D74A69">
        <w:rPr>
          <w:rFonts w:cstheme="minorHAnsi"/>
          <w:sz w:val="24"/>
          <w:szCs w:val="24"/>
        </w:rPr>
        <w:t xml:space="preserve"> and reduced scattering coefficient </w:t>
      </w:r>
      <m:oMath>
        <m:r>
          <w:rPr>
            <w:rFonts w:ascii="Cambria Math" w:hAnsi="Cambria Math" w:cstheme="minorHAnsi"/>
            <w:sz w:val="24"/>
            <w:szCs w:val="24"/>
          </w:rPr>
          <m:t>(</m:t>
        </m:r>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r>
          <w:rPr>
            <w:rFonts w:ascii="Cambria Math" w:hAnsi="Cambria Math" w:cstheme="minorHAnsi"/>
            <w:sz w:val="24"/>
            <w:szCs w:val="24"/>
          </w:rPr>
          <m:t>)</m:t>
        </m:r>
      </m:oMath>
      <w:r w:rsidRPr="00D74A69">
        <w:rPr>
          <w:rFonts w:cstheme="minorHAnsi"/>
          <w:sz w:val="24"/>
          <w:szCs w:val="24"/>
        </w:rPr>
        <w:t xml:space="preserve"> change significantly upon heating which may be used for assessment of tissue damage during thermal ablation of solid tumors. Here, we seek to demonstrate the use of an integrated fiber-optic probe for continuous monitoring of the local tissue temperature (</w:t>
      </w:r>
      <w:r w:rsidRPr="00D74A69">
        <w:rPr>
          <w:rFonts w:cstheme="minorHAnsi"/>
          <w:i/>
          <w:iCs/>
          <w:sz w:val="24"/>
          <w:szCs w:val="24"/>
        </w:rPr>
        <w:t>T</w:t>
      </w:r>
      <w:r w:rsidRPr="00D74A69">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and </w:t>
      </w:r>
      <w:bookmarkStart w:id="2" w:name="_Hlk100051495"/>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w:bookmarkEnd w:id="2"/>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during thermal ablation of </w:t>
      </w:r>
      <w:r w:rsidRPr="00D74A69">
        <w:rPr>
          <w:rFonts w:cstheme="minorHAnsi"/>
          <w:i/>
          <w:iCs/>
          <w:sz w:val="24"/>
          <w:szCs w:val="24"/>
        </w:rPr>
        <w:t>ex vivo</w:t>
      </w:r>
      <w:r w:rsidRPr="00D74A69">
        <w:rPr>
          <w:rFonts w:cstheme="minorHAnsi"/>
          <w:sz w:val="24"/>
          <w:szCs w:val="24"/>
        </w:rPr>
        <w:t> porcine livers. The wavelength-averaged (435–630 nm) tissue absorption and scattering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 increased rapidly at 45 °C and plateaued at 67 °C. The mean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for liver tissue at 37 °C (</w:t>
      </w:r>
      <w:r w:rsidRPr="00D74A69">
        <w:rPr>
          <w:rFonts w:cstheme="minorHAnsi"/>
          <w:i/>
          <w:iCs/>
          <w:sz w:val="24"/>
          <w:szCs w:val="24"/>
        </w:rPr>
        <w:t>n</w:t>
      </w:r>
      <w:r w:rsidRPr="00D74A69">
        <w:rPr>
          <w:rFonts w:cstheme="minorHAnsi"/>
          <w:sz w:val="24"/>
          <w:szCs w:val="24"/>
        </w:rPr>
        <w:t> = 10) were 8.5 ± 3.7 and 2.8 ± 1.1 </w:t>
      </w:r>
      <w:proofErr w:type="gramStart"/>
      <w:r w:rsidRPr="00D74A69">
        <w:rPr>
          <w:rFonts w:cstheme="minorHAnsi"/>
          <w:sz w:val="24"/>
          <w:szCs w:val="24"/>
        </w:rPr>
        <w:t>cm</w:t>
      </w:r>
      <w:r w:rsidRPr="00D74A69">
        <w:rPr>
          <w:rFonts w:cstheme="minorHAnsi"/>
          <w:sz w:val="24"/>
          <w:szCs w:val="24"/>
          <w:vertAlign w:val="superscript"/>
        </w:rPr>
        <w:t>−1</w:t>
      </w:r>
      <w:proofErr w:type="gramEnd"/>
      <w:r w:rsidRPr="00D74A69">
        <w:rPr>
          <w:rFonts w:cstheme="minorHAnsi"/>
          <w:sz w:val="24"/>
          <w:szCs w:val="24"/>
        </w:rPr>
        <w:t>, respectively. The relative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at 37, 55, and 65 °C were significantly different (</w:t>
      </w:r>
      <w:r w:rsidRPr="00D74A69">
        <w:rPr>
          <w:rFonts w:cstheme="minorHAnsi"/>
          <w:i/>
          <w:iCs/>
          <w:sz w:val="24"/>
          <w:szCs w:val="24"/>
        </w:rPr>
        <w:t>p</w:t>
      </w:r>
      <w:r w:rsidRPr="00D74A69">
        <w:rPr>
          <w:rFonts w:cstheme="minorHAnsi"/>
          <w:sz w:val="24"/>
          <w:szCs w:val="24"/>
        </w:rPr>
        <w:t> &lt; .02) from each other. A relationship between the relative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and the degree of tissue damage estimated using the temperature-based Arrhenius model for porcine liver tissues was established and studied.</w:t>
      </w:r>
    </w:p>
    <w:p w14:paraId="722894A1" w14:textId="77777777" w:rsidR="00D74A69" w:rsidRDefault="00D74A69" w:rsidP="63C1CD34">
      <w:pPr>
        <w:pStyle w:val="Heading1"/>
        <w:rPr>
          <w:rFonts w:ascii="Calibri Light" w:eastAsia="MS Gothic" w:hAnsi="Calibri Light" w:cs="Times New Roman"/>
          <w:b/>
          <w:bCs/>
        </w:rPr>
      </w:pPr>
      <w:r>
        <w:t>Keywords: </w:t>
      </w:r>
    </w:p>
    <w:p w14:paraId="7EAC232E" w14:textId="66922FB6" w:rsidR="00472D32" w:rsidRPr="00D74A69" w:rsidRDefault="00472D32" w:rsidP="63C1CD34">
      <w:pPr>
        <w:rPr>
          <w:sz w:val="24"/>
          <w:szCs w:val="24"/>
        </w:rPr>
      </w:pPr>
      <w:r w:rsidRPr="63C1CD34">
        <w:rPr>
          <w:sz w:val="24"/>
          <w:szCs w:val="24"/>
        </w:rPr>
        <w:t>Thermal ablation</w:t>
      </w:r>
      <w:r w:rsidR="004A2EE2">
        <w:rPr>
          <w:sz w:val="24"/>
          <w:szCs w:val="24"/>
        </w:rPr>
        <w:t xml:space="preserve">, </w:t>
      </w:r>
      <w:r w:rsidRPr="63C1CD34">
        <w:rPr>
          <w:sz w:val="24"/>
          <w:szCs w:val="24"/>
        </w:rPr>
        <w:t>Thermal damage</w:t>
      </w:r>
      <w:r w:rsidR="004A2EE2">
        <w:rPr>
          <w:sz w:val="24"/>
          <w:szCs w:val="24"/>
        </w:rPr>
        <w:t>,</w:t>
      </w:r>
      <w:r w:rsidRPr="63C1CD34">
        <w:rPr>
          <w:sz w:val="24"/>
          <w:szCs w:val="24"/>
        </w:rPr>
        <w:t xml:space="preserve"> Diffuse reflectance spectroscopy</w:t>
      </w:r>
      <w:r w:rsidR="004A2EE2">
        <w:rPr>
          <w:sz w:val="24"/>
          <w:szCs w:val="24"/>
        </w:rPr>
        <w:t>,</w:t>
      </w:r>
      <w:r w:rsidRPr="63C1CD34">
        <w:rPr>
          <w:sz w:val="24"/>
          <w:szCs w:val="24"/>
        </w:rPr>
        <w:t xml:space="preserve"> Tissue optical properties</w:t>
      </w:r>
      <w:r w:rsidR="004A2EE2">
        <w:rPr>
          <w:sz w:val="24"/>
          <w:szCs w:val="24"/>
        </w:rPr>
        <w:t>,</w:t>
      </w:r>
      <w:r w:rsidRPr="63C1CD34">
        <w:rPr>
          <w:sz w:val="24"/>
          <w:szCs w:val="24"/>
        </w:rPr>
        <w:t xml:space="preserve"> Hepatocellular carcinoma</w:t>
      </w:r>
      <w:r w:rsidR="004A2EE2">
        <w:rPr>
          <w:sz w:val="24"/>
          <w:szCs w:val="24"/>
        </w:rPr>
        <w:t>,</w:t>
      </w:r>
      <w:r w:rsidRPr="63C1CD34">
        <w:rPr>
          <w:sz w:val="24"/>
          <w:szCs w:val="24"/>
        </w:rPr>
        <w:t xml:space="preserve"> Tumor necrosis</w:t>
      </w:r>
    </w:p>
    <w:p w14:paraId="0089321D" w14:textId="77777777" w:rsidR="00D74A69" w:rsidRPr="00D74A69" w:rsidRDefault="00D74A69" w:rsidP="63C1CD34">
      <w:pPr>
        <w:pStyle w:val="Heading1"/>
        <w:rPr>
          <w:rFonts w:ascii="Calibri Light" w:eastAsia="MS Gothic" w:hAnsi="Calibri Light" w:cs="Times New Roman"/>
          <w:b/>
          <w:bCs/>
        </w:rPr>
      </w:pPr>
      <w:r>
        <w:t>Introduction</w:t>
      </w:r>
    </w:p>
    <w:p w14:paraId="2A543F9A" w14:textId="04BAEA07" w:rsidR="00D74A69" w:rsidRPr="00D74A69" w:rsidRDefault="00D74A69" w:rsidP="00D74A69">
      <w:pPr>
        <w:rPr>
          <w:rFonts w:cstheme="minorHAnsi"/>
          <w:sz w:val="24"/>
          <w:szCs w:val="24"/>
        </w:rPr>
      </w:pPr>
      <w:r w:rsidRPr="00D74A69">
        <w:rPr>
          <w:rFonts w:cstheme="minorHAnsi"/>
          <w:sz w:val="24"/>
          <w:szCs w:val="24"/>
        </w:rPr>
        <w:t>Hepatocellular carcinoma (HCC) is the sixth most common cancer and the third most common cause of cancer-related deaths worldwide. In 2012, 782,000 new cases and 745,000 deaths related to HCC were reported worldwide [</w:t>
      </w:r>
      <w:r w:rsidRPr="00AA718C">
        <w:rPr>
          <w:rFonts w:cstheme="minorHAnsi"/>
          <w:sz w:val="24"/>
          <w:szCs w:val="24"/>
        </w:rPr>
        <w:t>1</w:t>
      </w:r>
      <w:r w:rsidRPr="00D74A69">
        <w:rPr>
          <w:rFonts w:cstheme="minorHAnsi"/>
          <w:sz w:val="24"/>
          <w:szCs w:val="24"/>
        </w:rPr>
        <w:t>]. HCC is also the fastest growing cause of cancer-related deaths in the USA [</w:t>
      </w:r>
      <w:r w:rsidRPr="00AA718C">
        <w:rPr>
          <w:rFonts w:cstheme="minorHAnsi"/>
          <w:sz w:val="24"/>
          <w:szCs w:val="24"/>
        </w:rPr>
        <w:t>2</w:t>
      </w:r>
      <w:r w:rsidRPr="00D74A69">
        <w:rPr>
          <w:rFonts w:cstheme="minorHAnsi"/>
          <w:sz w:val="24"/>
          <w:szCs w:val="24"/>
        </w:rPr>
        <w:t>]. Surgical resection and/or liver transplantation are the only options for curative intent; however, less than 20% of patients with HCC are candidates for surgery [</w:t>
      </w:r>
      <w:r w:rsidRPr="00AA718C">
        <w:rPr>
          <w:rFonts w:cstheme="minorHAnsi"/>
          <w:sz w:val="24"/>
          <w:szCs w:val="24"/>
        </w:rPr>
        <w:t>3</w:t>
      </w:r>
      <w:r w:rsidRPr="00D74A69">
        <w:rPr>
          <w:rFonts w:cstheme="minorHAnsi"/>
          <w:sz w:val="24"/>
          <w:szCs w:val="24"/>
        </w:rPr>
        <w:t xml:space="preserve">]. Percutaneous ablative therapies, such as radiofrequency ablation (RFA) and microwave ablation (MWA), are considered as an alternative treatment for unresectable </w:t>
      </w:r>
      <w:proofErr w:type="gramStart"/>
      <w:r w:rsidRPr="00D74A69">
        <w:rPr>
          <w:rFonts w:cstheme="minorHAnsi"/>
          <w:sz w:val="24"/>
          <w:szCs w:val="24"/>
        </w:rPr>
        <w:t>early stage</w:t>
      </w:r>
      <w:proofErr w:type="gramEnd"/>
      <w:r w:rsidRPr="00D74A69">
        <w:rPr>
          <w:rFonts w:cstheme="minorHAnsi"/>
          <w:sz w:val="24"/>
          <w:szCs w:val="24"/>
        </w:rPr>
        <w:t xml:space="preserve"> HCC [</w:t>
      </w:r>
      <w:r w:rsidRPr="00AA718C">
        <w:rPr>
          <w:rFonts w:cstheme="minorHAnsi"/>
          <w:sz w:val="24"/>
          <w:szCs w:val="24"/>
        </w:rPr>
        <w:t>4</w:t>
      </w:r>
      <w:r w:rsidRPr="00D74A69">
        <w:rPr>
          <w:rFonts w:cstheme="minorHAnsi"/>
          <w:sz w:val="24"/>
          <w:szCs w:val="24"/>
        </w:rPr>
        <w:t>]. To be considered a desirable alternative, outcomes should be comparable to those achieved with surgical resection. However, the reported rate of complete response after a single session of RFA of HCC varies from 48% to 97% [</w:t>
      </w:r>
      <w:r w:rsidRPr="00AA718C">
        <w:rPr>
          <w:rFonts w:cstheme="minorHAnsi"/>
          <w:sz w:val="24"/>
          <w:szCs w:val="24"/>
        </w:rPr>
        <w:t>5–11</w:t>
      </w:r>
      <w:r w:rsidRPr="00D74A69">
        <w:rPr>
          <w:rFonts w:cstheme="minorHAnsi"/>
          <w:sz w:val="24"/>
          <w:szCs w:val="24"/>
        </w:rPr>
        <w:t>]. Similarly, the rate of complete response for MWA ranges from 69% to 100%, depending on tumor size [</w:t>
      </w:r>
      <w:r w:rsidRPr="00AA718C">
        <w:rPr>
          <w:rFonts w:cstheme="minorHAnsi"/>
          <w:sz w:val="24"/>
          <w:szCs w:val="24"/>
        </w:rPr>
        <w:t>12</w:t>
      </w:r>
      <w:r w:rsidRPr="00D74A69">
        <w:rPr>
          <w:rFonts w:cstheme="minorHAnsi"/>
          <w:sz w:val="24"/>
          <w:szCs w:val="24"/>
        </w:rPr>
        <w:t>].</w:t>
      </w:r>
    </w:p>
    <w:p w14:paraId="7D18D235" w14:textId="77777777" w:rsidR="00D74A69" w:rsidRPr="00D74A69" w:rsidRDefault="00D74A69" w:rsidP="00D74A69">
      <w:pPr>
        <w:rPr>
          <w:rFonts w:cstheme="minorHAnsi"/>
          <w:sz w:val="24"/>
          <w:szCs w:val="24"/>
        </w:rPr>
      </w:pPr>
      <w:r w:rsidRPr="00D74A69">
        <w:rPr>
          <w:rFonts w:cstheme="minorHAnsi"/>
          <w:sz w:val="24"/>
          <w:szCs w:val="24"/>
        </w:rPr>
        <w:t xml:space="preserve">The risk of local tumor recurrence after RFA or MWA therapy depends on the extent of thermal damage, which is often affected by the size and location of the tumor(s), adjacent structures, ablation technique used, and availability and effectiveness of intra-operative monitoring. The extent of thermal </w:t>
      </w:r>
      <w:r w:rsidRPr="00D74A69">
        <w:rPr>
          <w:rFonts w:cstheme="minorHAnsi"/>
          <w:sz w:val="24"/>
          <w:szCs w:val="24"/>
        </w:rPr>
        <w:lastRenderedPageBreak/>
        <w:t xml:space="preserve">tissue damage is a function of the temperature and duration of heating to the tissue. Ideally, assessment of tissue damage should be done in real-time to avoid under or over treatment of the target tissue. Real-time monitoring is critical to regulate the ablation zone, </w:t>
      </w:r>
      <w:proofErr w:type="gramStart"/>
      <w:r w:rsidRPr="00D74A69">
        <w:rPr>
          <w:rFonts w:cstheme="minorHAnsi"/>
          <w:sz w:val="24"/>
          <w:szCs w:val="24"/>
        </w:rPr>
        <w:t>in order to</w:t>
      </w:r>
      <w:proofErr w:type="gramEnd"/>
      <w:r w:rsidRPr="00D74A69">
        <w:rPr>
          <w:rFonts w:cstheme="minorHAnsi"/>
          <w:sz w:val="24"/>
          <w:szCs w:val="24"/>
        </w:rPr>
        <w:t xml:space="preserve"> minimize heat exposure to surrounding critical structures (blood vessels, bile ducts, nerves, etc.). Histological assessment is the current gold standard for assessing thermal tissue </w:t>
      </w:r>
      <w:proofErr w:type="gramStart"/>
      <w:r w:rsidRPr="00D74A69">
        <w:rPr>
          <w:rFonts w:cstheme="minorHAnsi"/>
          <w:sz w:val="24"/>
          <w:szCs w:val="24"/>
        </w:rPr>
        <w:t>damage, but</w:t>
      </w:r>
      <w:proofErr w:type="gramEnd"/>
      <w:r w:rsidRPr="00D74A69">
        <w:rPr>
          <w:rFonts w:cstheme="minorHAnsi"/>
          <w:sz w:val="24"/>
          <w:szCs w:val="24"/>
        </w:rPr>
        <w:t xml:space="preserve"> is not a practical or generalizable way to monitor ablation zones. Therefore, real-time monitoring of tissue during thermal ablation is critical to ensure complete destruction of tumor mass while avoiding tissue charring and excessive damage to surrounding normal tissues.</w:t>
      </w:r>
    </w:p>
    <w:p w14:paraId="3C4529BC" w14:textId="4C850F78" w:rsidR="00D74A69" w:rsidRPr="00D74A69" w:rsidRDefault="00D74A69" w:rsidP="00D74A69">
      <w:pPr>
        <w:rPr>
          <w:rFonts w:cstheme="minorHAnsi"/>
          <w:sz w:val="24"/>
          <w:szCs w:val="24"/>
        </w:rPr>
      </w:pPr>
      <w:r w:rsidRPr="00D74A69">
        <w:rPr>
          <w:rFonts w:cstheme="minorHAnsi"/>
          <w:sz w:val="24"/>
          <w:szCs w:val="24"/>
        </w:rPr>
        <w:t>Temperature-based methods, such as the Arrhenius model [</w:t>
      </w:r>
      <w:r w:rsidRPr="00AA718C">
        <w:rPr>
          <w:rFonts w:cstheme="minorHAnsi"/>
          <w:sz w:val="24"/>
          <w:szCs w:val="24"/>
        </w:rPr>
        <w:t>13</w:t>
      </w:r>
      <w:r w:rsidRPr="00D74A69">
        <w:rPr>
          <w:rFonts w:cstheme="minorHAnsi"/>
          <w:sz w:val="24"/>
          <w:szCs w:val="24"/>
        </w:rPr>
        <w:t>,</w:t>
      </w:r>
      <w:r w:rsidRPr="00AA718C">
        <w:rPr>
          <w:rFonts w:cstheme="minorHAnsi"/>
          <w:sz w:val="24"/>
          <w:szCs w:val="24"/>
        </w:rPr>
        <w:t>14</w:t>
      </w:r>
      <w:r w:rsidRPr="00D74A69">
        <w:rPr>
          <w:rFonts w:cstheme="minorHAnsi"/>
          <w:sz w:val="24"/>
          <w:szCs w:val="24"/>
        </w:rPr>
        <w:t>], are commonly used to assess thermal tissue damage in real-time during tumor ablation [</w:t>
      </w:r>
      <w:r w:rsidRPr="00AA718C">
        <w:rPr>
          <w:rFonts w:cstheme="minorHAnsi"/>
          <w:sz w:val="24"/>
          <w:szCs w:val="24"/>
        </w:rPr>
        <w:t>15–17</w:t>
      </w:r>
      <w:r w:rsidRPr="00D74A69">
        <w:rPr>
          <w:rFonts w:cstheme="minorHAnsi"/>
          <w:sz w:val="24"/>
          <w:szCs w:val="24"/>
        </w:rPr>
        <w:t xml:space="preserve">]. However, temperature-based methods do not account for tissue </w:t>
      </w:r>
      <w:proofErr w:type="gramStart"/>
      <w:r w:rsidRPr="00D74A69">
        <w:rPr>
          <w:rFonts w:cstheme="minorHAnsi"/>
          <w:sz w:val="24"/>
          <w:szCs w:val="24"/>
        </w:rPr>
        <w:t>heterogeneity, and</w:t>
      </w:r>
      <w:proofErr w:type="gramEnd"/>
      <w:r w:rsidRPr="00D74A69">
        <w:rPr>
          <w:rFonts w:cstheme="minorHAnsi"/>
          <w:sz w:val="24"/>
          <w:szCs w:val="24"/>
        </w:rPr>
        <w:t xml:space="preserve"> require prior knowledge of tissue properties to determine the extent of thermal damage. Light propagation within a biological tissue is sensitive to the tissue morphology and physiology. Specifically, quantitative optical spectroscopy can determine the optical properties of normal vs. coagulated tissue, with higher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seen in coagulated tissues [</w:t>
      </w:r>
      <w:r w:rsidRPr="00AA718C">
        <w:rPr>
          <w:rFonts w:cstheme="minorHAnsi"/>
          <w:sz w:val="24"/>
          <w:szCs w:val="24"/>
        </w:rPr>
        <w:t>18–20</w:t>
      </w:r>
      <w:r w:rsidRPr="00D74A69">
        <w:rPr>
          <w:rFonts w:cstheme="minorHAnsi"/>
          <w:sz w:val="24"/>
          <w:szCs w:val="24"/>
        </w:rPr>
        <w:t>]. Although changes in tissue optical properties are due to denaturation, the correlation between tissue absorption and reduced scattering coefficient and true tissue damage are yet to be established. Quantitative optical spectroscopy could therefore be performed to predict complete tissue ablation.</w:t>
      </w:r>
    </w:p>
    <w:p w14:paraId="445EF7E0" w14:textId="32CEA563" w:rsidR="00D74A69" w:rsidRPr="00D74A69" w:rsidRDefault="00D74A69" w:rsidP="00D74A69">
      <w:pPr>
        <w:rPr>
          <w:rFonts w:cstheme="minorHAnsi"/>
          <w:sz w:val="24"/>
          <w:szCs w:val="24"/>
        </w:rPr>
      </w:pPr>
      <w:r w:rsidRPr="00D74A69">
        <w:rPr>
          <w:rFonts w:cstheme="minorHAnsi"/>
          <w:sz w:val="24"/>
          <w:szCs w:val="24"/>
        </w:rPr>
        <w:t>In our previous study [</w:t>
      </w:r>
      <w:r w:rsidRPr="00AA718C">
        <w:rPr>
          <w:rFonts w:cstheme="minorHAnsi"/>
          <w:sz w:val="24"/>
          <w:szCs w:val="24"/>
        </w:rPr>
        <w:t>13</w:t>
      </w:r>
      <w:r w:rsidRPr="00D74A69">
        <w:rPr>
          <w:rFonts w:cstheme="minorHAnsi"/>
          <w:sz w:val="24"/>
          <w:szCs w:val="24"/>
        </w:rPr>
        <w:t>,</w:t>
      </w:r>
      <w:r w:rsidRPr="00AA718C">
        <w:rPr>
          <w:rFonts w:cstheme="minorHAnsi"/>
          <w:sz w:val="24"/>
          <w:szCs w:val="24"/>
        </w:rPr>
        <w:t>18</w:t>
      </w:r>
      <w:r w:rsidRPr="00D74A69">
        <w:rPr>
          <w:rFonts w:cstheme="minorHAnsi"/>
          <w:sz w:val="24"/>
          <w:szCs w:val="24"/>
        </w:rPr>
        <w:t>], we have shown that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in porcine muscle tissues measured by diffuse reflectance spectroscopy (DRS), at selected temperature points, correlated with the degree of denaturation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D74A69">
        <w:rPr>
          <w:rFonts w:cstheme="minorHAnsi"/>
          <w:sz w:val="24"/>
          <w:szCs w:val="24"/>
        </w:rPr>
        <w:t>) derived from the Arrhenius damage model. In addition, we determined that continuous monitoring of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is necessary to achieve the endpoint for ablation. In this paper, we report the use of a DRS system with an integrated fiber-optic temperature sensor to continuously record the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and local tissue temperature during heating of </w:t>
      </w:r>
      <w:r w:rsidRPr="00D74A69">
        <w:rPr>
          <w:rFonts w:cstheme="minorHAnsi"/>
          <w:i/>
          <w:iCs/>
          <w:sz w:val="24"/>
          <w:szCs w:val="24"/>
        </w:rPr>
        <w:t>ex vivo</w:t>
      </w:r>
      <w:r w:rsidRPr="00D74A69">
        <w:rPr>
          <w:rFonts w:cstheme="minorHAnsi"/>
          <w:sz w:val="24"/>
          <w:szCs w:val="24"/>
        </w:rPr>
        <w:t> liver and compare the changes in tissue optical properties with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D74A69">
        <w:rPr>
          <w:rFonts w:cstheme="minorHAnsi"/>
          <w:sz w:val="24"/>
          <w:szCs w:val="24"/>
        </w:rPr>
        <w:t>.</w:t>
      </w:r>
    </w:p>
    <w:p w14:paraId="0A581968" w14:textId="77777777" w:rsidR="00D74A69" w:rsidRPr="00D74A69" w:rsidRDefault="00D74A69" w:rsidP="63C1CD34">
      <w:pPr>
        <w:pStyle w:val="Heading1"/>
        <w:rPr>
          <w:rFonts w:ascii="Calibri Light" w:eastAsia="MS Gothic" w:hAnsi="Calibri Light" w:cs="Times New Roman"/>
          <w:b/>
          <w:bCs/>
        </w:rPr>
      </w:pPr>
      <w:r>
        <w:t>Materials and methods</w:t>
      </w:r>
    </w:p>
    <w:p w14:paraId="70D353C4" w14:textId="77777777" w:rsidR="00D74A69" w:rsidRPr="00D74A69" w:rsidRDefault="00D74A69" w:rsidP="63C1CD34">
      <w:pPr>
        <w:pStyle w:val="Heading2"/>
        <w:rPr>
          <w:rFonts w:ascii="Calibri Light" w:eastAsia="MS Gothic" w:hAnsi="Calibri Light" w:cs="Times New Roman"/>
          <w:b/>
          <w:bCs/>
        </w:rPr>
      </w:pPr>
      <w:r>
        <w:t>DRS instrument</w:t>
      </w:r>
    </w:p>
    <w:p w14:paraId="76416DC0" w14:textId="6222E476" w:rsidR="00D74A69" w:rsidRPr="00D74A69" w:rsidRDefault="00D74A69" w:rsidP="63C1CD34">
      <w:pPr>
        <w:rPr>
          <w:sz w:val="24"/>
          <w:szCs w:val="24"/>
        </w:rPr>
      </w:pPr>
      <w:r w:rsidRPr="63C1CD34">
        <w:rPr>
          <w:sz w:val="24"/>
          <w:szCs w:val="24"/>
        </w:rPr>
        <w:t>The integrated DRS system, as illustrated in </w:t>
      </w:r>
      <w:r w:rsidRPr="00AA718C">
        <w:rPr>
          <w:sz w:val="24"/>
          <w:szCs w:val="24"/>
        </w:rPr>
        <w:t>Figure 1(a)</w:t>
      </w:r>
      <w:r w:rsidRPr="63C1CD34">
        <w:rPr>
          <w:sz w:val="24"/>
          <w:szCs w:val="24"/>
        </w:rPr>
        <w:t>, consists of a home-made needle-based fiber-optic probe, two visible spectrometers (</w:t>
      </w:r>
      <w:proofErr w:type="spellStart"/>
      <w:r w:rsidRPr="63C1CD34">
        <w:rPr>
          <w:sz w:val="24"/>
          <w:szCs w:val="24"/>
        </w:rPr>
        <w:t>Avantes</w:t>
      </w:r>
      <w:proofErr w:type="spellEnd"/>
      <w:r w:rsidRPr="63C1CD34">
        <w:rPr>
          <w:sz w:val="24"/>
          <w:szCs w:val="24"/>
        </w:rPr>
        <w:t xml:space="preserve"> BV, The Netherland) with a white light-emitting diode (LED), one near-infrared (NIR) spectrometer with an 820 nm LED and a laptop computer loaded with custom software. The fiber-optic probe includes two side-firing fibers (200/220 µm), spaced apart by 1 mm for DRS, a homemade extrinsic Fabry–Perot interferometric (EFPI) temperature sensor [</w:t>
      </w:r>
      <w:r w:rsidRPr="00AA718C">
        <w:rPr>
          <w:sz w:val="24"/>
          <w:szCs w:val="24"/>
        </w:rPr>
        <w:t>21</w:t>
      </w:r>
      <w:r w:rsidRPr="63C1CD34">
        <w:rPr>
          <w:sz w:val="24"/>
          <w:szCs w:val="24"/>
        </w:rPr>
        <w:t>] and two forward firing fibers (200/220 µm) for self-calibration [</w:t>
      </w:r>
      <w:r w:rsidRPr="00AA718C">
        <w:rPr>
          <w:sz w:val="24"/>
          <w:szCs w:val="24"/>
        </w:rPr>
        <w:t>22</w:t>
      </w:r>
      <w:r w:rsidRPr="63C1CD34">
        <w:rPr>
          <w:sz w:val="24"/>
          <w:szCs w:val="24"/>
        </w:rPr>
        <w:t>,</w:t>
      </w:r>
      <w:r w:rsidRPr="00AA718C">
        <w:rPr>
          <w:sz w:val="24"/>
          <w:szCs w:val="24"/>
        </w:rPr>
        <w:t>23</w:t>
      </w:r>
      <w:r w:rsidRPr="63C1CD34">
        <w:rPr>
          <w:sz w:val="24"/>
          <w:szCs w:val="24"/>
        </w:rPr>
        <w:t>], all housed into a 17G hypodermic needle. One of the two side-firing fibers is connected to the white LED to illuminate the target tissue and the other to the visible spectrometer A (Vis Spec A) for detection of diffuse reflectance from the tissue. The self-calibration fibers, as shown in </w:t>
      </w:r>
      <w:r w:rsidRPr="00AA718C">
        <w:rPr>
          <w:sz w:val="24"/>
          <w:szCs w:val="24"/>
        </w:rPr>
        <w:t>Figure 1(b)</w:t>
      </w:r>
      <w:r w:rsidRPr="63C1CD34">
        <w:rPr>
          <w:sz w:val="24"/>
          <w:szCs w:val="24"/>
        </w:rPr>
        <w:t>, loop the light from the white LED back to visible spectrometer B (Vis Spec B) before it reaches the tissue using a diffusely reflective medium. The self-calibration records a calibration spectrum in concurrent with DRS measurement which is used to correct for instrument fluctuations and probe bending loss [</w:t>
      </w:r>
      <w:r w:rsidRPr="00AA718C">
        <w:rPr>
          <w:sz w:val="24"/>
          <w:szCs w:val="24"/>
        </w:rPr>
        <w:t>22</w:t>
      </w:r>
      <w:r w:rsidRPr="63C1CD34">
        <w:rPr>
          <w:sz w:val="24"/>
          <w:szCs w:val="24"/>
        </w:rPr>
        <w:t>,</w:t>
      </w:r>
      <w:r w:rsidRPr="00AA718C">
        <w:rPr>
          <w:sz w:val="24"/>
          <w:szCs w:val="24"/>
        </w:rPr>
        <w:t>23</w:t>
      </w:r>
      <w:r w:rsidRPr="63C1CD34">
        <w:rPr>
          <w:sz w:val="24"/>
          <w:szCs w:val="24"/>
        </w:rPr>
        <w:t>].</w:t>
      </w:r>
    </w:p>
    <w:p w14:paraId="240F794F" w14:textId="77777777" w:rsidR="0036521D" w:rsidRDefault="00D74A69" w:rsidP="0036521D">
      <w:pPr>
        <w:pStyle w:val="NoSpacing"/>
      </w:pPr>
      <w:r w:rsidRPr="63C1CD34">
        <w:t>Figure 1. Schematics of the experimental setup: (a) the integrated DRS system and experiment setup for measuring the local optical properties and temperature of porcine liver tissues during heating; (b) the self-calibration channel and (c) the EFPI temperature sensor.</w:t>
      </w:r>
      <w:r w:rsidR="0081193B" w:rsidRPr="0081193B">
        <w:t xml:space="preserve"> </w:t>
      </w:r>
    </w:p>
    <w:p w14:paraId="0DD01C7D" w14:textId="16CF26C8" w:rsidR="00D74A69" w:rsidRDefault="0081193B" w:rsidP="0036521D">
      <w:pPr>
        <w:pStyle w:val="NoSpacing"/>
      </w:pPr>
      <w:r w:rsidRPr="00DA1254">
        <w:drawing>
          <wp:inline distT="0" distB="0" distL="0" distR="0" wp14:anchorId="70D5483E" wp14:editId="41416F5B">
            <wp:extent cx="3657600" cy="2048256"/>
            <wp:effectExtent l="0" t="0" r="0" b="9525"/>
            <wp:docPr id="1" name="Picture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2048256"/>
                    </a:xfrm>
                    <a:prstGeom prst="rect">
                      <a:avLst/>
                    </a:prstGeom>
                    <a:noFill/>
                    <a:ln>
                      <a:noFill/>
                    </a:ln>
                  </pic:spPr>
                </pic:pic>
              </a:graphicData>
            </a:graphic>
          </wp:inline>
        </w:drawing>
      </w:r>
    </w:p>
    <w:p w14:paraId="1F7DFEC6" w14:textId="77777777" w:rsidR="0036521D" w:rsidRDefault="0036521D" w:rsidP="63C1CD34">
      <w:pPr>
        <w:rPr>
          <w:sz w:val="24"/>
          <w:szCs w:val="24"/>
        </w:rPr>
      </w:pPr>
    </w:p>
    <w:p w14:paraId="3361562A" w14:textId="63547910" w:rsidR="00D74A69" w:rsidRDefault="00D74A69" w:rsidP="63C1CD34">
      <w:pPr>
        <w:rPr>
          <w:sz w:val="24"/>
          <w:szCs w:val="24"/>
        </w:rPr>
      </w:pPr>
      <w:r w:rsidRPr="63C1CD34">
        <w:rPr>
          <w:sz w:val="24"/>
          <w:szCs w:val="24"/>
        </w:rPr>
        <w:t>The EFPI sensor head was fabricated by laser fusion bonding of two multimode fibers, separated by a small air gap (</w:t>
      </w:r>
      <w:r w:rsidRPr="63C1CD34">
        <w:rPr>
          <w:i/>
          <w:iCs/>
          <w:sz w:val="24"/>
          <w:szCs w:val="24"/>
        </w:rPr>
        <w:t>L</w:t>
      </w:r>
      <w:r w:rsidRPr="63C1CD34">
        <w:rPr>
          <w:sz w:val="24"/>
          <w:szCs w:val="24"/>
          <w:vertAlign w:val="subscript"/>
        </w:rPr>
        <w:t>c</w:t>
      </w:r>
      <w:r w:rsidRPr="63C1CD34">
        <w:rPr>
          <w:sz w:val="24"/>
          <w:szCs w:val="24"/>
        </w:rPr>
        <w:t>), to a borosilicate capillary tube with an outer diameter of 400 </w:t>
      </w:r>
      <w:proofErr w:type="spellStart"/>
      <w:r w:rsidRPr="63C1CD34">
        <w:rPr>
          <w:sz w:val="24"/>
          <w:szCs w:val="24"/>
        </w:rPr>
        <w:t>μm</w:t>
      </w:r>
      <w:proofErr w:type="spellEnd"/>
      <w:r w:rsidRPr="63C1CD34">
        <w:rPr>
          <w:sz w:val="24"/>
          <w:szCs w:val="24"/>
        </w:rPr>
        <w:t xml:space="preserve"> (</w:t>
      </w:r>
      <w:r w:rsidRPr="00AA718C">
        <w:rPr>
          <w:sz w:val="24"/>
          <w:szCs w:val="24"/>
        </w:rPr>
        <w:t>Figure 1(c)</w:t>
      </w:r>
      <w:r w:rsidRPr="63C1CD34">
        <w:rPr>
          <w:sz w:val="24"/>
          <w:szCs w:val="24"/>
        </w:rPr>
        <w:t>). The distance between the two bonding points, the gage length (</w:t>
      </w:r>
      <w:r w:rsidRPr="63C1CD34">
        <w:rPr>
          <w:i/>
          <w:iCs/>
          <w:sz w:val="24"/>
          <w:szCs w:val="24"/>
        </w:rPr>
        <w:t>L</w:t>
      </w:r>
      <w:r w:rsidRPr="63C1CD34">
        <w:rPr>
          <w:sz w:val="24"/>
          <w:szCs w:val="24"/>
          <w:vertAlign w:val="subscript"/>
        </w:rPr>
        <w:t>G</w:t>
      </w:r>
      <w:r w:rsidRPr="63C1CD34">
        <w:rPr>
          <w:sz w:val="24"/>
          <w:szCs w:val="24"/>
        </w:rPr>
        <w:t>), is 2.0 mm. The EFPI sensor head is connected to the sensing arm of a 2 × 2 50/50 fiber-optic coupler. The 820 nm LED was used to interrogate the EFPI sensor and the returned interferogram was collected by the NIR spectrometer (NIR Spec). Thermal expansion of the borosilicate tubing alters the optical path difference between the two interfering waves that are reflected by the end-faces of the two fiber tips, shifting the peak positions of the interferogram. The temperature is determined by tracking the temperature-dependent wavelength shift in the interferogram [</w:t>
      </w:r>
      <w:r w:rsidRPr="00AA718C">
        <w:rPr>
          <w:sz w:val="24"/>
          <w:szCs w:val="24"/>
        </w:rPr>
        <w:t>23</w:t>
      </w:r>
      <w:r w:rsidRPr="63C1CD34">
        <w:rPr>
          <w:sz w:val="24"/>
          <w:szCs w:val="24"/>
        </w:rPr>
        <w:t>]. The temperature sensor was calibrated in a water bath and was found to have an accuracy of 1 °C between 20 and 95 °C. A laptop computer with a custom LabVIEW program and embedded MATLAB scripts was used for instrument control and data acquisition and analysis.</w:t>
      </w:r>
    </w:p>
    <w:p w14:paraId="3E8BC602" w14:textId="77777777" w:rsidR="00D74A69" w:rsidRPr="00D74A69" w:rsidRDefault="00D74A69" w:rsidP="63C1CD34">
      <w:pPr>
        <w:pStyle w:val="Heading2"/>
        <w:rPr>
          <w:rFonts w:ascii="Calibri Light" w:eastAsia="MS Gothic" w:hAnsi="Calibri Light" w:cs="Times New Roman"/>
          <w:b/>
          <w:bCs/>
        </w:rPr>
      </w:pPr>
      <w:r>
        <w:t>Phantom experiment</w:t>
      </w:r>
    </w:p>
    <w:p w14:paraId="133812C5" w14:textId="1FF00568" w:rsidR="00D74A69" w:rsidRPr="00D74A69" w:rsidRDefault="00D74A69" w:rsidP="00D74A69">
      <w:pPr>
        <w:rPr>
          <w:rFonts w:cstheme="minorHAnsi"/>
          <w:sz w:val="24"/>
          <w:szCs w:val="24"/>
        </w:rPr>
      </w:pPr>
      <w:r w:rsidRPr="00D74A69">
        <w:rPr>
          <w:rFonts w:cstheme="minorHAnsi"/>
          <w:sz w:val="24"/>
          <w:szCs w:val="24"/>
        </w:rPr>
        <w:t xml:space="preserve">Tissue-mimicking phantoms consisting of a mixture of human hemoglobin powder (H0267, Sigma-Aldrich Co. LLC, St. Louis, USA), as the absorber, and 1-µm polystyrene beads (07310-15, </w:t>
      </w:r>
      <w:proofErr w:type="spellStart"/>
      <w:r w:rsidRPr="00D74A69">
        <w:rPr>
          <w:rFonts w:cstheme="minorHAnsi"/>
          <w:sz w:val="24"/>
          <w:szCs w:val="24"/>
        </w:rPr>
        <w:t>Polysciences</w:t>
      </w:r>
      <w:proofErr w:type="spellEnd"/>
      <w:r w:rsidRPr="00D74A69">
        <w:rPr>
          <w:rFonts w:cstheme="minorHAnsi"/>
          <w:sz w:val="24"/>
          <w:szCs w:val="24"/>
        </w:rPr>
        <w:t xml:space="preserve"> Inc., Warrington, USA) as the tissue scatterer, was used for evaluating the probe performance and instrument calibration [</w:t>
      </w:r>
      <w:r w:rsidRPr="00AA718C">
        <w:rPr>
          <w:rFonts w:cstheme="minorHAnsi"/>
          <w:sz w:val="24"/>
          <w:szCs w:val="24"/>
        </w:rPr>
        <w:t>24</w:t>
      </w:r>
      <w:r w:rsidRPr="00D74A69">
        <w:rPr>
          <w:rFonts w:cstheme="minorHAnsi"/>
          <w:sz w:val="24"/>
          <w:szCs w:val="24"/>
        </w:rPr>
        <w:t>]. Eleven phantoms covering a hemoglobin concentration of 14–54.9 µM, in water were created by fixing the number of scatterers and titrating the absorbers. The absorption coefficient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of stock hemoglobin solution was independently determined with a spectrophotometer (Lambda 35, PerkinElmer Inc., Waltham, USA). For all phantoms, the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ranged from 1.2 to 4.9 </w:t>
      </w:r>
      <w:proofErr w:type="gramStart"/>
      <w:r w:rsidRPr="00D74A69">
        <w:rPr>
          <w:rFonts w:cstheme="minorHAnsi"/>
          <w:sz w:val="24"/>
          <w:szCs w:val="24"/>
        </w:rPr>
        <w:t>cm</w:t>
      </w:r>
      <w:r w:rsidRPr="00D74A69">
        <w:rPr>
          <w:rFonts w:cstheme="minorHAnsi"/>
          <w:sz w:val="24"/>
          <w:szCs w:val="24"/>
          <w:vertAlign w:val="superscript"/>
        </w:rPr>
        <w:t>−1</w:t>
      </w:r>
      <w:proofErr w:type="gramEnd"/>
      <w:r w:rsidRPr="00D74A69">
        <w:rPr>
          <w:rFonts w:cstheme="minorHAnsi"/>
          <w:sz w:val="24"/>
          <w:szCs w:val="24"/>
        </w:rPr>
        <w:t>. The reduced scattering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of the phantoms was calculated using the Mie theory for known size, </w:t>
      </w:r>
      <w:proofErr w:type="gramStart"/>
      <w:r w:rsidRPr="00D74A69">
        <w:rPr>
          <w:rFonts w:cstheme="minorHAnsi"/>
          <w:sz w:val="24"/>
          <w:szCs w:val="24"/>
        </w:rPr>
        <w:t>density</w:t>
      </w:r>
      <w:proofErr w:type="gramEnd"/>
      <w:r w:rsidRPr="00D74A69">
        <w:rPr>
          <w:rFonts w:cstheme="minorHAnsi"/>
          <w:sz w:val="24"/>
          <w:szCs w:val="24"/>
        </w:rPr>
        <w:t xml:space="preserve"> and refractive index of scatterers. The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decreased from 11.4 to 4 cm</w:t>
      </w:r>
      <w:r w:rsidRPr="00D74A69">
        <w:rPr>
          <w:rFonts w:cstheme="minorHAnsi"/>
          <w:sz w:val="24"/>
          <w:szCs w:val="24"/>
          <w:vertAlign w:val="superscript"/>
        </w:rPr>
        <w:t>−1</w:t>
      </w:r>
      <w:r w:rsidRPr="00D74A69">
        <w:rPr>
          <w:rFonts w:cstheme="minorHAnsi"/>
          <w:sz w:val="24"/>
          <w:szCs w:val="24"/>
        </w:rPr>
        <w:t> due to titration, representing the typical scattering properties of native and coagulated liver tissues. Diffuse reflectance spectra (435–630 nm) for each of the 11 phantoms were collected using the DRS instrument.</w:t>
      </w:r>
    </w:p>
    <w:p w14:paraId="6934D373" w14:textId="77777777" w:rsidR="00D74A69" w:rsidRPr="00D74A69" w:rsidRDefault="00D74A69" w:rsidP="63C1CD34">
      <w:pPr>
        <w:pStyle w:val="Heading2"/>
        <w:rPr>
          <w:rFonts w:ascii="Calibri Light" w:eastAsia="MS Gothic" w:hAnsi="Calibri Light" w:cs="Times New Roman"/>
          <w:b/>
          <w:bCs/>
        </w:rPr>
      </w:pPr>
      <w:r>
        <w:t>Tissue sample preparation</w:t>
      </w:r>
    </w:p>
    <w:p w14:paraId="2AA0D259" w14:textId="77777777" w:rsidR="00D74A69" w:rsidRPr="00D74A69" w:rsidRDefault="00D74A69" w:rsidP="00D74A69">
      <w:pPr>
        <w:rPr>
          <w:rFonts w:cstheme="minorHAnsi"/>
          <w:sz w:val="24"/>
          <w:szCs w:val="24"/>
        </w:rPr>
      </w:pPr>
      <w:r w:rsidRPr="00D74A69">
        <w:rPr>
          <w:rFonts w:cstheme="minorHAnsi"/>
          <w:sz w:val="24"/>
          <w:szCs w:val="24"/>
        </w:rPr>
        <w:t xml:space="preserve">Fresh porcine livers from three healthy pigs were obtained less than 2 min post-slaughtering from a local slaughterhouse and transported to the laboratory in an iced physiological saline solution. The average transport time was about 30 min. Upon arrival, the liver tissues were stored in a saline solution at 4 °C until use. Liver tissues were used within 1–2 days of purchase. A total of 10 liver samples were used, each of which was cut to </w:t>
      </w:r>
      <w:r w:rsidRPr="00D74A69">
        <w:rPr>
          <w:rFonts w:ascii="Cambria Math" w:hAnsi="Cambria Math" w:cs="Cambria Math"/>
          <w:sz w:val="24"/>
          <w:szCs w:val="24"/>
        </w:rPr>
        <w:t>∼</w:t>
      </w:r>
      <w:r w:rsidRPr="00D74A69">
        <w:rPr>
          <w:rFonts w:cstheme="minorHAnsi"/>
          <w:sz w:val="24"/>
          <w:szCs w:val="24"/>
        </w:rPr>
        <w:t>20</w:t>
      </w:r>
      <w:r w:rsidRPr="00D74A69">
        <w:rPr>
          <w:rFonts w:ascii="Calibri" w:hAnsi="Calibri" w:cs="Calibri"/>
          <w:sz w:val="24"/>
          <w:szCs w:val="24"/>
        </w:rPr>
        <w:t> × </w:t>
      </w:r>
      <w:r w:rsidRPr="00D74A69">
        <w:rPr>
          <w:rFonts w:cstheme="minorHAnsi"/>
          <w:sz w:val="24"/>
          <w:szCs w:val="24"/>
        </w:rPr>
        <w:t>20</w:t>
      </w:r>
      <w:r w:rsidRPr="00D74A69">
        <w:rPr>
          <w:rFonts w:ascii="Calibri" w:hAnsi="Calibri" w:cs="Calibri"/>
          <w:sz w:val="24"/>
          <w:szCs w:val="24"/>
        </w:rPr>
        <w:t> × </w:t>
      </w:r>
      <w:r w:rsidRPr="00D74A69">
        <w:rPr>
          <w:rFonts w:cstheme="minorHAnsi"/>
          <w:sz w:val="24"/>
          <w:szCs w:val="24"/>
        </w:rPr>
        <w:t>18</w:t>
      </w:r>
      <w:r w:rsidRPr="00D74A69">
        <w:rPr>
          <w:rFonts w:ascii="Calibri" w:hAnsi="Calibri" w:cs="Calibri"/>
          <w:sz w:val="24"/>
          <w:szCs w:val="24"/>
        </w:rPr>
        <w:t> </w:t>
      </w:r>
      <w:r w:rsidRPr="00D74A69">
        <w:rPr>
          <w:rFonts w:cstheme="minorHAnsi"/>
          <w:sz w:val="24"/>
          <w:szCs w:val="24"/>
        </w:rPr>
        <w:t>mm tissue blocks.</w:t>
      </w:r>
    </w:p>
    <w:p w14:paraId="76B26590" w14:textId="77777777" w:rsidR="00D74A69" w:rsidRPr="00D74A69" w:rsidRDefault="00D74A69" w:rsidP="63C1CD34">
      <w:pPr>
        <w:pStyle w:val="Heading2"/>
        <w:rPr>
          <w:rFonts w:ascii="Calibri Light" w:eastAsia="MS Gothic" w:hAnsi="Calibri Light" w:cs="Times New Roman"/>
          <w:b/>
          <w:bCs/>
        </w:rPr>
      </w:pPr>
      <w:r>
        <w:t>Measurement and data analysis</w:t>
      </w:r>
    </w:p>
    <w:p w14:paraId="34EF3F39" w14:textId="1DF80277" w:rsidR="00D74A69" w:rsidRPr="00D74A69" w:rsidRDefault="00D74A69" w:rsidP="00D74A69">
      <w:pPr>
        <w:rPr>
          <w:rFonts w:cstheme="minorHAnsi"/>
          <w:sz w:val="24"/>
          <w:szCs w:val="24"/>
        </w:rPr>
      </w:pPr>
      <w:r w:rsidRPr="00D74A69">
        <w:rPr>
          <w:rFonts w:cstheme="minorHAnsi"/>
          <w:sz w:val="24"/>
          <w:szCs w:val="24"/>
        </w:rPr>
        <w:t>The needle probe was placed at the center of each tissue sample, as illustrated in </w:t>
      </w:r>
      <w:r w:rsidRPr="00AA718C">
        <w:rPr>
          <w:rFonts w:cstheme="minorHAnsi"/>
          <w:sz w:val="24"/>
          <w:szCs w:val="24"/>
        </w:rPr>
        <w:t>Figure 1(a)</w:t>
      </w:r>
      <w:r w:rsidRPr="00D74A69">
        <w:rPr>
          <w:rFonts w:cstheme="minorHAnsi"/>
          <w:sz w:val="24"/>
          <w:szCs w:val="24"/>
        </w:rPr>
        <w:t>, and the sample was heated for 30 min in a temperature chamber (</w:t>
      </w:r>
      <w:proofErr w:type="spellStart"/>
      <w:r w:rsidRPr="00D74A69">
        <w:rPr>
          <w:rFonts w:cstheme="minorHAnsi"/>
          <w:sz w:val="24"/>
          <w:szCs w:val="24"/>
        </w:rPr>
        <w:t>Tenny</w:t>
      </w:r>
      <w:proofErr w:type="spellEnd"/>
      <w:r w:rsidRPr="00D74A69">
        <w:rPr>
          <w:rFonts w:cstheme="minorHAnsi"/>
          <w:sz w:val="24"/>
          <w:szCs w:val="24"/>
        </w:rPr>
        <w:t xml:space="preserve"> Jr, Thermal Product Solutions, White Deer, Pennsylvania, USA) that was preheated to 100 °C. Diffuse reflectance spectra and </w:t>
      </w:r>
      <w:r w:rsidRPr="00D74A69">
        <w:rPr>
          <w:rFonts w:cstheme="minorHAnsi"/>
          <w:i/>
          <w:iCs/>
          <w:sz w:val="24"/>
          <w:szCs w:val="24"/>
        </w:rPr>
        <w:t>T</w:t>
      </w:r>
      <w:r w:rsidRPr="00D74A69">
        <w:rPr>
          <w:rFonts w:cstheme="minorHAnsi"/>
          <w:sz w:val="24"/>
          <w:szCs w:val="24"/>
        </w:rPr>
        <w:t> of the </w:t>
      </w:r>
      <w:r w:rsidRPr="00D74A69">
        <w:rPr>
          <w:rFonts w:cstheme="minorHAnsi"/>
          <w:i/>
          <w:iCs/>
          <w:sz w:val="24"/>
          <w:szCs w:val="24"/>
        </w:rPr>
        <w:t>ex vivo</w:t>
      </w:r>
      <w:r w:rsidRPr="00D74A69">
        <w:rPr>
          <w:rFonts w:cstheme="minorHAnsi"/>
          <w:sz w:val="24"/>
          <w:szCs w:val="24"/>
        </w:rPr>
        <w:t> tissues were continuously recorded during heating. In addition, for each DRS measurement, a concurrent self-calibration spectrum was recorded. Each tissue spectrum was divided by the calibration spectrum to obtain a normalized spectrum. The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were extracted from the normalized DRS spectrum using the reference phantom spectrum and an inverse Monte-Carlo method for diffuse reflectance [</w:t>
      </w:r>
      <w:r w:rsidRPr="00AA718C">
        <w:rPr>
          <w:rFonts w:cstheme="minorHAnsi"/>
          <w:sz w:val="24"/>
          <w:szCs w:val="24"/>
        </w:rPr>
        <w:t>25</w:t>
      </w:r>
      <w:r w:rsidRPr="00D74A69">
        <w:rPr>
          <w:rFonts w:cstheme="minorHAnsi"/>
          <w:sz w:val="24"/>
          <w:szCs w:val="24"/>
        </w:rPr>
        <w:t>]. The tissue damage index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D74A69">
        <w:rPr>
          <w:rFonts w:cstheme="minorHAnsi"/>
          <w:sz w:val="24"/>
          <w:szCs w:val="24"/>
        </w:rPr>
        <w:t xml:space="preserve"> was calculated using an activation energy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vertAlign w:val="subscript"/>
              </w:rPr>
              <m:t>a</m:t>
            </m:r>
          </m:sub>
        </m:sSub>
        <m:r>
          <w:rPr>
            <w:rFonts w:ascii="Cambria Math" w:hAnsi="Cambria Math" w:cstheme="minorHAnsi"/>
            <w:sz w:val="24"/>
            <w:szCs w:val="24"/>
          </w:rPr>
          <m:t>)</m:t>
        </m:r>
      </m:oMath>
      <w:r w:rsidRPr="00D74A69">
        <w:rPr>
          <w:rFonts w:cstheme="minorHAnsi"/>
          <w:sz w:val="24"/>
          <w:szCs w:val="24"/>
        </w:rPr>
        <w:t xml:space="preserve"> of 66.18 Kcal/mol, a pre-exponential factor (</w:t>
      </w:r>
      <w:r w:rsidRPr="00D74A69">
        <w:rPr>
          <w:rFonts w:cstheme="minorHAnsi"/>
          <w:i/>
          <w:iCs/>
          <w:sz w:val="24"/>
          <w:szCs w:val="24"/>
        </w:rPr>
        <w:t>A</w:t>
      </w:r>
      <w:r w:rsidRPr="00D74A69">
        <w:rPr>
          <w:rFonts w:cstheme="minorHAnsi"/>
          <w:sz w:val="24"/>
          <w:szCs w:val="24"/>
        </w:rPr>
        <w:t>) of 5.51 × 10</w:t>
      </w:r>
      <w:r w:rsidRPr="00D74A69">
        <w:rPr>
          <w:rFonts w:cstheme="minorHAnsi"/>
          <w:sz w:val="24"/>
          <w:szCs w:val="24"/>
          <w:vertAlign w:val="superscript"/>
        </w:rPr>
        <w:t>41</w:t>
      </w:r>
      <w:r w:rsidRPr="00D74A69">
        <w:rPr>
          <w:rFonts w:cstheme="minorHAnsi"/>
          <w:sz w:val="24"/>
          <w:szCs w:val="24"/>
        </w:rPr>
        <w:t> s</w:t>
      </w:r>
      <w:r w:rsidRPr="00D74A69">
        <w:rPr>
          <w:rFonts w:cstheme="minorHAnsi"/>
          <w:sz w:val="24"/>
          <w:szCs w:val="24"/>
          <w:vertAlign w:val="superscript"/>
        </w:rPr>
        <w:t>−1</w:t>
      </w:r>
      <w:r w:rsidRPr="00D74A69">
        <w:rPr>
          <w:rFonts w:cstheme="minorHAnsi"/>
          <w:sz w:val="24"/>
          <w:szCs w:val="24"/>
        </w:rPr>
        <w:t> [</w:t>
      </w:r>
      <w:r w:rsidRPr="00AA718C">
        <w:rPr>
          <w:rFonts w:cstheme="minorHAnsi"/>
          <w:sz w:val="24"/>
          <w:szCs w:val="24"/>
        </w:rPr>
        <w:t>26</w:t>
      </w:r>
      <w:r w:rsidRPr="00D74A69">
        <w:rPr>
          <w:rFonts w:cstheme="minorHAnsi"/>
          <w:sz w:val="24"/>
          <w:szCs w:val="24"/>
        </w:rPr>
        <w:t>] for liver, and </w:t>
      </w:r>
      <w:r w:rsidRPr="00AA718C">
        <w:rPr>
          <w:rFonts w:cstheme="minorHAnsi"/>
          <w:sz w:val="24"/>
          <w:szCs w:val="24"/>
        </w:rPr>
        <w:t>Equations (1)</w:t>
      </w:r>
      <w:r w:rsidRPr="00D74A69">
        <w:rPr>
          <w:rFonts w:cstheme="minorHAnsi"/>
          <w:sz w:val="24"/>
          <w:szCs w:val="24"/>
        </w:rPr>
        <w:t> and </w:t>
      </w:r>
      <w:r w:rsidRPr="00AA718C">
        <w:rPr>
          <w:rFonts w:cstheme="minorHAnsi"/>
          <w:sz w:val="24"/>
          <w:szCs w:val="24"/>
        </w:rPr>
        <w:t>(2)</w:t>
      </w:r>
      <w:r w:rsidRPr="00D74A69">
        <w:rPr>
          <w:rFonts w:cstheme="minorHAnsi"/>
          <w:sz w:val="24"/>
          <w:szCs w:val="24"/>
        </w:rPr>
        <w:t> [</w:t>
      </w:r>
      <w:r w:rsidRPr="00AA718C">
        <w:rPr>
          <w:rFonts w:cstheme="minorHAnsi"/>
          <w:sz w:val="24"/>
          <w:szCs w:val="24"/>
        </w:rPr>
        <w:t>13</w:t>
      </w:r>
      <w:r w:rsidRPr="00D74A69">
        <w:rPr>
          <w:rFonts w:cstheme="minorHAnsi"/>
          <w:sz w:val="24"/>
          <w:szCs w:val="24"/>
        </w:rPr>
        <w:t>,</w:t>
      </w:r>
      <w:r w:rsidRPr="00AA718C">
        <w:rPr>
          <w:rFonts w:cstheme="minorHAnsi"/>
          <w:sz w:val="24"/>
          <w:szCs w:val="24"/>
        </w:rPr>
        <w:t>14</w:t>
      </w:r>
      <w:r w:rsidRPr="00D74A69">
        <w:rPr>
          <w:rFonts w:cstheme="minorHAnsi"/>
          <w:sz w:val="24"/>
          <w:szCs w:val="24"/>
        </w:rPr>
        <w:t>].</w:t>
      </w:r>
    </w:p>
    <w:p w14:paraId="39AAABC3" w14:textId="2D2A0222" w:rsidR="00D51602" w:rsidRPr="00D74A69" w:rsidRDefault="009168FE" w:rsidP="00D74A69">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Ω</m:t>
              </m:r>
            </m:e>
            <m:sub>
              <m:r>
                <w:rPr>
                  <w:rFonts w:ascii="Cambria Math" w:hAnsi="Cambria Math" w:cstheme="minorHAnsi"/>
                  <w:sz w:val="24"/>
                  <w:szCs w:val="24"/>
                </w:rPr>
                <m:t>A</m:t>
              </m:r>
            </m:sub>
          </m:sSub>
          <m:r>
            <w:rPr>
              <w:rFonts w:ascii="Cambria Math" w:hAnsi="Cambria Math" w:cstheme="minorHAnsi"/>
              <w:sz w:val="24"/>
              <w:szCs w:val="24"/>
            </w:rPr>
            <m:t>=</m:t>
          </m:r>
          <m:nary>
            <m:naryPr>
              <m:limLoc m:val="subSup"/>
              <m:ctrlPr>
                <w:rPr>
                  <w:rFonts w:ascii="Cambria Math" w:hAnsi="Cambria Math" w:cstheme="minorHAnsi"/>
                  <w:sz w:val="24"/>
                  <w:szCs w:val="24"/>
                </w:rPr>
              </m:ctrlPr>
            </m:naryPr>
            <m:sub>
              <m:r>
                <w:rPr>
                  <w:rFonts w:ascii="Cambria Math" w:hAnsi="Cambria Math" w:cstheme="minorHAnsi"/>
                  <w:sz w:val="24"/>
                  <w:szCs w:val="24"/>
                </w:rPr>
                <m:t>0</m:t>
              </m:r>
            </m:sub>
            <m:sup>
              <m:r>
                <w:rPr>
                  <w:rFonts w:ascii="Cambria Math" w:hAnsi="Cambria Math" w:cstheme="minorHAnsi"/>
                  <w:sz w:val="24"/>
                  <w:szCs w:val="24"/>
                </w:rPr>
                <m:t>t</m:t>
              </m:r>
            </m:sup>
            <m:e>
              <m:r>
                <w:rPr>
                  <w:rFonts w:ascii="Cambria Math" w:hAnsi="Cambria Math" w:cstheme="minorHAnsi"/>
                  <w:sz w:val="24"/>
                  <w:szCs w:val="24"/>
                </w:rPr>
                <m:t>A</m:t>
              </m:r>
              <m:sSup>
                <m:sSupPr>
                  <m:ctrlPr>
                    <w:rPr>
                      <w:rFonts w:ascii="Cambria Math" w:hAnsi="Cambria Math" w:cstheme="minorHAnsi"/>
                      <w:sz w:val="24"/>
                      <w:szCs w:val="24"/>
                    </w:rPr>
                  </m:ctrlPr>
                </m:sSupPr>
                <m:e>
                  <m:r>
                    <m:rPr>
                      <m:sty m:val="p"/>
                    </m:rPr>
                    <w:rPr>
                      <w:rFonts w:ascii="Cambria Math" w:hAnsi="Cambria Math" w:cstheme="minorHAnsi"/>
                      <w:sz w:val="24"/>
                      <w:szCs w:val="24"/>
                    </w:rPr>
                    <m:t>e</m:t>
                  </m:r>
                </m:e>
                <m:sup>
                  <m:f>
                    <m:fPr>
                      <m:ctrlPr>
                        <w:rPr>
                          <w:rFonts w:ascii="Cambria Math" w:hAnsi="Cambria Math" w:cstheme="minorHAnsi"/>
                          <w:sz w:val="24"/>
                          <w:szCs w:val="24"/>
                        </w:rPr>
                      </m:ctrlPr>
                    </m:fPr>
                    <m:num>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a</m:t>
                          </m:r>
                        </m:sub>
                      </m:sSub>
                    </m:num>
                    <m:den>
                      <m:r>
                        <w:rPr>
                          <w:rFonts w:ascii="Cambria Math" w:hAnsi="Cambria Math" w:cstheme="minorHAnsi"/>
                          <w:sz w:val="24"/>
                          <w:szCs w:val="24"/>
                        </w:rPr>
                        <m:t>RT</m:t>
                      </m:r>
                      <m:d>
                        <m:dPr>
                          <m:ctrlPr>
                            <w:rPr>
                              <w:rFonts w:ascii="Cambria Math" w:hAnsi="Cambria Math" w:cstheme="minorHAnsi"/>
                              <w:i/>
                              <w:sz w:val="24"/>
                              <w:szCs w:val="24"/>
                            </w:rPr>
                          </m:ctrlPr>
                        </m:dPr>
                        <m:e>
                          <m:r>
                            <w:rPr>
                              <w:rFonts w:ascii="Cambria Math" w:hAnsi="Cambria Math" w:cstheme="minorHAnsi"/>
                              <w:sz w:val="24"/>
                              <w:szCs w:val="24"/>
                            </w:rPr>
                            <m:t>t</m:t>
                          </m:r>
                        </m:e>
                      </m:d>
                    </m:den>
                  </m:f>
                </m:sup>
              </m:sSup>
            </m:e>
          </m:nary>
        </m:oMath>
      </m:oMathPara>
    </w:p>
    <w:p w14:paraId="4E68B692" w14:textId="77777777" w:rsidR="00D74A69" w:rsidRPr="00D74A69" w:rsidRDefault="00D74A69" w:rsidP="00D74A69">
      <w:pPr>
        <w:rPr>
          <w:rFonts w:cstheme="minorHAnsi"/>
          <w:sz w:val="24"/>
          <w:szCs w:val="24"/>
        </w:rPr>
      </w:pPr>
      <w:r w:rsidRPr="00D74A69">
        <w:rPr>
          <w:rFonts w:cstheme="minorHAnsi"/>
          <w:sz w:val="24"/>
          <w:szCs w:val="24"/>
        </w:rPr>
        <w:t>(1)</w:t>
      </w:r>
    </w:p>
    <w:p w14:paraId="00DD2307" w14:textId="5AB83474" w:rsidR="00C77809" w:rsidRDefault="00C77809" w:rsidP="00D74A69">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rPr>
                <m:t>d</m:t>
              </m:r>
            </m:sub>
          </m:sSub>
          <m:r>
            <w:rPr>
              <w:rFonts w:ascii="Cambria Math" w:hAnsi="Cambria Math" w:cstheme="minorHAnsi"/>
              <w:sz w:val="24"/>
              <w:szCs w:val="24"/>
            </w:rPr>
            <m:t>=1-</m:t>
          </m:r>
          <m:sSup>
            <m:sSupPr>
              <m:ctrlPr>
                <w:rPr>
                  <w:rFonts w:ascii="Cambria Math" w:hAnsi="Cambria Math" w:cstheme="minorHAnsi"/>
                  <w:sz w:val="24"/>
                  <w:szCs w:val="24"/>
                </w:rPr>
              </m:ctrlPr>
            </m:sSupPr>
            <m:e>
              <m:r>
                <m:rPr>
                  <m:sty m:val="p"/>
                </m:rPr>
                <w:rPr>
                  <w:rFonts w:ascii="Cambria Math" w:hAnsi="Cambria Math" w:cstheme="minorHAnsi"/>
                  <w:sz w:val="24"/>
                  <w:szCs w:val="24"/>
                </w:rPr>
                <m:t>e</m:t>
              </m:r>
            </m:e>
            <m:sup>
              <m:sSub>
                <m:sSubPr>
                  <m:ctrlPr>
                    <w:rPr>
                      <w:rFonts w:ascii="Cambria Math" w:hAnsi="Cambria Math" w:cstheme="minorHAnsi"/>
                      <w:sz w:val="24"/>
                      <w:szCs w:val="24"/>
                    </w:rPr>
                  </m:ctrlPr>
                </m:sSubPr>
                <m:e>
                  <m:r>
                    <w:rPr>
                      <w:rFonts w:ascii="Cambria Math" w:hAnsi="Cambria Math" w:cstheme="minorHAnsi"/>
                      <w:sz w:val="24"/>
                      <w:szCs w:val="24"/>
                    </w:rPr>
                    <m:t>Ω</m:t>
                  </m:r>
                </m:e>
                <m:sub>
                  <m:r>
                    <w:rPr>
                      <w:rFonts w:ascii="Cambria Math" w:hAnsi="Cambria Math" w:cstheme="minorHAnsi"/>
                      <w:sz w:val="24"/>
                      <w:szCs w:val="24"/>
                    </w:rPr>
                    <m:t>A</m:t>
                  </m:r>
                </m:sub>
              </m:sSub>
            </m:sup>
          </m:sSup>
        </m:oMath>
      </m:oMathPara>
    </w:p>
    <w:p w14:paraId="11E40CC0" w14:textId="74C9E82E" w:rsidR="00C77809" w:rsidRDefault="00D74A69" w:rsidP="00D74A69">
      <w:pPr>
        <w:rPr>
          <w:rFonts w:cstheme="minorHAnsi"/>
          <w:sz w:val="24"/>
          <w:szCs w:val="24"/>
        </w:rPr>
      </w:pPr>
      <w:r w:rsidRPr="00D74A69">
        <w:rPr>
          <w:rFonts w:cstheme="minorHAnsi"/>
          <w:sz w:val="24"/>
          <w:szCs w:val="24"/>
        </w:rPr>
        <w:t>(2)</w:t>
      </w:r>
    </w:p>
    <w:p w14:paraId="45A9D0AC" w14:textId="4C2CA847" w:rsidR="00D74A69" w:rsidRPr="00D74A69" w:rsidRDefault="00D74A69" w:rsidP="00D74A69">
      <w:pPr>
        <w:rPr>
          <w:rFonts w:cstheme="minorHAnsi"/>
          <w:sz w:val="24"/>
          <w:szCs w:val="24"/>
        </w:rPr>
      </w:pPr>
      <w:r w:rsidRPr="00D74A69">
        <w:rPr>
          <w:rFonts w:cstheme="minorHAnsi"/>
          <w:sz w:val="24"/>
          <w:szCs w:val="24"/>
        </w:rPr>
        <w:t>where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D74A69">
        <w:rPr>
          <w:rFonts w:cstheme="minorHAnsi"/>
          <w:sz w:val="24"/>
          <w:szCs w:val="24"/>
        </w:rPr>
        <w:t xml:space="preserve"> = 1 signifies complete tissue denaturation, </w:t>
      </w:r>
      <w:proofErr w:type="gramStart"/>
      <w:r w:rsidRPr="00D74A69">
        <w:rPr>
          <w:rFonts w:cstheme="minorHAnsi"/>
          <w:sz w:val="24"/>
          <w:szCs w:val="24"/>
        </w:rPr>
        <w:t>whereas,</w:t>
      </w:r>
      <w:proofErr w:type="gramEnd"/>
      <w:r w:rsidRPr="00D74A69">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D74A69">
        <w:rPr>
          <w:rFonts w:cstheme="minorHAnsi"/>
          <w:sz w:val="24"/>
          <w:szCs w:val="24"/>
        </w:rPr>
        <w:t> = 0 indicates no thermal denaturation, or native tissue.</w:t>
      </w:r>
    </w:p>
    <w:p w14:paraId="1EB72370" w14:textId="15D1C9ED" w:rsidR="00D74A69" w:rsidRPr="00D74A69" w:rsidRDefault="00D74A69" w:rsidP="00D74A69">
      <w:pPr>
        <w:rPr>
          <w:rFonts w:cstheme="minorHAnsi"/>
          <w:sz w:val="24"/>
          <w:szCs w:val="24"/>
        </w:rPr>
      </w:pPr>
      <w:r w:rsidRPr="00D74A69">
        <w:rPr>
          <w:rFonts w:cstheme="minorHAnsi"/>
          <w:sz w:val="24"/>
          <w:szCs w:val="24"/>
        </w:rPr>
        <w:t>The liver tissue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observed between 20 °C (room temperature) and 37 °C were averaged to obtain a baseline measurement. The relative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w:t>
      </w:r>
      <m:oMath>
        <m:f>
          <m:fPr>
            <m:ctrlPr>
              <w:rPr>
                <w:rFonts w:ascii="Cambria Math" w:hAnsi="Cambria Math" w:cstheme="minorHAnsi"/>
                <w:sz w:val="24"/>
                <w:szCs w:val="24"/>
              </w:rPr>
            </m:ctrlPr>
          </m:fPr>
          <m:num>
            <m:r>
              <m:rPr>
                <m:nor/>
              </m:rPr>
              <w:rPr>
                <w:rFonts w:cstheme="minorHAnsi"/>
                <w:sz w:val="24"/>
                <w:szCs w:val="24"/>
              </w:rPr>
              <m:t>Measurement</m:t>
            </m:r>
            <m:r>
              <w:rPr>
                <w:rFonts w:ascii="Cambria Math" w:hAnsi="Cambria Math" w:cstheme="minorHAnsi"/>
                <w:sz w:val="24"/>
                <w:szCs w:val="24"/>
              </w:rPr>
              <m:t>-</m:t>
            </m:r>
            <m:r>
              <m:rPr>
                <m:nor/>
              </m:rPr>
              <w:rPr>
                <w:rFonts w:cstheme="minorHAnsi"/>
                <w:sz w:val="24"/>
                <w:szCs w:val="24"/>
              </w:rPr>
              <m:t>Basline</m:t>
            </m:r>
          </m:num>
          <m:den>
            <m:r>
              <m:rPr>
                <m:nor/>
              </m:rPr>
              <w:rPr>
                <w:rFonts w:cstheme="minorHAnsi"/>
                <w:sz w:val="24"/>
                <w:szCs w:val="24"/>
              </w:rPr>
              <m:t>Baseline</m:t>
            </m:r>
          </m:den>
        </m:f>
      </m:oMath>
      <w:r w:rsidRPr="00D74A69">
        <w:rPr>
          <w:rFonts w:cstheme="minorHAnsi"/>
          <w:sz w:val="24"/>
          <w:szCs w:val="24"/>
        </w:rPr>
        <w:t>), from the baseline measurements (native tissues), at 37 °C (level 1), 55 °C (level 2), 65 °C (level 3) and 75 °C (level 4) were statistically compared with the calculated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D74A69">
        <w:rPr>
          <w:rFonts w:cstheme="minorHAnsi"/>
          <w:sz w:val="24"/>
          <w:szCs w:val="24"/>
        </w:rPr>
        <w:t> at the corresponding </w:t>
      </w:r>
      <w:r w:rsidRPr="00D74A69">
        <w:rPr>
          <w:rFonts w:cstheme="minorHAnsi"/>
          <w:i/>
          <w:iCs/>
          <w:sz w:val="24"/>
          <w:szCs w:val="24"/>
        </w:rPr>
        <w:t>T</w:t>
      </w:r>
      <w:r w:rsidRPr="00D74A69">
        <w:rPr>
          <w:rFonts w:cstheme="minorHAnsi"/>
          <w:sz w:val="24"/>
          <w:szCs w:val="24"/>
        </w:rPr>
        <w:t> using a paired </w:t>
      </w:r>
      <w:r w:rsidRPr="00D74A69">
        <w:rPr>
          <w:rFonts w:cstheme="minorHAnsi"/>
          <w:i/>
          <w:iCs/>
          <w:sz w:val="24"/>
          <w:szCs w:val="24"/>
        </w:rPr>
        <w:t>t</w:t>
      </w:r>
      <w:r w:rsidRPr="00D74A69">
        <w:rPr>
          <w:rFonts w:cstheme="minorHAnsi"/>
          <w:sz w:val="24"/>
          <w:szCs w:val="24"/>
        </w:rPr>
        <w:t>-test. Also, the relationship between the relative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D74A69">
        <w:rPr>
          <w:rFonts w:cstheme="minorHAnsi"/>
          <w:sz w:val="24"/>
          <w:szCs w:val="24"/>
        </w:rPr>
        <w:t> have been established and studied. Pearson’s correlation was used to compare relative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to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D74A69">
        <w:rPr>
          <w:rFonts w:cstheme="minorHAnsi"/>
          <w:sz w:val="24"/>
          <w:szCs w:val="24"/>
        </w:rPr>
        <w:t>.</w:t>
      </w:r>
    </w:p>
    <w:p w14:paraId="72D74811" w14:textId="77777777" w:rsidR="00D74A69" w:rsidRPr="00D74A69" w:rsidRDefault="00D74A69" w:rsidP="63C1CD34">
      <w:pPr>
        <w:pStyle w:val="Heading1"/>
        <w:rPr>
          <w:rFonts w:ascii="Calibri Light" w:eastAsia="MS Gothic" w:hAnsi="Calibri Light" w:cs="Times New Roman"/>
          <w:b/>
          <w:bCs/>
        </w:rPr>
      </w:pPr>
      <w:r>
        <w:t>Results</w:t>
      </w:r>
    </w:p>
    <w:p w14:paraId="47F49FD9" w14:textId="77777777" w:rsidR="00D74A69" w:rsidRPr="00D74A69" w:rsidRDefault="00D74A69" w:rsidP="63C1CD34">
      <w:pPr>
        <w:pStyle w:val="Heading2"/>
        <w:rPr>
          <w:rFonts w:ascii="Calibri Light" w:eastAsia="MS Gothic" w:hAnsi="Calibri Light" w:cs="Times New Roman"/>
          <w:b/>
          <w:bCs/>
        </w:rPr>
      </w:pPr>
      <w:r>
        <w:t>Phantom experiment</w:t>
      </w:r>
    </w:p>
    <w:p w14:paraId="0EA5226C" w14:textId="7C2CBDBD" w:rsidR="00D74A69" w:rsidRPr="00D74A69" w:rsidRDefault="00D74A69" w:rsidP="63C1CD34">
      <w:pPr>
        <w:rPr>
          <w:sz w:val="24"/>
          <w:szCs w:val="24"/>
        </w:rPr>
      </w:pPr>
      <w:r w:rsidRPr="63C1CD34">
        <w:rPr>
          <w:sz w:val="24"/>
          <w:szCs w:val="24"/>
        </w:rPr>
        <w:t>The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63C1CD34">
        <w:rPr>
          <w:sz w:val="24"/>
          <w:szCs w:val="24"/>
        </w:rPr>
        <w:t xml:space="preserve">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w:t>
      </w:r>
      <w:r w:rsidRPr="63C1CD34">
        <w:rPr>
          <w:i/>
          <w:iCs/>
          <w:sz w:val="24"/>
          <w:szCs w:val="24"/>
        </w:rPr>
        <w:t>λ</w:t>
      </w:r>
      <w:r w:rsidRPr="63C1CD34">
        <w:rPr>
          <w:sz w:val="24"/>
          <w:szCs w:val="24"/>
        </w:rPr>
        <w:t>) of the 11 phantoms were extracted using the inverse Monte-Carlo model, and the wavelength-averaged values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are plotted against the expected values in </w:t>
      </w:r>
      <w:r w:rsidRPr="00AA718C">
        <w:rPr>
          <w:sz w:val="24"/>
          <w:szCs w:val="24"/>
        </w:rPr>
        <w:t>Figure 2(</w:t>
      </w:r>
      <w:proofErr w:type="spellStart"/>
      <w:proofErr w:type="gramStart"/>
      <w:r w:rsidRPr="00AA718C">
        <w:rPr>
          <w:sz w:val="24"/>
          <w:szCs w:val="24"/>
        </w:rPr>
        <w:t>a,b</w:t>
      </w:r>
      <w:proofErr w:type="spellEnd"/>
      <w:proofErr w:type="gramEnd"/>
      <w:r w:rsidRPr="00AA718C">
        <w:rPr>
          <w:sz w:val="24"/>
          <w:szCs w:val="24"/>
        </w:rPr>
        <w:t>)</w:t>
      </w:r>
      <w:r w:rsidRPr="63C1CD34">
        <w:rPr>
          <w:sz w:val="24"/>
          <w:szCs w:val="24"/>
        </w:rPr>
        <w:t>, respectively. The overall errors for extracting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the tissue-mimicking phantoms were 10.2% and 6.7%, respectively. Error bars in all the figures are standard deviations of the mean obtained by using each of the phantoms as a reference.</w:t>
      </w:r>
    </w:p>
    <w:p w14:paraId="702653DC" w14:textId="6CCCF7D8" w:rsidR="00D74A69" w:rsidRPr="00AD0890" w:rsidRDefault="00D74A69" w:rsidP="00AD0890">
      <w:pPr>
        <w:pStyle w:val="NoSpacing"/>
      </w:pPr>
      <w:r w:rsidRPr="00AD0890">
        <w:t>Figure 2. The measured vs. expected (a) </w:t>
      </w:r>
      <m:oMath>
        <m:sSub>
          <m:sSubPr>
            <m:ctrlPr>
              <w:rPr>
                <w:rFonts w:ascii="Cambria Math" w:hAnsi="Cambria Math"/>
              </w:rPr>
            </m:ctrlPr>
          </m:sSubPr>
          <m:e>
            <m:r>
              <m:rPr>
                <m:sty m:val="p"/>
              </m:rPr>
              <w:rPr>
                <w:rFonts w:ascii="Cambria Math" w:hAnsi="Cambria Math"/>
              </w:rPr>
              <m:t>µ</m:t>
            </m:r>
          </m:e>
          <m:sub>
            <m:r>
              <w:rPr>
                <w:rFonts w:ascii="Cambria Math" w:hAnsi="Cambria Math"/>
              </w:rPr>
              <m:t>a</m:t>
            </m:r>
          </m:sub>
        </m:sSub>
      </m:oMath>
      <w:r w:rsidRPr="00AD0890">
        <w:t> and (b) </w:t>
      </w:r>
      <m:oMath>
        <m:sSubSup>
          <m:sSubSupPr>
            <m:ctrlPr>
              <w:rPr>
                <w:rFonts w:ascii="Cambria Math" w:hAnsi="Cambria Math"/>
              </w:rPr>
            </m:ctrlPr>
          </m:sSubSupPr>
          <m:e>
            <m:r>
              <m:rPr>
                <m:sty m:val="p"/>
              </m:rPr>
              <w:rPr>
                <w:rFonts w:ascii="Cambria Math" w:hAnsi="Cambria Math"/>
              </w:rPr>
              <m:t>µ</m:t>
            </m:r>
          </m:e>
          <m:sub>
            <m:r>
              <w:rPr>
                <w:rFonts w:ascii="Cambria Math" w:hAnsi="Cambria Math"/>
              </w:rPr>
              <m:t>s</m:t>
            </m:r>
          </m:sub>
          <m:sup>
            <m:r>
              <m:rPr>
                <m:sty m:val="p"/>
              </m:rPr>
              <w:rPr>
                <w:rFonts w:ascii="Cambria Math" w:hAnsi="Cambria Math"/>
              </w:rPr>
              <m:t>'</m:t>
            </m:r>
          </m:sup>
        </m:sSubSup>
      </m:oMath>
      <w:r w:rsidRPr="00AD0890">
        <w:t xml:space="preserve"> of the tissue mimicking phantoms.</w:t>
      </w:r>
    </w:p>
    <w:p w14:paraId="096C1BD5" w14:textId="196AA61D" w:rsidR="00D74A69" w:rsidRPr="00D74A69" w:rsidRDefault="00D74A69" w:rsidP="0036521D">
      <w:pPr>
        <w:pStyle w:val="NoSpacing"/>
      </w:pPr>
      <w:r w:rsidRPr="00D74A69">
        <w:rPr>
          <w:noProof/>
        </w:rPr>
        <w:drawing>
          <wp:inline distT="0" distB="0" distL="0" distR="0" wp14:anchorId="36E76603" wp14:editId="052CDA48">
            <wp:extent cx="4762500" cy="1394460"/>
            <wp:effectExtent l="0" t="0" r="0" b="0"/>
            <wp:docPr id="11" name="Picture 11">
              <a:hlinkClick xmlns:a="http://schemas.openxmlformats.org/drawingml/2006/main" r:id="rId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1394460"/>
                    </a:xfrm>
                    <a:prstGeom prst="rect">
                      <a:avLst/>
                    </a:prstGeom>
                    <a:noFill/>
                    <a:ln>
                      <a:noFill/>
                    </a:ln>
                  </pic:spPr>
                </pic:pic>
              </a:graphicData>
            </a:graphic>
          </wp:inline>
        </w:drawing>
      </w:r>
    </w:p>
    <w:p w14:paraId="13746611" w14:textId="0EC15326" w:rsidR="00D74A69" w:rsidRPr="00D74A69" w:rsidRDefault="00D74A69" w:rsidP="63C1CD34">
      <w:pPr>
        <w:rPr>
          <w:sz w:val="24"/>
          <w:szCs w:val="24"/>
        </w:rPr>
      </w:pPr>
    </w:p>
    <w:p w14:paraId="737C49AD" w14:textId="77777777" w:rsidR="00D74A69" w:rsidRPr="00D74A69" w:rsidRDefault="00D74A69" w:rsidP="63C1CD34">
      <w:pPr>
        <w:pStyle w:val="Heading2"/>
        <w:rPr>
          <w:rFonts w:ascii="Calibri Light" w:eastAsia="MS Gothic" w:hAnsi="Calibri Light" w:cs="Times New Roman"/>
          <w:b/>
          <w:bCs/>
        </w:rPr>
      </w:pPr>
      <w:r>
        <w:t>Ex vivo liver tissue</w:t>
      </w:r>
    </w:p>
    <w:p w14:paraId="02237833" w14:textId="3A636D03" w:rsidR="00D74A69" w:rsidRPr="00D74A69" w:rsidRDefault="00D74A69" w:rsidP="63C1CD34">
      <w:pPr>
        <w:rPr>
          <w:sz w:val="24"/>
          <w:szCs w:val="24"/>
        </w:rPr>
      </w:pPr>
      <w:r w:rsidRPr="63C1CD34">
        <w:rPr>
          <w:sz w:val="24"/>
          <w:szCs w:val="24"/>
        </w:rPr>
        <w:t>The mean liver tissue temperature vs. time is plotted in </w:t>
      </w:r>
      <w:r w:rsidRPr="00AA718C">
        <w:rPr>
          <w:sz w:val="24"/>
          <w:szCs w:val="24"/>
        </w:rPr>
        <w:t>Figure 3</w:t>
      </w:r>
      <w:r w:rsidRPr="63C1CD34">
        <w:rPr>
          <w:sz w:val="24"/>
          <w:szCs w:val="24"/>
        </w:rPr>
        <w:t>. It takes approximately 4.5 min for the tissue at the probe tip to reach 50 °C. The mean and standard deviation (</w:t>
      </w:r>
      <w:r w:rsidRPr="63C1CD34">
        <w:rPr>
          <w:i/>
          <w:iCs/>
          <w:sz w:val="24"/>
          <w:szCs w:val="24"/>
        </w:rPr>
        <w:t>n</w:t>
      </w:r>
      <w:r w:rsidRPr="63C1CD34">
        <w:rPr>
          <w:sz w:val="24"/>
          <w:szCs w:val="24"/>
        </w:rPr>
        <w:t> = 10) for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recorded during heating of the </w:t>
      </w:r>
      <w:r w:rsidRPr="63C1CD34">
        <w:rPr>
          <w:i/>
          <w:iCs/>
          <w:sz w:val="24"/>
          <w:szCs w:val="24"/>
        </w:rPr>
        <w:t>ex vivo</w:t>
      </w:r>
      <w:r w:rsidRPr="63C1CD34">
        <w:rPr>
          <w:sz w:val="24"/>
          <w:szCs w:val="24"/>
        </w:rPr>
        <w:t> liver tissue are present in </w:t>
      </w:r>
      <w:r w:rsidRPr="00AA718C">
        <w:rPr>
          <w:sz w:val="24"/>
          <w:szCs w:val="24"/>
        </w:rPr>
        <w:t>Figure 4(</w:t>
      </w:r>
      <w:proofErr w:type="spellStart"/>
      <w:proofErr w:type="gramStart"/>
      <w:r w:rsidRPr="00AA718C">
        <w:rPr>
          <w:sz w:val="24"/>
          <w:szCs w:val="24"/>
        </w:rPr>
        <w:t>a,b</w:t>
      </w:r>
      <w:proofErr w:type="spellEnd"/>
      <w:proofErr w:type="gramEnd"/>
      <w:r w:rsidRPr="00AA718C">
        <w:rPr>
          <w:sz w:val="24"/>
          <w:szCs w:val="24"/>
        </w:rPr>
        <w:t>)</w:t>
      </w:r>
      <w:r w:rsidRPr="63C1CD34">
        <w:rPr>
          <w:sz w:val="24"/>
          <w:szCs w:val="24"/>
        </w:rPr>
        <w:t>. The mean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for liver tissue were 8.5 ± 3.7 and 2.8 ± 1.1 </w:t>
      </w:r>
      <w:proofErr w:type="gramStart"/>
      <w:r w:rsidRPr="63C1CD34">
        <w:rPr>
          <w:sz w:val="24"/>
          <w:szCs w:val="24"/>
        </w:rPr>
        <w:t>cm</w:t>
      </w:r>
      <w:r w:rsidRPr="63C1CD34">
        <w:rPr>
          <w:sz w:val="24"/>
          <w:szCs w:val="24"/>
          <w:vertAlign w:val="superscript"/>
        </w:rPr>
        <w:t>−1</w:t>
      </w:r>
      <w:proofErr w:type="gramEnd"/>
      <w:r w:rsidRPr="63C1CD34">
        <w:rPr>
          <w:sz w:val="24"/>
          <w:szCs w:val="24"/>
        </w:rPr>
        <w:t>, respectively. Both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began to increase rapidly at about 45 °C and plateaued at about 67 °C, following a sigmoidal trend. The relative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of the liver tissues during heating are shown in </w:t>
      </w:r>
      <w:r w:rsidRPr="00AA718C">
        <w:rPr>
          <w:sz w:val="24"/>
          <w:szCs w:val="24"/>
        </w:rPr>
        <w:t>Figure 4(</w:t>
      </w:r>
      <w:proofErr w:type="spellStart"/>
      <w:proofErr w:type="gramStart"/>
      <w:r w:rsidRPr="00AA718C">
        <w:rPr>
          <w:sz w:val="24"/>
          <w:szCs w:val="24"/>
        </w:rPr>
        <w:t>c,d</w:t>
      </w:r>
      <w:proofErr w:type="spellEnd"/>
      <w:proofErr w:type="gramEnd"/>
      <w:r w:rsidRPr="00AA718C">
        <w:rPr>
          <w:sz w:val="24"/>
          <w:szCs w:val="24"/>
        </w:rPr>
        <w:t>)</w:t>
      </w:r>
      <w:r w:rsidRPr="63C1CD34">
        <w:rPr>
          <w:sz w:val="24"/>
          <w:szCs w:val="24"/>
        </w:rPr>
        <w:t>, respectively. In addition, the mean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63C1CD34">
        <w:rPr>
          <w:sz w:val="24"/>
          <w:szCs w:val="24"/>
        </w:rPr>
        <w:t xml:space="preserve">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63C1CD34">
        <w:rPr>
          <w:sz w:val="24"/>
          <w:szCs w:val="24"/>
        </w:rPr>
        <w:t xml:space="preserve"> at some characteristic wavelengths 488 nm (argon laser line), 542 nm (absorption peak for oxyhemoglobin), 550 nm (absorption peak for deoxyhemoglobin) and 594 nm (absorption peak for oxyhemoglobin) are plotted with the mean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in </w:t>
      </w:r>
      <w:r w:rsidRPr="00AA718C">
        <w:rPr>
          <w:sz w:val="24"/>
          <w:szCs w:val="24"/>
        </w:rPr>
        <w:t>Figure 5</w:t>
      </w:r>
      <w:r w:rsidRPr="63C1CD34">
        <w:rPr>
          <w:sz w:val="24"/>
          <w:szCs w:val="24"/>
        </w:rPr>
        <w:t>. The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63C1CD34">
        <w:rPr>
          <w:sz w:val="24"/>
          <w:szCs w:val="24"/>
        </w:rPr>
        <w:t xml:space="preserve">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63C1CD34">
        <w:rPr>
          <w:sz w:val="24"/>
          <w:szCs w:val="24"/>
        </w:rPr>
        <w:t xml:space="preserve"> at these four wavelengths showed similar general trends as that of the wavelength-averaged values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and therefore, only the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are used for further analysis in the report.</w:t>
      </w:r>
    </w:p>
    <w:p w14:paraId="25C6E3DE" w14:textId="77777777" w:rsidR="00D74A69" w:rsidRPr="00D74A69" w:rsidRDefault="00D74A69" w:rsidP="00576A71">
      <w:pPr>
        <w:pStyle w:val="NoSpacing"/>
      </w:pPr>
      <w:r w:rsidRPr="00D74A69">
        <w:t>Figure 3. The mean tissue temperature vs. time during heating of </w:t>
      </w:r>
      <w:r w:rsidRPr="00D74A69">
        <w:rPr>
          <w:i/>
          <w:iCs/>
        </w:rPr>
        <w:t>ex vivo</w:t>
      </w:r>
      <w:r w:rsidRPr="00D74A69">
        <w:t> porcine liver samples.</w:t>
      </w:r>
    </w:p>
    <w:p w14:paraId="5A207CFD" w14:textId="26C19191" w:rsidR="00D74A69" w:rsidRPr="00576A71" w:rsidRDefault="00D74A69" w:rsidP="00576A71">
      <w:pPr>
        <w:pStyle w:val="NoSpacing"/>
      </w:pPr>
      <w:r w:rsidRPr="00576A71">
        <w:drawing>
          <wp:inline distT="0" distB="0" distL="0" distR="0" wp14:anchorId="6641475F" wp14:editId="24BEA0F3">
            <wp:extent cx="3657600" cy="2157984"/>
            <wp:effectExtent l="0" t="0" r="0" b="0"/>
            <wp:docPr id="10" name="Picture 10">
              <a:hlinkClick xmlns:a="http://schemas.openxmlformats.org/drawingml/2006/main" r:id="rId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hlinkClick r:id="rId11"/>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157984"/>
                    </a:xfrm>
                    <a:prstGeom prst="rect">
                      <a:avLst/>
                    </a:prstGeom>
                    <a:noFill/>
                    <a:ln>
                      <a:noFill/>
                    </a:ln>
                  </pic:spPr>
                </pic:pic>
              </a:graphicData>
            </a:graphic>
          </wp:inline>
        </w:drawing>
      </w:r>
    </w:p>
    <w:p w14:paraId="488B6B11" w14:textId="6CDC1C85" w:rsidR="00D74A69" w:rsidRPr="00AE4A74" w:rsidRDefault="00D74A69" w:rsidP="00576A71">
      <w:pPr>
        <w:pStyle w:val="NoSpacing"/>
      </w:pPr>
      <w:r w:rsidRPr="00AE4A74">
        <w:t>Figure 4. Absolute change in the liver tissue (a) </w:t>
      </w:r>
      <m:oMath>
        <m:sSub>
          <m:sSubPr>
            <m:ctrlPr>
              <w:rPr>
                <w:rFonts w:ascii="Cambria Math" w:hAnsi="Cambria Math" w:cstheme="minorHAnsi"/>
                <w:i/>
                <w:iCs/>
              </w:rPr>
            </m:ctrlPr>
          </m:sSubPr>
          <m:e>
            <m:r>
              <w:rPr>
                <w:rFonts w:ascii="Cambria Math" w:hAnsi="Cambria Math" w:cstheme="minorHAnsi"/>
              </w:rPr>
              <m:t>µ</m:t>
            </m:r>
          </m:e>
          <m:sub>
            <m:r>
              <w:rPr>
                <w:rFonts w:ascii="Cambria Math" w:hAnsi="Cambria Math" w:cstheme="minorHAnsi"/>
                <w:vertAlign w:val="subscript"/>
              </w:rPr>
              <m:t>a</m:t>
            </m:r>
          </m:sub>
        </m:sSub>
      </m:oMath>
      <w:r w:rsidRPr="00AE4A74">
        <w:t> and (b) </w:t>
      </w:r>
      <m:oMath>
        <m:sSubSup>
          <m:sSubSupPr>
            <m:ctrlPr>
              <w:rPr>
                <w:rFonts w:ascii="Cambria Math" w:hAnsi="Cambria Math" w:cstheme="minorHAnsi"/>
                <w:i/>
                <w:iCs/>
              </w:rPr>
            </m:ctrlPr>
          </m:sSubSupPr>
          <m:e>
            <m:r>
              <w:rPr>
                <w:rFonts w:ascii="Cambria Math" w:hAnsi="Cambria Math" w:cstheme="minorHAnsi"/>
              </w:rPr>
              <m:t>µ</m:t>
            </m:r>
          </m:e>
          <m:sub>
            <m:r>
              <w:rPr>
                <w:rFonts w:ascii="Cambria Math" w:hAnsi="Cambria Math" w:cstheme="minorHAnsi"/>
                <w:vertAlign w:val="subscript"/>
              </w:rPr>
              <m:t>s</m:t>
            </m:r>
          </m:sub>
          <m:sup>
            <m:r>
              <w:rPr>
                <w:rFonts w:ascii="Cambria Math" w:hAnsi="Cambria Math" w:cstheme="minorHAnsi"/>
              </w:rPr>
              <m:t>'</m:t>
            </m:r>
          </m:sup>
        </m:sSubSup>
      </m:oMath>
      <w:r w:rsidRPr="00AE4A74">
        <w:t xml:space="preserve"> and relative change in (c) </w:t>
      </w:r>
      <m:oMath>
        <m:sSub>
          <m:sSubPr>
            <m:ctrlPr>
              <w:rPr>
                <w:rFonts w:ascii="Cambria Math" w:hAnsi="Cambria Math" w:cstheme="minorHAnsi"/>
                <w:i/>
                <w:iCs/>
              </w:rPr>
            </m:ctrlPr>
          </m:sSubPr>
          <m:e>
            <m:r>
              <w:rPr>
                <w:rFonts w:ascii="Cambria Math" w:hAnsi="Cambria Math" w:cstheme="minorHAnsi"/>
              </w:rPr>
              <m:t>µ</m:t>
            </m:r>
          </m:e>
          <m:sub>
            <m:r>
              <w:rPr>
                <w:rFonts w:ascii="Cambria Math" w:hAnsi="Cambria Math" w:cstheme="minorHAnsi"/>
                <w:vertAlign w:val="subscript"/>
              </w:rPr>
              <m:t>a</m:t>
            </m:r>
          </m:sub>
        </m:sSub>
      </m:oMath>
      <w:r w:rsidRPr="00AE4A74">
        <w:t> and (d) </w:t>
      </w:r>
      <m:oMath>
        <m:sSubSup>
          <m:sSubSupPr>
            <m:ctrlPr>
              <w:rPr>
                <w:rFonts w:ascii="Cambria Math" w:hAnsi="Cambria Math" w:cstheme="minorHAnsi"/>
                <w:i/>
                <w:iCs/>
              </w:rPr>
            </m:ctrlPr>
          </m:sSubSupPr>
          <m:e>
            <m:r>
              <w:rPr>
                <w:rFonts w:ascii="Cambria Math" w:hAnsi="Cambria Math" w:cstheme="minorHAnsi"/>
              </w:rPr>
              <m:t>µ</m:t>
            </m:r>
          </m:e>
          <m:sub>
            <m:r>
              <w:rPr>
                <w:rFonts w:ascii="Cambria Math" w:hAnsi="Cambria Math" w:cstheme="minorHAnsi"/>
                <w:vertAlign w:val="subscript"/>
              </w:rPr>
              <m:t>s</m:t>
            </m:r>
          </m:sub>
          <m:sup>
            <m:r>
              <w:rPr>
                <w:rFonts w:ascii="Cambria Math" w:hAnsi="Cambria Math" w:cstheme="minorHAnsi"/>
              </w:rPr>
              <m:t>'</m:t>
            </m:r>
          </m:sup>
        </m:sSubSup>
      </m:oMath>
      <w:r w:rsidRPr="00AE4A74">
        <w:t xml:space="preserve"> (n = 10).</w:t>
      </w:r>
    </w:p>
    <w:p w14:paraId="7444B955" w14:textId="77098135" w:rsidR="00D74A69" w:rsidRPr="00576A71" w:rsidRDefault="00D74A69" w:rsidP="00576A71">
      <w:pPr>
        <w:pStyle w:val="NoSpacing"/>
        <w:rPr>
          <w:rFonts w:cstheme="minorHAnsi"/>
          <w:sz w:val="24"/>
          <w:szCs w:val="24"/>
        </w:rPr>
      </w:pPr>
      <w:r w:rsidRPr="00D74A69">
        <w:rPr>
          <w:rFonts w:cstheme="minorHAnsi"/>
          <w:noProof/>
          <w:sz w:val="24"/>
          <w:szCs w:val="24"/>
        </w:rPr>
        <w:drawing>
          <wp:inline distT="0" distB="0" distL="0" distR="0" wp14:anchorId="715BEFE2" wp14:editId="403144DF">
            <wp:extent cx="3657600" cy="2139696"/>
            <wp:effectExtent l="0" t="0" r="0" b="0"/>
            <wp:docPr id="9" name="Picture 9">
              <a:hlinkClick xmlns:a="http://schemas.openxmlformats.org/drawingml/2006/main" r:id="rId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11"/>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139696"/>
                    </a:xfrm>
                    <a:prstGeom prst="rect">
                      <a:avLst/>
                    </a:prstGeom>
                    <a:noFill/>
                    <a:ln>
                      <a:noFill/>
                    </a:ln>
                  </pic:spPr>
                </pic:pic>
              </a:graphicData>
            </a:graphic>
          </wp:inline>
        </w:drawing>
      </w:r>
    </w:p>
    <w:p w14:paraId="0B86F59B" w14:textId="349ECC72" w:rsidR="00D74A69" w:rsidRPr="00AE4A74" w:rsidRDefault="00D74A69" w:rsidP="00576A71">
      <w:pPr>
        <w:pStyle w:val="NoSpacing"/>
      </w:pPr>
      <w:r w:rsidRPr="00AE4A74">
        <w:t>Figure 5. Absolute changes in (a) </w:t>
      </w:r>
      <m:oMath>
        <m:sSub>
          <m:sSubPr>
            <m:ctrlPr>
              <w:rPr>
                <w:rFonts w:ascii="Cambria Math" w:hAnsi="Cambria Math" w:cstheme="minorHAnsi"/>
                <w:i/>
                <w:iCs/>
              </w:rPr>
            </m:ctrlPr>
          </m:sSubPr>
          <m:e>
            <m:r>
              <w:rPr>
                <w:rFonts w:ascii="Cambria Math" w:hAnsi="Cambria Math" w:cstheme="minorHAnsi"/>
              </w:rPr>
              <m:t>µ</m:t>
            </m:r>
          </m:e>
          <m:sub>
            <m:r>
              <w:rPr>
                <w:rFonts w:ascii="Cambria Math" w:hAnsi="Cambria Math" w:cstheme="minorHAnsi"/>
                <w:vertAlign w:val="subscript"/>
              </w:rPr>
              <m:t>a</m:t>
            </m:r>
          </m:sub>
        </m:sSub>
      </m:oMath>
      <w:r w:rsidRPr="00AE4A74">
        <w:t> and (b) </w:t>
      </w:r>
      <m:oMath>
        <m:sSubSup>
          <m:sSubSupPr>
            <m:ctrlPr>
              <w:rPr>
                <w:rFonts w:ascii="Cambria Math" w:hAnsi="Cambria Math" w:cstheme="minorHAnsi"/>
                <w:i/>
                <w:iCs/>
              </w:rPr>
            </m:ctrlPr>
          </m:sSubSupPr>
          <m:e>
            <m:r>
              <w:rPr>
                <w:rFonts w:ascii="Cambria Math" w:hAnsi="Cambria Math" w:cstheme="minorHAnsi"/>
              </w:rPr>
              <m:t>µ</m:t>
            </m:r>
          </m:e>
          <m:sub>
            <m:r>
              <w:rPr>
                <w:rFonts w:ascii="Cambria Math" w:hAnsi="Cambria Math" w:cstheme="minorHAnsi"/>
                <w:vertAlign w:val="subscript"/>
              </w:rPr>
              <m:t>s</m:t>
            </m:r>
          </m:sub>
          <m:sup>
            <m:r>
              <w:rPr>
                <w:rFonts w:ascii="Cambria Math" w:hAnsi="Cambria Math" w:cstheme="minorHAnsi"/>
              </w:rPr>
              <m:t>'</m:t>
            </m:r>
          </m:sup>
        </m:sSubSup>
      </m:oMath>
      <w:r w:rsidRPr="00AE4A74">
        <w:t xml:space="preserve"> at selected wavelengths during tissue heating.</w:t>
      </w:r>
    </w:p>
    <w:p w14:paraId="5388FB5F" w14:textId="24B40C64" w:rsidR="00D74A69" w:rsidRPr="00D74A69" w:rsidRDefault="00D74A69" w:rsidP="00576A71">
      <w:pPr>
        <w:pStyle w:val="NoSpacing"/>
        <w:rPr>
          <w:rFonts w:cstheme="minorHAnsi"/>
          <w:sz w:val="24"/>
          <w:szCs w:val="24"/>
        </w:rPr>
      </w:pPr>
      <w:r w:rsidRPr="00D74A69">
        <w:rPr>
          <w:rFonts w:cstheme="minorHAnsi"/>
          <w:noProof/>
          <w:sz w:val="24"/>
          <w:szCs w:val="24"/>
        </w:rPr>
        <w:drawing>
          <wp:inline distT="0" distB="0" distL="0" distR="0" wp14:anchorId="6F0EB246" wp14:editId="3D2BFA80">
            <wp:extent cx="3657600" cy="1005840"/>
            <wp:effectExtent l="0" t="0" r="0" b="3810"/>
            <wp:docPr id="8" name="Picture 8">
              <a:hlinkClick xmlns:a="http://schemas.openxmlformats.org/drawingml/2006/main" r:id="rId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11"/>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005840"/>
                    </a:xfrm>
                    <a:prstGeom prst="rect">
                      <a:avLst/>
                    </a:prstGeom>
                    <a:noFill/>
                    <a:ln>
                      <a:noFill/>
                    </a:ln>
                  </pic:spPr>
                </pic:pic>
              </a:graphicData>
            </a:graphic>
          </wp:inline>
        </w:drawing>
      </w:r>
    </w:p>
    <w:p w14:paraId="492050F7" w14:textId="15B4008F" w:rsidR="00D74A69" w:rsidRPr="00D74A69" w:rsidRDefault="00D74A69" w:rsidP="63C1CD34">
      <w:pPr>
        <w:rPr>
          <w:sz w:val="24"/>
          <w:szCs w:val="24"/>
        </w:rPr>
      </w:pPr>
    </w:p>
    <w:p w14:paraId="77CEEB52" w14:textId="3EA44DDC" w:rsidR="00D74A69" w:rsidRPr="00D74A69" w:rsidRDefault="00D74A69" w:rsidP="63C1CD34">
      <w:pPr>
        <w:rPr>
          <w:sz w:val="24"/>
          <w:szCs w:val="24"/>
        </w:rPr>
      </w:pPr>
      <w:r w:rsidRPr="63C1CD34">
        <w:rPr>
          <w:sz w:val="24"/>
          <w:szCs w:val="24"/>
        </w:rPr>
        <w:t>The relative changes in mean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are plotted against the natural logarithm of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63C1CD34">
        <w:rPr>
          <w:sz w:val="24"/>
          <w:szCs w:val="24"/>
        </w:rPr>
        <w:t> in </w:t>
      </w:r>
      <w:r w:rsidRPr="00AA718C">
        <w:rPr>
          <w:sz w:val="24"/>
          <w:szCs w:val="24"/>
        </w:rPr>
        <w:t>Figure 6(</w:t>
      </w:r>
      <w:proofErr w:type="spellStart"/>
      <w:proofErr w:type="gramStart"/>
      <w:r w:rsidRPr="00AA718C">
        <w:rPr>
          <w:sz w:val="24"/>
          <w:szCs w:val="24"/>
        </w:rPr>
        <w:t>a,b</w:t>
      </w:r>
      <w:proofErr w:type="spellEnd"/>
      <w:proofErr w:type="gramEnd"/>
      <w:r w:rsidRPr="00AA718C">
        <w:rPr>
          <w:sz w:val="24"/>
          <w:szCs w:val="24"/>
        </w:rPr>
        <w:t>)</w:t>
      </w:r>
      <w:r w:rsidRPr="63C1CD34">
        <w:rPr>
          <w:sz w:val="24"/>
          <w:szCs w:val="24"/>
        </w:rPr>
        <w:t xml:space="preserve">. Three different regions were identified: baseline, linear </w:t>
      </w:r>
      <w:proofErr w:type="gramStart"/>
      <w:r w:rsidRPr="63C1CD34">
        <w:rPr>
          <w:sz w:val="24"/>
          <w:szCs w:val="24"/>
        </w:rPr>
        <w:t>increase</w:t>
      </w:r>
      <w:proofErr w:type="gramEnd"/>
      <w:r w:rsidRPr="63C1CD34">
        <w:rPr>
          <w:sz w:val="24"/>
          <w:szCs w:val="24"/>
        </w:rPr>
        <w:t xml:space="preserve"> and peak. The liver tissue experienced no noticeable damage (</w:t>
      </w:r>
      <w:proofErr w:type="gramStart"/>
      <w:r w:rsidRPr="63C1CD34">
        <w:rPr>
          <w:sz w:val="24"/>
          <w:szCs w:val="24"/>
        </w:rPr>
        <w:t>In(</w:t>
      </w:r>
      <w:proofErr w:type="gramEnd"/>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63C1CD34">
        <w:rPr>
          <w:sz w:val="24"/>
          <w:szCs w:val="24"/>
        </w:rPr>
        <w:t>) </w:t>
      </w:r>
      <w:r w:rsidRPr="63C1CD34">
        <w:rPr>
          <w:rFonts w:ascii="Cambria Math" w:hAnsi="Cambria Math" w:cs="Cambria Math"/>
          <w:sz w:val="24"/>
          <w:szCs w:val="24"/>
        </w:rPr>
        <w:t>≪</w:t>
      </w:r>
      <w:r w:rsidRPr="63C1CD34">
        <w:rPr>
          <w:rFonts w:ascii="Calibri" w:hAnsi="Calibri" w:cs="Calibri"/>
          <w:sz w:val="24"/>
          <w:szCs w:val="24"/>
        </w:rPr>
        <w:t> </w:t>
      </w:r>
      <w:r w:rsidRPr="63C1CD34">
        <w:rPr>
          <w:sz w:val="24"/>
          <w:szCs w:val="24"/>
        </w:rPr>
        <w:t>0) in the baseline region. The transition from the baseline to a linear region occurs at a threshold</w:t>
      </w:r>
      <w:r w:rsidRPr="63C1CD34">
        <w:rPr>
          <w:rFonts w:ascii="Calibri" w:hAnsi="Calibri" w:cs="Calibr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63C1CD34">
        <w:rPr>
          <w:sz w:val="24"/>
          <w:szCs w:val="24"/>
        </w:rPr>
        <w:t>. The threshold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63C1CD34">
        <w:rPr>
          <w:sz w:val="24"/>
          <w:szCs w:val="24"/>
        </w:rPr>
        <w:t> for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were 0.018 (</w:t>
      </w:r>
      <w:r w:rsidRPr="63C1CD34">
        <w:rPr>
          <w:rFonts w:ascii="Cambria Math" w:hAnsi="Cambria Math" w:cs="Cambria Math"/>
          <w:sz w:val="24"/>
          <w:szCs w:val="24"/>
        </w:rPr>
        <w:t>∼</w:t>
      </w:r>
      <w:r w:rsidRPr="63C1CD34">
        <w:rPr>
          <w:sz w:val="24"/>
          <w:szCs w:val="24"/>
        </w:rPr>
        <w:t>48</w:t>
      </w:r>
      <w:r w:rsidRPr="63C1CD34">
        <w:rPr>
          <w:rFonts w:ascii="Calibri" w:hAnsi="Calibri" w:cs="Calibri"/>
          <w:sz w:val="24"/>
          <w:szCs w:val="24"/>
        </w:rPr>
        <w:t> °</w:t>
      </w:r>
      <w:r w:rsidRPr="63C1CD34">
        <w:rPr>
          <w:sz w:val="24"/>
          <w:szCs w:val="24"/>
        </w:rPr>
        <w:t>C) and 0.024 (</w:t>
      </w:r>
      <w:r w:rsidRPr="63C1CD34">
        <w:rPr>
          <w:rFonts w:ascii="Cambria Math" w:hAnsi="Cambria Math" w:cs="Cambria Math"/>
          <w:sz w:val="24"/>
          <w:szCs w:val="24"/>
        </w:rPr>
        <w:t>∼</w:t>
      </w:r>
      <w:r w:rsidRPr="63C1CD34">
        <w:rPr>
          <w:sz w:val="24"/>
          <w:szCs w:val="24"/>
        </w:rPr>
        <w:t>48.5</w:t>
      </w:r>
      <w:r w:rsidRPr="63C1CD34">
        <w:rPr>
          <w:rFonts w:ascii="Calibri" w:hAnsi="Calibri" w:cs="Calibri"/>
          <w:sz w:val="24"/>
          <w:szCs w:val="24"/>
        </w:rPr>
        <w:t> °</w:t>
      </w:r>
      <w:r w:rsidRPr="63C1CD34">
        <w:rPr>
          <w:sz w:val="24"/>
          <w:szCs w:val="24"/>
        </w:rPr>
        <w:t>C), respectively. The slope in the linear region for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(liver tissues) were 0.27 and 0.21, respectively. These slopes represent the temperature-dependent relative change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per unit </w:t>
      </w:r>
      <w:proofErr w:type="gramStart"/>
      <w:r w:rsidRPr="63C1CD34">
        <w:rPr>
          <w:sz w:val="24"/>
          <w:szCs w:val="24"/>
        </w:rPr>
        <w:t>In(</w:t>
      </w:r>
      <w:proofErr w:type="gramEnd"/>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63C1CD34">
        <w:rPr>
          <w:sz w:val="24"/>
          <w:szCs w:val="24"/>
        </w:rPr>
        <w:t>), which reflect the tissue-specific sensitivity of change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to tissue denaturation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63C1CD34">
        <w:rPr>
          <w:sz w:val="24"/>
          <w:szCs w:val="24"/>
        </w:rPr>
        <w:t>). Finally, the maximum relative change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within the peak region were found to be 1.5 (66 °C) and 1.3 (67 °C), respectively. The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63C1CD34">
        <w:rPr>
          <w:sz w:val="24"/>
          <w:szCs w:val="24"/>
        </w:rPr>
        <w:t> values corresponding to the observed peak positions for both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were 1, indicating complete denaturation. The relative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as a function of </w:t>
      </w:r>
      <w:r w:rsidRPr="63C1CD34">
        <w:rPr>
          <w:i/>
          <w:iCs/>
          <w:sz w:val="24"/>
          <w:szCs w:val="24"/>
        </w:rPr>
        <w:t>T</w:t>
      </w:r>
      <w:r w:rsidRPr="63C1CD34">
        <w:rPr>
          <w:sz w:val="24"/>
          <w:szCs w:val="24"/>
        </w:rPr>
        <w:t> were also compared with the theoretically calculated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63C1CD34">
        <w:rPr>
          <w:sz w:val="24"/>
          <w:szCs w:val="24"/>
        </w:rPr>
        <w:t> for liver tissues in </w:t>
      </w:r>
      <w:r w:rsidRPr="00AA718C">
        <w:rPr>
          <w:sz w:val="24"/>
          <w:szCs w:val="24"/>
        </w:rPr>
        <w:t>Figure 6(c)</w:t>
      </w:r>
      <w:r w:rsidRPr="63C1CD34">
        <w:rPr>
          <w:sz w:val="24"/>
          <w:szCs w:val="24"/>
        </w:rPr>
        <w:t>. The relative changes in mean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follow closely and are highly correlated with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63C1CD34">
        <w:rPr>
          <w:sz w:val="24"/>
          <w:szCs w:val="24"/>
        </w:rPr>
        <w:t>. The Pearson’s correlation coefficient for both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compared to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63C1CD34">
        <w:rPr>
          <w:sz w:val="24"/>
          <w:szCs w:val="24"/>
        </w:rPr>
        <w:t>, was 0.96. Furthermore, no significant changes in the optical properties were observed after plateauing of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63C1CD34">
        <w:rPr>
          <w:sz w:val="24"/>
          <w:szCs w:val="24"/>
        </w:rPr>
        <w:t> (&gt;67 °C). Finally, the relative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at four different temperatures (37, 55, 65 and 75 °C), representative of different damage levels (1 – baseline, 2 – mid-transition, 3 – onset of plateau and 4 – steady-state), were statistically compared using a paired-</w:t>
      </w:r>
      <w:r w:rsidRPr="63C1CD34">
        <w:rPr>
          <w:i/>
          <w:iCs/>
          <w:sz w:val="24"/>
          <w:szCs w:val="24"/>
        </w:rPr>
        <w:t>t</w:t>
      </w:r>
      <w:r w:rsidRPr="63C1CD34">
        <w:rPr>
          <w:sz w:val="24"/>
          <w:szCs w:val="24"/>
        </w:rPr>
        <w:t>-test, and the results are present in </w:t>
      </w:r>
      <w:r w:rsidRPr="00AA718C">
        <w:rPr>
          <w:sz w:val="24"/>
          <w:szCs w:val="24"/>
        </w:rPr>
        <w:t>Figure 6(d)</w:t>
      </w:r>
      <w:r w:rsidRPr="63C1CD34">
        <w:rPr>
          <w:sz w:val="24"/>
          <w:szCs w:val="24"/>
        </w:rPr>
        <w:t>. The relative changes in damage levels 1, 2 &amp; 3 were significantly different from each other (</w:t>
      </w:r>
      <w:r w:rsidRPr="63C1CD34">
        <w:rPr>
          <w:i/>
          <w:iCs/>
          <w:sz w:val="24"/>
          <w:szCs w:val="24"/>
        </w:rPr>
        <w:t>p</w:t>
      </w:r>
      <w:r w:rsidRPr="63C1CD34">
        <w:rPr>
          <w:sz w:val="24"/>
          <w:szCs w:val="24"/>
        </w:rPr>
        <w:t> &lt; .02). However, damage levels 3 &amp; 4 were not significantly different for both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w:t>
      </w:r>
      <w:r w:rsidRPr="63C1CD34">
        <w:rPr>
          <w:i/>
          <w:iCs/>
          <w:sz w:val="24"/>
          <w:szCs w:val="24"/>
        </w:rPr>
        <w:t>p</w:t>
      </w:r>
      <w:r w:rsidRPr="63C1CD34">
        <w:rPr>
          <w:sz w:val="24"/>
          <w:szCs w:val="24"/>
        </w:rPr>
        <w:t> = .37)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xml:space="preserve"> (</w:t>
      </w:r>
      <w:r w:rsidRPr="63C1CD34">
        <w:rPr>
          <w:i/>
          <w:iCs/>
          <w:sz w:val="24"/>
          <w:szCs w:val="24"/>
        </w:rPr>
        <w:t>p</w:t>
      </w:r>
      <w:r w:rsidRPr="63C1CD34">
        <w:rPr>
          <w:sz w:val="24"/>
          <w:szCs w:val="24"/>
        </w:rPr>
        <w:t> = .40), implying that the increases in relative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63C1CD34">
        <w:rPr>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63C1CD34">
        <w:rPr>
          <w:sz w:val="24"/>
          <w:szCs w:val="24"/>
        </w:rPr>
        <w:t>, follow a sigmoidal trend and are correlated (Pearson’s correlation coefficient =0.96) with thermal tissue damage.</w:t>
      </w:r>
    </w:p>
    <w:p w14:paraId="58268F97" w14:textId="7A197EC8" w:rsidR="00D74A69" w:rsidRPr="00AE4A74" w:rsidRDefault="00D74A69" w:rsidP="00576A71">
      <w:pPr>
        <w:pStyle w:val="NoSpacing"/>
      </w:pPr>
      <w:r w:rsidRPr="00AE4A74">
        <w:t>Figure 6. Relative changes in (a) </w:t>
      </w:r>
      <m:oMath>
        <m:sSub>
          <m:sSubPr>
            <m:ctrlPr>
              <w:rPr>
                <w:rFonts w:ascii="Cambria Math" w:hAnsi="Cambria Math" w:cstheme="minorHAnsi"/>
                <w:i/>
                <w:iCs/>
              </w:rPr>
            </m:ctrlPr>
          </m:sSubPr>
          <m:e>
            <m:r>
              <w:rPr>
                <w:rFonts w:ascii="Cambria Math" w:hAnsi="Cambria Math" w:cstheme="minorHAnsi"/>
              </w:rPr>
              <m:t>µ</m:t>
            </m:r>
          </m:e>
          <m:sub>
            <m:r>
              <w:rPr>
                <w:rFonts w:ascii="Cambria Math" w:hAnsi="Cambria Math" w:cstheme="minorHAnsi"/>
                <w:vertAlign w:val="subscript"/>
              </w:rPr>
              <m:t>a</m:t>
            </m:r>
          </m:sub>
        </m:sSub>
      </m:oMath>
      <w:r w:rsidRPr="00AE4A74">
        <w:t> and (b) </w:t>
      </w:r>
      <m:oMath>
        <m:sSubSup>
          <m:sSubSupPr>
            <m:ctrlPr>
              <w:rPr>
                <w:rFonts w:ascii="Cambria Math" w:hAnsi="Cambria Math" w:cstheme="minorHAnsi"/>
                <w:i/>
                <w:iCs/>
              </w:rPr>
            </m:ctrlPr>
          </m:sSubSupPr>
          <m:e>
            <m:r>
              <w:rPr>
                <w:rFonts w:ascii="Cambria Math" w:hAnsi="Cambria Math" w:cstheme="minorHAnsi"/>
              </w:rPr>
              <m:t>µ</m:t>
            </m:r>
          </m:e>
          <m:sub>
            <m:r>
              <w:rPr>
                <w:rFonts w:ascii="Cambria Math" w:hAnsi="Cambria Math" w:cstheme="minorHAnsi"/>
                <w:vertAlign w:val="subscript"/>
              </w:rPr>
              <m:t>s</m:t>
            </m:r>
          </m:sub>
          <m:sup>
            <m:r>
              <w:rPr>
                <w:rFonts w:ascii="Cambria Math" w:hAnsi="Cambria Math" w:cstheme="minorHAnsi"/>
              </w:rPr>
              <m:t>'</m:t>
            </m:r>
          </m:sup>
        </m:sSubSup>
      </m:oMath>
      <w:r w:rsidRPr="00AE4A74">
        <w:t xml:space="preserve"> compared with the natural logarithm of </w:t>
      </w:r>
      <m:oMath>
        <m:sSub>
          <m:sSubPr>
            <m:ctrlPr>
              <w:rPr>
                <w:rFonts w:ascii="Cambria Math" w:hAnsi="Cambria Math" w:cstheme="minorHAnsi"/>
                <w:i/>
                <w:iCs/>
              </w:rPr>
            </m:ctrlPr>
          </m:sSubPr>
          <m:e>
            <m:r>
              <w:rPr>
                <w:rFonts w:ascii="Cambria Math" w:hAnsi="Cambria Math" w:cstheme="minorHAnsi"/>
              </w:rPr>
              <m:t>F</m:t>
            </m:r>
          </m:e>
          <m:sub>
            <m:r>
              <m:rPr>
                <m:sty m:val="p"/>
              </m:rPr>
              <w:rPr>
                <w:rFonts w:ascii="Cambria Math" w:hAnsi="Cambria Math" w:cstheme="minorHAnsi"/>
                <w:vertAlign w:val="subscript"/>
              </w:rPr>
              <m:t>d</m:t>
            </m:r>
          </m:sub>
        </m:sSub>
      </m:oMath>
      <w:r w:rsidRPr="00AE4A74">
        <w:t>; (c) continuous measurement of relative changes in </w:t>
      </w:r>
      <m:oMath>
        <m:sSub>
          <m:sSubPr>
            <m:ctrlPr>
              <w:rPr>
                <w:rFonts w:ascii="Cambria Math" w:hAnsi="Cambria Math" w:cstheme="minorHAnsi"/>
                <w:i/>
                <w:iCs/>
              </w:rPr>
            </m:ctrlPr>
          </m:sSubPr>
          <m:e>
            <m:r>
              <w:rPr>
                <w:rFonts w:ascii="Cambria Math" w:hAnsi="Cambria Math" w:cstheme="minorHAnsi"/>
              </w:rPr>
              <m:t>µ</m:t>
            </m:r>
          </m:e>
          <m:sub>
            <m:r>
              <w:rPr>
                <w:rFonts w:ascii="Cambria Math" w:hAnsi="Cambria Math" w:cstheme="minorHAnsi"/>
                <w:vertAlign w:val="subscript"/>
              </w:rPr>
              <m:t>a</m:t>
            </m:r>
          </m:sub>
        </m:sSub>
      </m:oMath>
      <w:r w:rsidRPr="00AE4A74">
        <w:t> and </w:t>
      </w:r>
      <m:oMath>
        <m:sSubSup>
          <m:sSubSupPr>
            <m:ctrlPr>
              <w:rPr>
                <w:rFonts w:ascii="Cambria Math" w:hAnsi="Cambria Math" w:cstheme="minorHAnsi"/>
                <w:i/>
                <w:iCs/>
              </w:rPr>
            </m:ctrlPr>
          </m:sSubSupPr>
          <m:e>
            <m:r>
              <w:rPr>
                <w:rFonts w:ascii="Cambria Math" w:hAnsi="Cambria Math" w:cstheme="minorHAnsi"/>
              </w:rPr>
              <m:t>µ</m:t>
            </m:r>
          </m:e>
          <m:sub>
            <m:r>
              <w:rPr>
                <w:rFonts w:ascii="Cambria Math" w:hAnsi="Cambria Math" w:cstheme="minorHAnsi"/>
                <w:vertAlign w:val="subscript"/>
              </w:rPr>
              <m:t>s</m:t>
            </m:r>
          </m:sub>
          <m:sup>
            <m:r>
              <w:rPr>
                <w:rFonts w:ascii="Cambria Math" w:hAnsi="Cambria Math" w:cstheme="minorHAnsi"/>
              </w:rPr>
              <m:t>'</m:t>
            </m:r>
          </m:sup>
        </m:sSubSup>
      </m:oMath>
      <w:r w:rsidRPr="00AE4A74">
        <w:t>, and </w:t>
      </w:r>
      <m:oMath>
        <m:sSub>
          <m:sSubPr>
            <m:ctrlPr>
              <w:rPr>
                <w:rFonts w:ascii="Cambria Math" w:hAnsi="Cambria Math" w:cstheme="minorHAnsi"/>
                <w:i/>
                <w:iCs/>
              </w:rPr>
            </m:ctrlPr>
          </m:sSubPr>
          <m:e>
            <m:r>
              <w:rPr>
                <w:rFonts w:ascii="Cambria Math" w:hAnsi="Cambria Math" w:cstheme="minorHAnsi"/>
              </w:rPr>
              <m:t>F</m:t>
            </m:r>
          </m:e>
          <m:sub>
            <m:r>
              <m:rPr>
                <m:sty m:val="p"/>
              </m:rPr>
              <w:rPr>
                <w:rFonts w:ascii="Cambria Math" w:hAnsi="Cambria Math" w:cstheme="minorHAnsi"/>
                <w:vertAlign w:val="subscript"/>
              </w:rPr>
              <m:t>d</m:t>
            </m:r>
          </m:sub>
        </m:sSub>
      </m:oMath>
      <w:r w:rsidRPr="00AE4A74">
        <w:t> at different temperatures; (d) comparison of relative changes in </w:t>
      </w:r>
      <m:oMath>
        <m:sSub>
          <m:sSubPr>
            <m:ctrlPr>
              <w:rPr>
                <w:rFonts w:ascii="Cambria Math" w:hAnsi="Cambria Math" w:cstheme="minorHAnsi"/>
                <w:i/>
                <w:iCs/>
              </w:rPr>
            </m:ctrlPr>
          </m:sSubPr>
          <m:e>
            <m:r>
              <w:rPr>
                <w:rFonts w:ascii="Cambria Math" w:hAnsi="Cambria Math" w:cstheme="minorHAnsi"/>
              </w:rPr>
              <m:t>µ</m:t>
            </m:r>
          </m:e>
          <m:sub>
            <m:r>
              <w:rPr>
                <w:rFonts w:ascii="Cambria Math" w:hAnsi="Cambria Math" w:cstheme="minorHAnsi"/>
                <w:vertAlign w:val="subscript"/>
              </w:rPr>
              <m:t>a</m:t>
            </m:r>
          </m:sub>
        </m:sSub>
      </m:oMath>
      <w:r w:rsidRPr="00AE4A74">
        <w:t> and </w:t>
      </w:r>
      <m:oMath>
        <m:sSubSup>
          <m:sSubSupPr>
            <m:ctrlPr>
              <w:rPr>
                <w:rFonts w:ascii="Cambria Math" w:hAnsi="Cambria Math" w:cstheme="minorHAnsi"/>
                <w:i/>
                <w:iCs/>
              </w:rPr>
            </m:ctrlPr>
          </m:sSubSupPr>
          <m:e>
            <m:r>
              <w:rPr>
                <w:rFonts w:ascii="Cambria Math" w:hAnsi="Cambria Math" w:cstheme="minorHAnsi"/>
              </w:rPr>
              <m:t>µ</m:t>
            </m:r>
          </m:e>
          <m:sub>
            <m:r>
              <w:rPr>
                <w:rFonts w:ascii="Cambria Math" w:hAnsi="Cambria Math" w:cstheme="minorHAnsi"/>
                <w:vertAlign w:val="subscript"/>
              </w:rPr>
              <m:t>s</m:t>
            </m:r>
          </m:sub>
          <m:sup>
            <m:r>
              <w:rPr>
                <w:rFonts w:ascii="Cambria Math" w:hAnsi="Cambria Math" w:cstheme="minorHAnsi"/>
              </w:rPr>
              <m:t>'</m:t>
            </m:r>
          </m:sup>
        </m:sSubSup>
      </m:oMath>
      <w:r w:rsidRPr="00AE4A74">
        <w:t xml:space="preserve"> at Level 1 (37 °C), 2 (55 °C), 3 (65 °C) and 4 (75 °C), respectively. For both parameters, levels 1, 2 &amp; 3 were significantly different from each other. Levels 3 &amp; 4 were not statistically different from each other. (* indicates </w:t>
      </w:r>
      <w:r w:rsidRPr="00AE4A74">
        <w:rPr>
          <w:i/>
          <w:iCs/>
        </w:rPr>
        <w:t>p</w:t>
      </w:r>
      <w:r w:rsidRPr="00AE4A74">
        <w:t> &lt; .0003 and ** indicates </w:t>
      </w:r>
      <w:r w:rsidRPr="00AE4A74">
        <w:rPr>
          <w:i/>
          <w:iCs/>
        </w:rPr>
        <w:t>p</w:t>
      </w:r>
      <w:r w:rsidRPr="00AE4A74">
        <w:t> &lt; .001).</w:t>
      </w:r>
    </w:p>
    <w:p w14:paraId="5A5F75C9" w14:textId="5093E9AC" w:rsidR="00D74A69" w:rsidRPr="00D74A69" w:rsidRDefault="00D74A69" w:rsidP="00576A71">
      <w:pPr>
        <w:pStyle w:val="NoSpacing"/>
      </w:pPr>
      <w:r w:rsidRPr="00D74A69">
        <w:rPr>
          <w:noProof/>
        </w:rPr>
        <w:drawing>
          <wp:inline distT="0" distB="0" distL="0" distR="0" wp14:anchorId="21DA2D54" wp14:editId="5B35D205">
            <wp:extent cx="3657600" cy="1993392"/>
            <wp:effectExtent l="0" t="0" r="0" b="6985"/>
            <wp:docPr id="7" name="Picture 7">
              <a:hlinkClick xmlns:a="http://schemas.openxmlformats.org/drawingml/2006/main" r:id="rId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1"/>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1993392"/>
                    </a:xfrm>
                    <a:prstGeom prst="rect">
                      <a:avLst/>
                    </a:prstGeom>
                    <a:noFill/>
                    <a:ln>
                      <a:noFill/>
                    </a:ln>
                  </pic:spPr>
                </pic:pic>
              </a:graphicData>
            </a:graphic>
          </wp:inline>
        </w:drawing>
      </w:r>
    </w:p>
    <w:p w14:paraId="1640C3D3" w14:textId="77777777" w:rsidR="00D74A69" w:rsidRPr="00D74A69" w:rsidRDefault="00D74A69" w:rsidP="63C1CD34">
      <w:pPr>
        <w:pStyle w:val="Heading1"/>
        <w:rPr>
          <w:rFonts w:ascii="Calibri Light" w:eastAsia="MS Gothic" w:hAnsi="Calibri Light" w:cs="Times New Roman"/>
          <w:b/>
          <w:bCs/>
        </w:rPr>
      </w:pPr>
      <w:r>
        <w:t>Discussions</w:t>
      </w:r>
    </w:p>
    <w:p w14:paraId="4DA545FA" w14:textId="7CAA311F" w:rsidR="00D74A69" w:rsidRPr="00D74A69" w:rsidRDefault="00D74A69" w:rsidP="00D74A69">
      <w:pPr>
        <w:rPr>
          <w:rFonts w:cstheme="minorHAnsi"/>
          <w:sz w:val="24"/>
          <w:szCs w:val="24"/>
        </w:rPr>
      </w:pPr>
      <w:r w:rsidRPr="00D74A69">
        <w:rPr>
          <w:rFonts w:cstheme="minorHAnsi"/>
          <w:sz w:val="24"/>
          <w:szCs w:val="24"/>
        </w:rPr>
        <w:t>In this paper, an integrated fiber-optic spectroscopic system was developed to record continuous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and local tissue temperature (</w:t>
      </w:r>
      <w:r w:rsidRPr="00D74A69">
        <w:rPr>
          <w:rFonts w:cstheme="minorHAnsi"/>
          <w:i/>
          <w:iCs/>
          <w:sz w:val="24"/>
          <w:szCs w:val="24"/>
        </w:rPr>
        <w:t>T</w:t>
      </w:r>
      <w:r w:rsidRPr="00D74A69">
        <w:rPr>
          <w:rFonts w:cstheme="minorHAnsi"/>
          <w:sz w:val="24"/>
          <w:szCs w:val="24"/>
        </w:rPr>
        <w:t>) during heating of </w:t>
      </w:r>
      <w:r w:rsidRPr="00D74A69">
        <w:rPr>
          <w:rFonts w:cstheme="minorHAnsi"/>
          <w:i/>
          <w:iCs/>
          <w:sz w:val="24"/>
          <w:szCs w:val="24"/>
        </w:rPr>
        <w:t>ex vivo</w:t>
      </w:r>
      <w:r w:rsidRPr="00D74A69">
        <w:rPr>
          <w:rFonts w:cstheme="minorHAnsi"/>
          <w:sz w:val="24"/>
          <w:szCs w:val="24"/>
        </w:rPr>
        <w:t> liver. The system was first calibrated using tissue mimicking phantoms, and later, used to study the continuous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of </w:t>
      </w:r>
      <w:r w:rsidRPr="00D74A69">
        <w:rPr>
          <w:rFonts w:cstheme="minorHAnsi"/>
          <w:i/>
          <w:iCs/>
          <w:sz w:val="24"/>
          <w:szCs w:val="24"/>
        </w:rPr>
        <w:t>ex vivo</w:t>
      </w:r>
      <w:r w:rsidRPr="00D74A69">
        <w:rPr>
          <w:rFonts w:cstheme="minorHAnsi"/>
          <w:sz w:val="24"/>
          <w:szCs w:val="24"/>
        </w:rPr>
        <w:t> liver during heating by comparing them with fractional damage,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D74A69">
        <w:rPr>
          <w:rFonts w:cstheme="minorHAnsi"/>
          <w:sz w:val="24"/>
          <w:szCs w:val="24"/>
        </w:rPr>
        <w:t>, calculated using the Arrhenius damage model, </w:t>
      </w:r>
      <w:r w:rsidRPr="00AA718C">
        <w:rPr>
          <w:rFonts w:cstheme="minorHAnsi"/>
          <w:sz w:val="24"/>
          <w:szCs w:val="24"/>
        </w:rPr>
        <w:t>Equations (1) and (2)</w:t>
      </w:r>
      <w:r w:rsidRPr="00D74A69">
        <w:rPr>
          <w:rFonts w:cstheme="minorHAnsi"/>
          <w:sz w:val="24"/>
          <w:szCs w:val="24"/>
        </w:rPr>
        <w:t>. The mean photon travel depth in liver (435–630 nm), estimated using source-detector separation (1 mm) and effective attenuation coefficient [</w:t>
      </w:r>
      <w:r w:rsidRPr="00AA718C">
        <w:rPr>
          <w:rFonts w:cstheme="minorHAnsi"/>
          <w:sz w:val="24"/>
          <w:szCs w:val="24"/>
        </w:rPr>
        <w:t>27</w:t>
      </w:r>
      <w:r w:rsidRPr="00D74A69">
        <w:rPr>
          <w:rFonts w:cstheme="minorHAnsi"/>
          <w:sz w:val="24"/>
          <w:szCs w:val="24"/>
        </w:rPr>
        <w:t>], was 0.5 mm. The temperature variations within 0.5 mm were assumed to be less than our temperature measurement accuracy of 1 °C. The tissue optical properties began to increase rapidly at about 45 °C and plateaued at about 67 °C. From </w:t>
      </w:r>
      <w:r w:rsidRPr="00AA718C">
        <w:rPr>
          <w:rFonts w:cstheme="minorHAnsi"/>
          <w:sz w:val="24"/>
          <w:szCs w:val="24"/>
        </w:rPr>
        <w:t>Figure 4</w:t>
      </w:r>
      <w:r w:rsidRPr="00D74A69">
        <w:rPr>
          <w:rFonts w:cstheme="minorHAnsi"/>
          <w:sz w:val="24"/>
          <w:szCs w:val="24"/>
        </w:rPr>
        <w:t>, the overall trend in the continuous changes of mean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follows a sigmoidal trend. From </w:t>
      </w:r>
      <w:r w:rsidRPr="00AA718C">
        <w:rPr>
          <w:rFonts w:cstheme="minorHAnsi"/>
          <w:sz w:val="24"/>
          <w:szCs w:val="24"/>
        </w:rPr>
        <w:t>Figure 5</w:t>
      </w:r>
      <w:r w:rsidRPr="00D74A69">
        <w:rPr>
          <w:rFonts w:cstheme="minorHAnsi"/>
          <w:sz w:val="24"/>
          <w:szCs w:val="24"/>
        </w:rPr>
        <w:t>, we observed that at the selected four wavelengths,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at 80 °C is approximately twofold higher than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at 37 °C. Similarly,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at 80 °C is about twofold higher than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at 37 °C. The change in mean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at each of the four wavelengths followed a similar sigmoidal trend.</w:t>
      </w:r>
    </w:p>
    <w:p w14:paraId="587A56DE" w14:textId="4CF78156" w:rsidR="00D74A69" w:rsidRPr="00D74A69" w:rsidRDefault="00D74A69" w:rsidP="00D74A69">
      <w:pPr>
        <w:rPr>
          <w:rFonts w:cstheme="minorHAnsi"/>
          <w:sz w:val="24"/>
          <w:szCs w:val="24"/>
        </w:rPr>
      </w:pPr>
      <w:r w:rsidRPr="00D74A69">
        <w:rPr>
          <w:rFonts w:cstheme="minorHAnsi"/>
          <w:sz w:val="24"/>
          <w:szCs w:val="24"/>
        </w:rPr>
        <w:t>Increases in tissue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due to heating have also been reported by many groups in different types of soft tissues [</w:t>
      </w:r>
      <w:r w:rsidRPr="00AA718C">
        <w:rPr>
          <w:rFonts w:cstheme="minorHAnsi"/>
          <w:sz w:val="24"/>
          <w:szCs w:val="24"/>
        </w:rPr>
        <w:t>18–20</w:t>
      </w:r>
      <w:r w:rsidRPr="00D74A69">
        <w:rPr>
          <w:rFonts w:cstheme="minorHAnsi"/>
          <w:sz w:val="24"/>
          <w:szCs w:val="24"/>
        </w:rPr>
        <w:t>] and our observation is in accordance with previously reported studies. Tissue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are indicative of both the structural and physiological state of the tissue. During heating, temperature-induced microscopic changes in the tissue structure, such as cell membrane rupture or protein denaturation, can alter light propagation within the tissue [</w:t>
      </w:r>
      <w:r w:rsidRPr="00AA718C">
        <w:rPr>
          <w:rFonts w:cstheme="minorHAnsi"/>
          <w:sz w:val="24"/>
          <w:szCs w:val="24"/>
        </w:rPr>
        <w:t>28</w:t>
      </w:r>
      <w:r w:rsidRPr="00D74A69">
        <w:rPr>
          <w:rFonts w:cstheme="minorHAnsi"/>
          <w:sz w:val="24"/>
          <w:szCs w:val="24"/>
        </w:rPr>
        <w:t>,</w:t>
      </w:r>
      <w:r w:rsidRPr="00AA718C">
        <w:rPr>
          <w:rFonts w:cstheme="minorHAnsi"/>
          <w:sz w:val="24"/>
          <w:szCs w:val="24"/>
        </w:rPr>
        <w:t>29</w:t>
      </w:r>
      <w:r w:rsidRPr="00D74A69">
        <w:rPr>
          <w:rFonts w:cstheme="minorHAnsi"/>
          <w:sz w:val="24"/>
          <w:szCs w:val="24"/>
        </w:rPr>
        <w:t>], and subsequently, the tissue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xml:space="preserve"> change. Coagulation of structural proteins (e.g., nucleus, mitochondrial etc.), refractive index mismatch, and loss of extracellular fluids or formation of new particles can significantly affect the tissue scattering properties [</w:t>
      </w:r>
      <w:r w:rsidRPr="00AA718C">
        <w:rPr>
          <w:rFonts w:cstheme="minorHAnsi"/>
          <w:sz w:val="24"/>
          <w:szCs w:val="24"/>
        </w:rPr>
        <w:t>12</w:t>
      </w:r>
      <w:r w:rsidRPr="00D74A69">
        <w:rPr>
          <w:rFonts w:cstheme="minorHAnsi"/>
          <w:sz w:val="24"/>
          <w:szCs w:val="24"/>
        </w:rPr>
        <w:t>,</w:t>
      </w:r>
      <w:r w:rsidRPr="00AA718C">
        <w:rPr>
          <w:rFonts w:cstheme="minorHAnsi"/>
          <w:sz w:val="24"/>
          <w:szCs w:val="24"/>
        </w:rPr>
        <w:t>30</w:t>
      </w:r>
      <w:r w:rsidRPr="00D74A69">
        <w:rPr>
          <w:rFonts w:cstheme="minorHAnsi"/>
          <w:sz w:val="24"/>
          <w:szCs w:val="24"/>
        </w:rPr>
        <w:t>]. Similarly, denaturation of tissue chromophores alters the absorption characteristics of chromophores, thereby, affecting the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D74A69">
        <w:rPr>
          <w:rFonts w:cstheme="minorHAnsi"/>
          <w:sz w:val="24"/>
          <w:szCs w:val="24"/>
        </w:rPr>
        <w:t>. From </w:t>
      </w:r>
      <w:r w:rsidRPr="00AA718C">
        <w:rPr>
          <w:rFonts w:cstheme="minorHAnsi"/>
          <w:sz w:val="24"/>
          <w:szCs w:val="24"/>
        </w:rPr>
        <w:t>Figure 1(a)</w:t>
      </w:r>
      <w:r w:rsidRPr="00D74A69">
        <w:rPr>
          <w:rFonts w:cstheme="minorHAnsi"/>
          <w:sz w:val="24"/>
          <w:szCs w:val="24"/>
        </w:rPr>
        <w:t>, we can deduce that, during heating, tissue coagulation travels inwards toward the probe. The stresses developed within the coagulum and tissue shrinkage may force highly absorptive tissue fluid (primarily blood mixed with bile) towards the probe which could form a bilayer consisting of highly scattering tissue and highly absorbing aggregation of tissue fluid, around the probe. Such a bilayer could have resulted in the increase of both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Nilsson et al. demonstrated an aggregation of erythrocytes in coagulated rat liver, which they believed to be the cause for an increased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in coagulated tissues [</w:t>
      </w:r>
      <w:r w:rsidRPr="00AA718C">
        <w:rPr>
          <w:rFonts w:cstheme="minorHAnsi"/>
          <w:sz w:val="24"/>
          <w:szCs w:val="24"/>
        </w:rPr>
        <w:t>19</w:t>
      </w:r>
      <w:r w:rsidRPr="00D74A69">
        <w:rPr>
          <w:rFonts w:cstheme="minorHAnsi"/>
          <w:sz w:val="24"/>
          <w:szCs w:val="24"/>
        </w:rPr>
        <w:t>]. Therefore, the aggregation of fluids containing highly absorptive chromophore may have caused increases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in our study.</w:t>
      </w:r>
    </w:p>
    <w:p w14:paraId="686374B0" w14:textId="10126B96" w:rsidR="00D74A69" w:rsidRPr="00D74A69" w:rsidRDefault="00D74A69" w:rsidP="00D74A69">
      <w:pPr>
        <w:rPr>
          <w:rFonts w:cstheme="minorHAnsi"/>
          <w:sz w:val="24"/>
          <w:szCs w:val="24"/>
        </w:rPr>
      </w:pPr>
      <w:r w:rsidRPr="00D74A69">
        <w:rPr>
          <w:rFonts w:cstheme="minorHAnsi"/>
          <w:sz w:val="24"/>
          <w:szCs w:val="24"/>
        </w:rPr>
        <w:t>Tissue shrinkage and dehydration are also important factors that can affect the tissue optical properties during thermocoagulation. Jacques et al. [</w:t>
      </w:r>
      <w:r w:rsidRPr="00AA718C">
        <w:rPr>
          <w:rFonts w:cstheme="minorHAnsi"/>
          <w:sz w:val="24"/>
          <w:szCs w:val="24"/>
        </w:rPr>
        <w:t>31</w:t>
      </w:r>
      <w:r w:rsidRPr="00D74A69">
        <w:rPr>
          <w:rFonts w:cstheme="minorHAnsi"/>
          <w:sz w:val="24"/>
          <w:szCs w:val="24"/>
        </w:rPr>
        <w:t>] and Chan et al. [</w:t>
      </w:r>
      <w:r w:rsidRPr="00AA718C">
        <w:rPr>
          <w:rFonts w:cstheme="minorHAnsi"/>
          <w:sz w:val="24"/>
          <w:szCs w:val="24"/>
        </w:rPr>
        <w:t>32</w:t>
      </w:r>
      <w:r w:rsidRPr="00D74A69">
        <w:rPr>
          <w:rFonts w:cstheme="minorHAnsi"/>
          <w:sz w:val="24"/>
          <w:szCs w:val="24"/>
        </w:rPr>
        <w:t xml:space="preserve">] observed that tissue absorption and scattering increases during tissue compression and that such changes are irreversible. </w:t>
      </w:r>
      <w:proofErr w:type="spellStart"/>
      <w:r w:rsidRPr="00D74A69">
        <w:rPr>
          <w:rFonts w:cstheme="minorHAnsi"/>
          <w:sz w:val="24"/>
          <w:szCs w:val="24"/>
        </w:rPr>
        <w:t>Cilesiz</w:t>
      </w:r>
      <w:proofErr w:type="spellEnd"/>
      <w:r w:rsidRPr="00D74A69">
        <w:rPr>
          <w:rFonts w:cstheme="minorHAnsi"/>
          <w:sz w:val="24"/>
          <w:szCs w:val="24"/>
        </w:rPr>
        <w:t xml:space="preserve"> et al. [</w:t>
      </w:r>
      <w:r w:rsidRPr="00AA718C">
        <w:rPr>
          <w:rFonts w:cstheme="minorHAnsi"/>
          <w:sz w:val="24"/>
          <w:szCs w:val="24"/>
        </w:rPr>
        <w:t>33</w:t>
      </w:r>
      <w:r w:rsidRPr="00D74A69">
        <w:rPr>
          <w:rFonts w:cstheme="minorHAnsi"/>
          <w:sz w:val="24"/>
          <w:szCs w:val="24"/>
        </w:rPr>
        <w:t>] observed that dehydration increases tissue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Other factors such as thawing, tissue denaturation </w:t>
      </w:r>
      <w:r w:rsidRPr="00D74A69">
        <w:rPr>
          <w:rFonts w:cstheme="minorHAnsi"/>
          <w:i/>
          <w:iCs/>
          <w:sz w:val="24"/>
          <w:szCs w:val="24"/>
        </w:rPr>
        <w:t>et cetera</w:t>
      </w:r>
      <w:r w:rsidRPr="00D74A69">
        <w:rPr>
          <w:rFonts w:cstheme="minorHAnsi"/>
          <w:sz w:val="24"/>
          <w:szCs w:val="24"/>
        </w:rPr>
        <w:t> are also known to affect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Salomatina et al. [</w:t>
      </w:r>
      <w:r w:rsidRPr="00AA718C">
        <w:rPr>
          <w:rFonts w:cstheme="minorHAnsi"/>
          <w:sz w:val="24"/>
          <w:szCs w:val="24"/>
        </w:rPr>
        <w:t>34</w:t>
      </w:r>
      <w:r w:rsidRPr="00D74A69">
        <w:rPr>
          <w:rFonts w:cstheme="minorHAnsi"/>
          <w:sz w:val="24"/>
          <w:szCs w:val="24"/>
        </w:rPr>
        <w:t>] compared optical properties in an </w:t>
      </w:r>
      <w:r w:rsidRPr="00D74A69">
        <w:rPr>
          <w:rFonts w:cstheme="minorHAnsi"/>
          <w:i/>
          <w:iCs/>
          <w:sz w:val="24"/>
          <w:szCs w:val="24"/>
        </w:rPr>
        <w:t>ex vivo</w:t>
      </w:r>
      <w:r w:rsidRPr="00D74A69">
        <w:rPr>
          <w:rFonts w:cstheme="minorHAnsi"/>
          <w:sz w:val="24"/>
          <w:szCs w:val="24"/>
        </w:rPr>
        <w:t> and </w:t>
      </w:r>
      <w:r w:rsidRPr="00D74A69">
        <w:rPr>
          <w:rFonts w:cstheme="minorHAnsi"/>
          <w:i/>
          <w:iCs/>
          <w:sz w:val="24"/>
          <w:szCs w:val="24"/>
        </w:rPr>
        <w:t>in vivo</w:t>
      </w:r>
      <w:r w:rsidRPr="00D74A69">
        <w:rPr>
          <w:rFonts w:cstheme="minorHAnsi"/>
          <w:sz w:val="24"/>
          <w:szCs w:val="24"/>
        </w:rPr>
        <w:t> mouse ear model and found that in </w:t>
      </w:r>
      <w:r w:rsidRPr="00D74A69">
        <w:rPr>
          <w:rFonts w:cstheme="minorHAnsi"/>
          <w:i/>
          <w:iCs/>
          <w:sz w:val="24"/>
          <w:szCs w:val="24"/>
        </w:rPr>
        <w:t>ex vivo</w:t>
      </w:r>
      <w:r w:rsidRPr="00D74A69">
        <w:rPr>
          <w:rFonts w:cstheme="minorHAnsi"/>
          <w:sz w:val="24"/>
          <w:szCs w:val="24"/>
        </w:rPr>
        <w:t> tissues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decreases gradually over time due to loss of blood. In this study, liver samples were kept in saline solution until measurement. The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reported in this study, include the effect of local thermal stress and tissue dehydration. Most of our measurements were made within 15 min, as shown in </w:t>
      </w:r>
      <w:r w:rsidRPr="00AA718C">
        <w:rPr>
          <w:rFonts w:cstheme="minorHAnsi"/>
          <w:sz w:val="24"/>
          <w:szCs w:val="24"/>
        </w:rPr>
        <w:t>Figure 3</w:t>
      </w:r>
      <w:r w:rsidRPr="00D74A69">
        <w:rPr>
          <w:rFonts w:cstheme="minorHAnsi"/>
          <w:sz w:val="24"/>
          <w:szCs w:val="24"/>
        </w:rPr>
        <w:t>. Thus, we believe that the effect of tissue dehydration on our measurements was minimal.</w:t>
      </w:r>
    </w:p>
    <w:p w14:paraId="4A806F4F" w14:textId="2DBF3D96" w:rsidR="00D74A69" w:rsidRPr="00D74A69" w:rsidRDefault="00D74A69" w:rsidP="00D74A69">
      <w:pPr>
        <w:rPr>
          <w:rFonts w:cstheme="minorHAnsi"/>
          <w:sz w:val="24"/>
          <w:szCs w:val="24"/>
        </w:rPr>
      </w:pPr>
      <w:r w:rsidRPr="00D74A69">
        <w:rPr>
          <w:rFonts w:cstheme="minorHAnsi"/>
          <w:sz w:val="24"/>
          <w:szCs w:val="24"/>
        </w:rPr>
        <w:t>There are several limitations to the current study. Specifically, in the present study, only non-cancerous </w:t>
      </w:r>
      <w:r w:rsidRPr="00D74A69">
        <w:rPr>
          <w:rFonts w:cstheme="minorHAnsi"/>
          <w:i/>
          <w:iCs/>
          <w:sz w:val="24"/>
          <w:szCs w:val="24"/>
        </w:rPr>
        <w:t>ex vivo</w:t>
      </w:r>
      <w:r w:rsidRPr="00D74A69">
        <w:rPr>
          <w:rFonts w:cstheme="minorHAnsi"/>
          <w:sz w:val="24"/>
          <w:szCs w:val="24"/>
        </w:rPr>
        <w:t> tissues were used. It is known that tumor cells are more sensitive to heat than normal tissue [</w:t>
      </w:r>
      <w:r w:rsidRPr="00AA718C">
        <w:rPr>
          <w:rFonts w:cstheme="minorHAnsi"/>
          <w:sz w:val="24"/>
          <w:szCs w:val="24"/>
        </w:rPr>
        <w:t>35</w:t>
      </w:r>
      <w:r w:rsidRPr="00D74A69">
        <w:rPr>
          <w:rFonts w:cstheme="minorHAnsi"/>
          <w:sz w:val="24"/>
          <w:szCs w:val="24"/>
        </w:rPr>
        <w:t>]. Therefore, future studies will seek to evaluate changes in hepatic tumors’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We anticipate that tumor tissue will mimic changes seen normal tissue, as reported in the current study. Due to the lack of histological assessment, the true tissue damage was unknown and, therefore, the calculated tissue damage index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D74A69">
        <w:rPr>
          <w:rFonts w:cstheme="minorHAnsi"/>
          <w:sz w:val="24"/>
          <w:szCs w:val="24"/>
        </w:rPr>
        <w:t> was used. In future studies, evaluation of the integrated DRS technique will use a histological thermal damage index as the gold standard. Another major limitation in this study is that the measured liver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went beyond the calibration range at higher temperatures, which could have resulted in higher errors. Nevertheless, such measurement errors are systematic in nature and the reported relative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are still valid and reproducible.</w:t>
      </w:r>
    </w:p>
    <w:p w14:paraId="3C3B0EB4" w14:textId="77777777" w:rsidR="00D74A69" w:rsidRPr="00D74A69" w:rsidRDefault="00D74A69" w:rsidP="63C1CD34">
      <w:pPr>
        <w:pStyle w:val="Heading1"/>
        <w:rPr>
          <w:rFonts w:ascii="Calibri Light" w:eastAsia="MS Gothic" w:hAnsi="Calibri Light" w:cs="Times New Roman"/>
          <w:b/>
          <w:bCs/>
        </w:rPr>
      </w:pPr>
      <w:r>
        <w:t>Conclusion</w:t>
      </w:r>
    </w:p>
    <w:p w14:paraId="40AFE389" w14:textId="27DF93A1" w:rsidR="00D74A69" w:rsidRPr="00D74A69" w:rsidRDefault="00D74A69" w:rsidP="00D74A69">
      <w:pPr>
        <w:rPr>
          <w:rFonts w:cstheme="minorHAnsi"/>
          <w:sz w:val="24"/>
          <w:szCs w:val="24"/>
        </w:rPr>
      </w:pPr>
      <w:r w:rsidRPr="00D74A69">
        <w:rPr>
          <w:rFonts w:cstheme="minorHAnsi"/>
          <w:sz w:val="24"/>
          <w:szCs w:val="24"/>
        </w:rPr>
        <w:t>In conclusion, an integrated fiber-optic spectroscopic system was developed to continuously measure local temperature and optical properties of </w:t>
      </w:r>
      <w:r w:rsidRPr="00D74A69">
        <w:rPr>
          <w:rFonts w:cstheme="minorHAnsi"/>
          <w:i/>
          <w:iCs/>
          <w:sz w:val="24"/>
          <w:szCs w:val="24"/>
        </w:rPr>
        <w:t>ex vivo</w:t>
      </w:r>
      <w:r w:rsidRPr="00D74A69">
        <w:rPr>
          <w:rFonts w:cstheme="minorHAnsi"/>
          <w:sz w:val="24"/>
          <w:szCs w:val="24"/>
        </w:rPr>
        <w:t> liver tissues during heating. The observed changes in the liver absorption and scattering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followed a sigmoidal trend and strongly correlated with the calculated thermal damage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D74A69">
        <w:rPr>
          <w:rFonts w:cstheme="minorHAnsi"/>
          <w:sz w:val="24"/>
          <w:szCs w:val="24"/>
        </w:rPr>
        <w:t>). This study demonstrated the potential of the integrated DRS probe for real-time monitoring of tissue coagulation during thermal ablation of liver tumors. Comparing to the Arrhenius model, which assesses tissue damage indirectly and requires </w:t>
      </w:r>
      <w:r w:rsidRPr="00D74A69">
        <w:rPr>
          <w:rFonts w:cstheme="minorHAnsi"/>
          <w:i/>
          <w:iCs/>
          <w:sz w:val="24"/>
          <w:szCs w:val="24"/>
        </w:rPr>
        <w:t>a priori</w:t>
      </w:r>
      <w:r w:rsidRPr="00D74A69">
        <w:rPr>
          <w:rFonts w:cstheme="minorHAnsi"/>
          <w:sz w:val="24"/>
          <w:szCs w:val="24"/>
        </w:rPr>
        <w:t> information, the integrated DRS probe provides a direct and potentially more accurate way for continuously monitoring temperature-induced changes (volumetrically) in target tissues. Successfully relating true thermal damage to changes in tissue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during thermal therapy allows for a self-contained cost-effective real-time ablation monitoring system. To further evaluate the feasibility of the technology, future studies should focus on relating temperature-dependent changes in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a</m:t>
            </m:r>
          </m:sub>
        </m:sSub>
      </m:oMath>
      <w:r w:rsidRPr="00D74A69">
        <w:rPr>
          <w:rFonts w:cstheme="minorHAnsi"/>
          <w:sz w:val="24"/>
          <w:szCs w:val="24"/>
        </w:rPr>
        <w:t> and </w:t>
      </w:r>
      <m:oMath>
        <m:sSubSup>
          <m:sSubSupPr>
            <m:ctrlPr>
              <w:rPr>
                <w:rFonts w:ascii="Cambria Math" w:hAnsi="Cambria Math" w:cstheme="minorHAnsi"/>
                <w:i/>
                <w:iCs/>
                <w:sz w:val="24"/>
                <w:szCs w:val="24"/>
              </w:rPr>
            </m:ctrlPr>
          </m:sSubSupPr>
          <m:e>
            <m:r>
              <w:rPr>
                <w:rFonts w:ascii="Cambria Math" w:hAnsi="Cambria Math" w:cstheme="minorHAnsi"/>
                <w:sz w:val="24"/>
                <w:szCs w:val="24"/>
              </w:rPr>
              <m:t>µ</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oMath>
      <w:r w:rsidRPr="00D74A69">
        <w:rPr>
          <w:rFonts w:cstheme="minorHAnsi"/>
          <w:sz w:val="24"/>
          <w:szCs w:val="24"/>
        </w:rPr>
        <w:t xml:space="preserve"> to the true tissue damage obtained through histological assessment, which can provide more insight on the accuracy and clinical value of the integrated device.</w:t>
      </w:r>
    </w:p>
    <w:p w14:paraId="36B8D7EF" w14:textId="77777777" w:rsidR="00D74A69" w:rsidRPr="00D74A69" w:rsidRDefault="00D74A69" w:rsidP="63C1CD34">
      <w:pPr>
        <w:pStyle w:val="Heading1"/>
        <w:rPr>
          <w:rFonts w:ascii="Calibri Light" w:eastAsia="MS Gothic" w:hAnsi="Calibri Light" w:cs="Times New Roman"/>
          <w:b/>
          <w:bCs/>
        </w:rPr>
      </w:pPr>
      <w:r>
        <w:t>Disclosure statement</w:t>
      </w:r>
    </w:p>
    <w:p w14:paraId="6C40CB81" w14:textId="77777777" w:rsidR="00D74A69" w:rsidRPr="00D74A69" w:rsidRDefault="00D74A69" w:rsidP="00D74A69">
      <w:pPr>
        <w:rPr>
          <w:rFonts w:cstheme="minorHAnsi"/>
          <w:sz w:val="24"/>
          <w:szCs w:val="24"/>
        </w:rPr>
      </w:pPr>
      <w:r w:rsidRPr="00D74A69">
        <w:rPr>
          <w:rFonts w:cstheme="minorHAnsi"/>
          <w:sz w:val="24"/>
          <w:szCs w:val="24"/>
        </w:rPr>
        <w:t>No potential conflict of interest was reported by the authors.</w:t>
      </w:r>
    </w:p>
    <w:p w14:paraId="0CCC1258" w14:textId="664563F1" w:rsidR="00D74A69" w:rsidRPr="00D74A69" w:rsidRDefault="00D74A69" w:rsidP="63C1CD34">
      <w:pPr>
        <w:rPr>
          <w:b/>
          <w:bCs/>
          <w:sz w:val="24"/>
          <w:szCs w:val="24"/>
        </w:rPr>
      </w:pPr>
    </w:p>
    <w:p w14:paraId="0BE884D3" w14:textId="77777777" w:rsidR="00D74A69" w:rsidRPr="00D74A69" w:rsidRDefault="00D74A69" w:rsidP="63C1CD34">
      <w:pPr>
        <w:pStyle w:val="Heading1"/>
        <w:rPr>
          <w:rFonts w:ascii="Calibri Light" w:eastAsia="MS Gothic" w:hAnsi="Calibri Light" w:cs="Times New Roman"/>
          <w:b/>
          <w:bCs/>
        </w:rPr>
      </w:pPr>
      <w:r>
        <w:t>References</w:t>
      </w:r>
    </w:p>
    <w:p w14:paraId="723C57BC" w14:textId="0C83723F" w:rsidR="00D74A69" w:rsidRPr="00D74A69" w:rsidRDefault="00D74A69" w:rsidP="00576A71">
      <w:pPr>
        <w:numPr>
          <w:ilvl w:val="0"/>
          <w:numId w:val="13"/>
        </w:numPr>
        <w:spacing w:after="0"/>
        <w:rPr>
          <w:b/>
          <w:bCs/>
          <w:sz w:val="24"/>
          <w:szCs w:val="24"/>
        </w:rPr>
      </w:pPr>
      <w:proofErr w:type="spellStart"/>
      <w:r w:rsidRPr="63C1CD34">
        <w:rPr>
          <w:sz w:val="24"/>
          <w:szCs w:val="24"/>
        </w:rPr>
        <w:t>Ferlay</w:t>
      </w:r>
      <w:proofErr w:type="spellEnd"/>
      <w:r w:rsidRPr="63C1CD34">
        <w:rPr>
          <w:sz w:val="24"/>
          <w:szCs w:val="24"/>
        </w:rPr>
        <w:t> J, </w:t>
      </w:r>
      <w:proofErr w:type="spellStart"/>
      <w:r w:rsidRPr="63C1CD34">
        <w:rPr>
          <w:sz w:val="24"/>
          <w:szCs w:val="24"/>
        </w:rPr>
        <w:t>Soerjomataram</w:t>
      </w:r>
      <w:proofErr w:type="spellEnd"/>
      <w:r w:rsidRPr="63C1CD34">
        <w:rPr>
          <w:sz w:val="24"/>
          <w:szCs w:val="24"/>
        </w:rPr>
        <w:t xml:space="preserve"> I, Dikshit R. Cancer incidence and mortality worldwide: sources, </w:t>
      </w:r>
      <w:proofErr w:type="gramStart"/>
      <w:r w:rsidRPr="63C1CD34">
        <w:rPr>
          <w:sz w:val="24"/>
          <w:szCs w:val="24"/>
        </w:rPr>
        <w:t>methods</w:t>
      </w:r>
      <w:proofErr w:type="gramEnd"/>
      <w:r w:rsidRPr="63C1CD34">
        <w:rPr>
          <w:sz w:val="24"/>
          <w:szCs w:val="24"/>
        </w:rPr>
        <w:t xml:space="preserve"> and major patterns in GLOBOCAN 2012. Int J Cancer. 2015;</w:t>
      </w:r>
      <w:proofErr w:type="gramStart"/>
      <w:r w:rsidRPr="63C1CD34">
        <w:rPr>
          <w:sz w:val="24"/>
          <w:szCs w:val="24"/>
        </w:rPr>
        <w:t>136:E</w:t>
      </w:r>
      <w:proofErr w:type="gramEnd"/>
      <w:r w:rsidRPr="63C1CD34">
        <w:rPr>
          <w:sz w:val="24"/>
          <w:szCs w:val="24"/>
        </w:rPr>
        <w:t>359–E386. </w:t>
      </w:r>
    </w:p>
    <w:p w14:paraId="0FFEB346" w14:textId="4932A502" w:rsidR="00D74A69" w:rsidRPr="00D74A69" w:rsidRDefault="00D74A69" w:rsidP="00576A71">
      <w:pPr>
        <w:numPr>
          <w:ilvl w:val="0"/>
          <w:numId w:val="13"/>
        </w:numPr>
        <w:spacing w:after="0"/>
        <w:rPr>
          <w:b/>
          <w:bCs/>
          <w:sz w:val="24"/>
          <w:szCs w:val="24"/>
        </w:rPr>
      </w:pPr>
      <w:r w:rsidRPr="63C1CD34">
        <w:rPr>
          <w:sz w:val="24"/>
          <w:szCs w:val="24"/>
        </w:rPr>
        <w:t>El-</w:t>
      </w:r>
      <w:proofErr w:type="spellStart"/>
      <w:r w:rsidRPr="63C1CD34">
        <w:rPr>
          <w:sz w:val="24"/>
          <w:szCs w:val="24"/>
        </w:rPr>
        <w:t>Serag</w:t>
      </w:r>
      <w:proofErr w:type="spellEnd"/>
      <w:r w:rsidRPr="63C1CD34">
        <w:rPr>
          <w:sz w:val="24"/>
          <w:szCs w:val="24"/>
        </w:rPr>
        <w:t> HB, Kanwal F. Epidemiology of hepatocellular carcinoma in the United States: where are we? Where do we go? Hepatology. </w:t>
      </w:r>
      <w:proofErr w:type="gramStart"/>
      <w:r w:rsidRPr="63C1CD34">
        <w:rPr>
          <w:sz w:val="24"/>
          <w:szCs w:val="24"/>
        </w:rPr>
        <w:t>2014;60:1767</w:t>
      </w:r>
      <w:proofErr w:type="gramEnd"/>
      <w:r w:rsidRPr="63C1CD34">
        <w:rPr>
          <w:sz w:val="24"/>
          <w:szCs w:val="24"/>
        </w:rPr>
        <w:t>–1775. </w:t>
      </w:r>
    </w:p>
    <w:p w14:paraId="39302E2A" w14:textId="527D659E" w:rsidR="00D74A69" w:rsidRPr="00D74A69" w:rsidRDefault="00D74A69" w:rsidP="00576A71">
      <w:pPr>
        <w:numPr>
          <w:ilvl w:val="0"/>
          <w:numId w:val="13"/>
        </w:numPr>
        <w:spacing w:after="0"/>
        <w:rPr>
          <w:b/>
          <w:bCs/>
          <w:sz w:val="24"/>
          <w:szCs w:val="24"/>
        </w:rPr>
      </w:pPr>
      <w:proofErr w:type="spellStart"/>
      <w:r w:rsidRPr="63C1CD34">
        <w:rPr>
          <w:sz w:val="24"/>
          <w:szCs w:val="24"/>
        </w:rPr>
        <w:t>Llovet</w:t>
      </w:r>
      <w:proofErr w:type="spellEnd"/>
      <w:r w:rsidRPr="63C1CD34">
        <w:rPr>
          <w:sz w:val="24"/>
          <w:szCs w:val="24"/>
        </w:rPr>
        <w:t> JM, </w:t>
      </w:r>
      <w:proofErr w:type="spellStart"/>
      <w:r w:rsidRPr="63C1CD34">
        <w:rPr>
          <w:sz w:val="24"/>
          <w:szCs w:val="24"/>
        </w:rPr>
        <w:t>Fuster</w:t>
      </w:r>
      <w:proofErr w:type="spellEnd"/>
      <w:r w:rsidRPr="63C1CD34">
        <w:rPr>
          <w:sz w:val="24"/>
          <w:szCs w:val="24"/>
        </w:rPr>
        <w:t> J, </w:t>
      </w:r>
      <w:proofErr w:type="spellStart"/>
      <w:r w:rsidRPr="63C1CD34">
        <w:rPr>
          <w:sz w:val="24"/>
          <w:szCs w:val="24"/>
        </w:rPr>
        <w:t>Bruix</w:t>
      </w:r>
      <w:proofErr w:type="spellEnd"/>
      <w:r w:rsidRPr="63C1CD34">
        <w:rPr>
          <w:sz w:val="24"/>
          <w:szCs w:val="24"/>
        </w:rPr>
        <w:t xml:space="preserve"> J, et al. The Barcelona approach: diagnosis, staging, and treatment of hepatocellular carcinoma. Liver </w:t>
      </w:r>
      <w:proofErr w:type="spellStart"/>
      <w:r w:rsidRPr="63C1CD34">
        <w:rPr>
          <w:sz w:val="24"/>
          <w:szCs w:val="24"/>
        </w:rPr>
        <w:t>Transpl</w:t>
      </w:r>
      <w:proofErr w:type="spellEnd"/>
      <w:r w:rsidRPr="63C1CD34">
        <w:rPr>
          <w:sz w:val="24"/>
          <w:szCs w:val="24"/>
        </w:rPr>
        <w:t>. 2004;</w:t>
      </w:r>
      <w:proofErr w:type="gramStart"/>
      <w:r w:rsidRPr="63C1CD34">
        <w:rPr>
          <w:sz w:val="24"/>
          <w:szCs w:val="24"/>
        </w:rPr>
        <w:t>10:S</w:t>
      </w:r>
      <w:proofErr w:type="gramEnd"/>
      <w:r w:rsidRPr="63C1CD34">
        <w:rPr>
          <w:sz w:val="24"/>
          <w:szCs w:val="24"/>
        </w:rPr>
        <w:t>115–S120. </w:t>
      </w:r>
    </w:p>
    <w:p w14:paraId="0867E1C5" w14:textId="215EFCB9" w:rsidR="00D74A69" w:rsidRPr="00D74A69" w:rsidRDefault="00D74A69" w:rsidP="00576A71">
      <w:pPr>
        <w:numPr>
          <w:ilvl w:val="0"/>
          <w:numId w:val="13"/>
        </w:numPr>
        <w:spacing w:after="0"/>
        <w:rPr>
          <w:b/>
          <w:bCs/>
          <w:sz w:val="24"/>
          <w:szCs w:val="24"/>
        </w:rPr>
      </w:pPr>
      <w:r w:rsidRPr="63C1CD34">
        <w:rPr>
          <w:sz w:val="24"/>
          <w:szCs w:val="24"/>
        </w:rPr>
        <w:t>Chen M-S, Li J-Q, Zheng Y, et al. A prospective randomized trial comparing percutaneous local ablative therapy and partial hepatectomy for small hepatocellular carcinoma. Ann Surg. </w:t>
      </w:r>
      <w:proofErr w:type="gramStart"/>
      <w:r w:rsidRPr="63C1CD34">
        <w:rPr>
          <w:sz w:val="24"/>
          <w:szCs w:val="24"/>
        </w:rPr>
        <w:t>2006;243:321</w:t>
      </w:r>
      <w:proofErr w:type="gramEnd"/>
      <w:r w:rsidRPr="63C1CD34">
        <w:rPr>
          <w:sz w:val="24"/>
          <w:szCs w:val="24"/>
        </w:rPr>
        <w:t>–328. </w:t>
      </w:r>
    </w:p>
    <w:p w14:paraId="144CF43F" w14:textId="606841BF" w:rsidR="00D74A69" w:rsidRPr="00D74A69" w:rsidRDefault="00D74A69" w:rsidP="00576A71">
      <w:pPr>
        <w:numPr>
          <w:ilvl w:val="0"/>
          <w:numId w:val="13"/>
        </w:numPr>
        <w:spacing w:after="0"/>
        <w:rPr>
          <w:b/>
          <w:bCs/>
          <w:sz w:val="24"/>
          <w:szCs w:val="24"/>
        </w:rPr>
      </w:pPr>
      <w:r w:rsidRPr="63C1CD34">
        <w:rPr>
          <w:sz w:val="24"/>
          <w:szCs w:val="24"/>
        </w:rPr>
        <w:t>Curley SA, Izzo F, Ellis LM, et al. Radiofrequency ablation of hepatocellular cancer in 110 patients with cirrhosis. Ann Surg. </w:t>
      </w:r>
      <w:proofErr w:type="gramStart"/>
      <w:r w:rsidRPr="63C1CD34">
        <w:rPr>
          <w:sz w:val="24"/>
          <w:szCs w:val="24"/>
        </w:rPr>
        <w:t>2000;232:381</w:t>
      </w:r>
      <w:proofErr w:type="gramEnd"/>
      <w:r w:rsidRPr="63C1CD34">
        <w:rPr>
          <w:sz w:val="24"/>
          <w:szCs w:val="24"/>
        </w:rPr>
        <w:t>–391. </w:t>
      </w:r>
    </w:p>
    <w:p w14:paraId="6742D8C5" w14:textId="584468FE" w:rsidR="00D74A69" w:rsidRPr="00D74A69" w:rsidRDefault="00D74A69" w:rsidP="00576A71">
      <w:pPr>
        <w:numPr>
          <w:ilvl w:val="0"/>
          <w:numId w:val="13"/>
        </w:numPr>
        <w:spacing w:after="0"/>
        <w:rPr>
          <w:b/>
          <w:bCs/>
          <w:sz w:val="24"/>
          <w:szCs w:val="24"/>
        </w:rPr>
      </w:pPr>
      <w:r w:rsidRPr="63C1CD34">
        <w:rPr>
          <w:sz w:val="24"/>
          <w:szCs w:val="24"/>
        </w:rPr>
        <w:t xml:space="preserve">Dou JP, Liang P, Yu J. Microwave ablation for liver tumors. </w:t>
      </w:r>
      <w:proofErr w:type="spellStart"/>
      <w:r w:rsidRPr="63C1CD34">
        <w:rPr>
          <w:sz w:val="24"/>
          <w:szCs w:val="24"/>
        </w:rPr>
        <w:t>Abdom</w:t>
      </w:r>
      <w:proofErr w:type="spellEnd"/>
      <w:r w:rsidRPr="63C1CD34">
        <w:rPr>
          <w:sz w:val="24"/>
          <w:szCs w:val="24"/>
        </w:rPr>
        <w:t xml:space="preserve"> </w:t>
      </w:r>
      <w:proofErr w:type="spellStart"/>
      <w:r w:rsidRPr="63C1CD34">
        <w:rPr>
          <w:sz w:val="24"/>
          <w:szCs w:val="24"/>
        </w:rPr>
        <w:t>Radiol</w:t>
      </w:r>
      <w:proofErr w:type="spellEnd"/>
      <w:r w:rsidRPr="63C1CD34">
        <w:rPr>
          <w:sz w:val="24"/>
          <w:szCs w:val="24"/>
        </w:rPr>
        <w:t>. </w:t>
      </w:r>
      <w:proofErr w:type="gramStart"/>
      <w:r w:rsidRPr="63C1CD34">
        <w:rPr>
          <w:sz w:val="24"/>
          <w:szCs w:val="24"/>
        </w:rPr>
        <w:t>2016;41:650</w:t>
      </w:r>
      <w:proofErr w:type="gramEnd"/>
      <w:r w:rsidRPr="63C1CD34">
        <w:rPr>
          <w:sz w:val="24"/>
          <w:szCs w:val="24"/>
        </w:rPr>
        <w:t>–658. </w:t>
      </w:r>
    </w:p>
    <w:p w14:paraId="0A82ED23" w14:textId="0B931087" w:rsidR="00D74A69" w:rsidRPr="00D74A69" w:rsidRDefault="00D74A69" w:rsidP="00576A71">
      <w:pPr>
        <w:numPr>
          <w:ilvl w:val="0"/>
          <w:numId w:val="13"/>
        </w:numPr>
        <w:spacing w:after="0"/>
        <w:rPr>
          <w:b/>
          <w:bCs/>
          <w:sz w:val="24"/>
          <w:szCs w:val="24"/>
        </w:rPr>
      </w:pPr>
      <w:r w:rsidRPr="63C1CD34">
        <w:rPr>
          <w:sz w:val="24"/>
          <w:szCs w:val="24"/>
        </w:rPr>
        <w:t>Hori T, Nagata K, </w:t>
      </w:r>
      <w:proofErr w:type="spellStart"/>
      <w:r w:rsidRPr="63C1CD34">
        <w:rPr>
          <w:sz w:val="24"/>
          <w:szCs w:val="24"/>
        </w:rPr>
        <w:t>Hasuike</w:t>
      </w:r>
      <w:proofErr w:type="spellEnd"/>
      <w:r w:rsidRPr="63C1CD34">
        <w:rPr>
          <w:sz w:val="24"/>
          <w:szCs w:val="24"/>
        </w:rPr>
        <w:t> S, et al. Risk factors for the local recurrence of hepatocellular carcinoma after a single session of percutaneous radiofrequency ablation. J Gastroenterol. </w:t>
      </w:r>
      <w:proofErr w:type="gramStart"/>
      <w:r w:rsidRPr="63C1CD34">
        <w:rPr>
          <w:sz w:val="24"/>
          <w:szCs w:val="24"/>
        </w:rPr>
        <w:t>2003;38:977</w:t>
      </w:r>
      <w:proofErr w:type="gramEnd"/>
      <w:r w:rsidRPr="63C1CD34">
        <w:rPr>
          <w:sz w:val="24"/>
          <w:szCs w:val="24"/>
        </w:rPr>
        <w:t>–981. </w:t>
      </w:r>
    </w:p>
    <w:p w14:paraId="5BD01CF2" w14:textId="3590EA63" w:rsidR="00D74A69" w:rsidRPr="00D74A69" w:rsidRDefault="00D74A69" w:rsidP="00576A71">
      <w:pPr>
        <w:numPr>
          <w:ilvl w:val="0"/>
          <w:numId w:val="13"/>
        </w:numPr>
        <w:spacing w:after="0"/>
        <w:rPr>
          <w:b/>
          <w:bCs/>
          <w:sz w:val="24"/>
          <w:szCs w:val="24"/>
        </w:rPr>
      </w:pPr>
      <w:proofErr w:type="spellStart"/>
      <w:r w:rsidRPr="63C1CD34">
        <w:rPr>
          <w:sz w:val="24"/>
          <w:szCs w:val="24"/>
        </w:rPr>
        <w:t>Livraghi</w:t>
      </w:r>
      <w:proofErr w:type="spellEnd"/>
      <w:r w:rsidRPr="63C1CD34">
        <w:rPr>
          <w:sz w:val="24"/>
          <w:szCs w:val="24"/>
        </w:rPr>
        <w:t> T, Goldberg SN, </w:t>
      </w:r>
      <w:proofErr w:type="spellStart"/>
      <w:r w:rsidRPr="63C1CD34">
        <w:rPr>
          <w:sz w:val="24"/>
          <w:szCs w:val="24"/>
        </w:rPr>
        <w:t>Lazzaroni</w:t>
      </w:r>
      <w:proofErr w:type="spellEnd"/>
      <w:r w:rsidRPr="63C1CD34">
        <w:rPr>
          <w:sz w:val="24"/>
          <w:szCs w:val="24"/>
        </w:rPr>
        <w:t> S, et al. Hepatocellular carcinoma: radio-frequency ablation of medium and large lesions. Radiology. </w:t>
      </w:r>
      <w:proofErr w:type="gramStart"/>
      <w:r w:rsidRPr="63C1CD34">
        <w:rPr>
          <w:sz w:val="24"/>
          <w:szCs w:val="24"/>
        </w:rPr>
        <w:t>2000;214:761</w:t>
      </w:r>
      <w:proofErr w:type="gramEnd"/>
      <w:r w:rsidRPr="63C1CD34">
        <w:rPr>
          <w:sz w:val="24"/>
          <w:szCs w:val="24"/>
        </w:rPr>
        <w:t>–768. </w:t>
      </w:r>
    </w:p>
    <w:p w14:paraId="59F369D2" w14:textId="00B040F3" w:rsidR="00D74A69" w:rsidRPr="00D74A69" w:rsidRDefault="00D74A69" w:rsidP="00576A71">
      <w:pPr>
        <w:numPr>
          <w:ilvl w:val="0"/>
          <w:numId w:val="13"/>
        </w:numPr>
        <w:spacing w:after="0"/>
        <w:rPr>
          <w:b/>
          <w:bCs/>
          <w:sz w:val="24"/>
          <w:szCs w:val="24"/>
        </w:rPr>
      </w:pPr>
      <w:proofErr w:type="spellStart"/>
      <w:r w:rsidRPr="63C1CD34">
        <w:rPr>
          <w:sz w:val="24"/>
          <w:szCs w:val="24"/>
        </w:rPr>
        <w:t>Llovet</w:t>
      </w:r>
      <w:proofErr w:type="spellEnd"/>
      <w:r w:rsidRPr="63C1CD34">
        <w:rPr>
          <w:sz w:val="24"/>
          <w:szCs w:val="24"/>
        </w:rPr>
        <w:t> JM. Increased risk of tumor seeding after percutaneous radiofrequency ablation for single hepatocellular carcinoma. Hepatology. </w:t>
      </w:r>
      <w:proofErr w:type="gramStart"/>
      <w:r w:rsidRPr="63C1CD34">
        <w:rPr>
          <w:sz w:val="24"/>
          <w:szCs w:val="24"/>
        </w:rPr>
        <w:t>2001;33:1124</w:t>
      </w:r>
      <w:proofErr w:type="gramEnd"/>
      <w:r w:rsidRPr="63C1CD34">
        <w:rPr>
          <w:sz w:val="24"/>
          <w:szCs w:val="24"/>
        </w:rPr>
        <w:t>–1129. </w:t>
      </w:r>
    </w:p>
    <w:p w14:paraId="6A2F8B6E" w14:textId="20D7C783" w:rsidR="00D74A69" w:rsidRPr="00D74A69" w:rsidRDefault="00D74A69" w:rsidP="00576A71">
      <w:pPr>
        <w:numPr>
          <w:ilvl w:val="0"/>
          <w:numId w:val="13"/>
        </w:numPr>
        <w:spacing w:after="0"/>
        <w:rPr>
          <w:b/>
          <w:bCs/>
          <w:sz w:val="24"/>
          <w:szCs w:val="24"/>
        </w:rPr>
      </w:pPr>
      <w:r w:rsidRPr="63C1CD34">
        <w:rPr>
          <w:sz w:val="24"/>
          <w:szCs w:val="24"/>
        </w:rPr>
        <w:t>Poon RTP, Ng KKC, Lam C-M, et al. Effectiveness of radiofrequency ablation for hepatocellular carcinomas larger than 3 cm in diameter. Arch Surg. </w:t>
      </w:r>
      <w:proofErr w:type="gramStart"/>
      <w:r w:rsidRPr="63C1CD34">
        <w:rPr>
          <w:sz w:val="24"/>
          <w:szCs w:val="24"/>
        </w:rPr>
        <w:t>2004;139:281</w:t>
      </w:r>
      <w:proofErr w:type="gramEnd"/>
      <w:r w:rsidRPr="63C1CD34">
        <w:rPr>
          <w:sz w:val="24"/>
          <w:szCs w:val="24"/>
        </w:rPr>
        <w:t>–287. </w:t>
      </w:r>
    </w:p>
    <w:p w14:paraId="3D04FB9D" w14:textId="6D481F30" w:rsidR="00D74A69" w:rsidRPr="00D74A69" w:rsidRDefault="00D74A69" w:rsidP="00576A71">
      <w:pPr>
        <w:numPr>
          <w:ilvl w:val="0"/>
          <w:numId w:val="13"/>
        </w:numPr>
        <w:spacing w:after="0"/>
        <w:rPr>
          <w:b/>
          <w:bCs/>
          <w:sz w:val="24"/>
          <w:szCs w:val="24"/>
        </w:rPr>
      </w:pPr>
      <w:r w:rsidRPr="63C1CD34">
        <w:rPr>
          <w:sz w:val="24"/>
          <w:szCs w:val="24"/>
        </w:rPr>
        <w:t>Raut CP, Izzo F, </w:t>
      </w:r>
      <w:proofErr w:type="spellStart"/>
      <w:r w:rsidRPr="63C1CD34">
        <w:rPr>
          <w:sz w:val="24"/>
          <w:szCs w:val="24"/>
        </w:rPr>
        <w:t>Marra</w:t>
      </w:r>
      <w:proofErr w:type="spellEnd"/>
      <w:r w:rsidRPr="63C1CD34">
        <w:rPr>
          <w:sz w:val="24"/>
          <w:szCs w:val="24"/>
        </w:rPr>
        <w:t> P, et al. Significant long-term survival after radiofrequency ablation of unresectable hepatocellular carcinoma in patients with cirrhosis. Ann Surg Oncol. </w:t>
      </w:r>
      <w:proofErr w:type="gramStart"/>
      <w:r w:rsidRPr="63C1CD34">
        <w:rPr>
          <w:sz w:val="24"/>
          <w:szCs w:val="24"/>
        </w:rPr>
        <w:t>2005;12:616</w:t>
      </w:r>
      <w:proofErr w:type="gramEnd"/>
      <w:r w:rsidRPr="63C1CD34">
        <w:rPr>
          <w:sz w:val="24"/>
          <w:szCs w:val="24"/>
        </w:rPr>
        <w:t>–628. </w:t>
      </w:r>
    </w:p>
    <w:p w14:paraId="03358B28" w14:textId="155D1F5B" w:rsidR="00D74A69" w:rsidRPr="00D74A69" w:rsidRDefault="00D74A69" w:rsidP="00576A71">
      <w:pPr>
        <w:numPr>
          <w:ilvl w:val="0"/>
          <w:numId w:val="13"/>
        </w:numPr>
        <w:spacing w:after="0"/>
        <w:rPr>
          <w:b/>
          <w:bCs/>
          <w:sz w:val="24"/>
          <w:szCs w:val="24"/>
        </w:rPr>
      </w:pPr>
      <w:r w:rsidRPr="63C1CD34">
        <w:rPr>
          <w:sz w:val="24"/>
          <w:szCs w:val="24"/>
        </w:rPr>
        <w:t>Thomsen S, Jacques S, Flock S. Microscopic correlates of macroscopic optical property changes during thermal coagulation of myocardium. Proceedings of Laser-Tissue Interaction, 1990. 1202, p. 2–11. </w:t>
      </w:r>
    </w:p>
    <w:p w14:paraId="38283E32" w14:textId="0247A8A7" w:rsidR="00D74A69" w:rsidRPr="00D74A69" w:rsidRDefault="00D74A69" w:rsidP="00576A71">
      <w:pPr>
        <w:numPr>
          <w:ilvl w:val="0"/>
          <w:numId w:val="13"/>
        </w:numPr>
        <w:spacing w:after="0"/>
        <w:rPr>
          <w:b/>
          <w:bCs/>
          <w:sz w:val="24"/>
          <w:szCs w:val="24"/>
        </w:rPr>
      </w:pPr>
      <w:r w:rsidRPr="63C1CD34">
        <w:rPr>
          <w:sz w:val="24"/>
          <w:szCs w:val="24"/>
        </w:rPr>
        <w:t>Nagarajan VK, et al. Changes in optical properties during heating of ex vivo liver tissues. Proceedings of SPIE, Vol. 2017. </w:t>
      </w:r>
    </w:p>
    <w:p w14:paraId="7AE6D4A3" w14:textId="5BEB652D" w:rsidR="00D74A69" w:rsidRPr="00D74A69" w:rsidRDefault="00D74A69" w:rsidP="00576A71">
      <w:pPr>
        <w:numPr>
          <w:ilvl w:val="0"/>
          <w:numId w:val="13"/>
        </w:numPr>
        <w:spacing w:after="0"/>
        <w:rPr>
          <w:b/>
          <w:bCs/>
          <w:sz w:val="24"/>
          <w:szCs w:val="24"/>
        </w:rPr>
      </w:pPr>
      <w:r w:rsidRPr="63C1CD34">
        <w:rPr>
          <w:sz w:val="24"/>
          <w:szCs w:val="24"/>
        </w:rPr>
        <w:t>Arrhenius S. </w:t>
      </w:r>
      <w:proofErr w:type="spellStart"/>
      <w:r w:rsidRPr="63C1CD34">
        <w:rPr>
          <w:sz w:val="24"/>
          <w:szCs w:val="24"/>
        </w:rPr>
        <w:t>Über</w:t>
      </w:r>
      <w:proofErr w:type="spellEnd"/>
      <w:r w:rsidRPr="63C1CD34">
        <w:rPr>
          <w:sz w:val="24"/>
          <w:szCs w:val="24"/>
        </w:rPr>
        <w:t xml:space="preserve"> die </w:t>
      </w:r>
      <w:proofErr w:type="spellStart"/>
      <w:r w:rsidRPr="63C1CD34">
        <w:rPr>
          <w:sz w:val="24"/>
          <w:szCs w:val="24"/>
        </w:rPr>
        <w:t>Reaktionsgeschwindigkeit</w:t>
      </w:r>
      <w:proofErr w:type="spellEnd"/>
      <w:r w:rsidRPr="63C1CD34">
        <w:rPr>
          <w:sz w:val="24"/>
          <w:szCs w:val="24"/>
        </w:rPr>
        <w:t xml:space="preserve"> </w:t>
      </w:r>
      <w:proofErr w:type="spellStart"/>
      <w:r w:rsidRPr="63C1CD34">
        <w:rPr>
          <w:sz w:val="24"/>
          <w:szCs w:val="24"/>
        </w:rPr>
        <w:t>bei</w:t>
      </w:r>
      <w:proofErr w:type="spellEnd"/>
      <w:r w:rsidRPr="63C1CD34">
        <w:rPr>
          <w:sz w:val="24"/>
          <w:szCs w:val="24"/>
        </w:rPr>
        <w:t xml:space="preserve"> der Inversion von </w:t>
      </w:r>
      <w:proofErr w:type="spellStart"/>
      <w:r w:rsidRPr="63C1CD34">
        <w:rPr>
          <w:sz w:val="24"/>
          <w:szCs w:val="24"/>
        </w:rPr>
        <w:t>Rohrzucker</w:t>
      </w:r>
      <w:proofErr w:type="spellEnd"/>
      <w:r w:rsidRPr="63C1CD34">
        <w:rPr>
          <w:sz w:val="24"/>
          <w:szCs w:val="24"/>
        </w:rPr>
        <w:t xml:space="preserve"> </w:t>
      </w:r>
      <w:proofErr w:type="spellStart"/>
      <w:r w:rsidRPr="63C1CD34">
        <w:rPr>
          <w:sz w:val="24"/>
          <w:szCs w:val="24"/>
        </w:rPr>
        <w:t>durch</w:t>
      </w:r>
      <w:proofErr w:type="spellEnd"/>
      <w:r w:rsidRPr="63C1CD34">
        <w:rPr>
          <w:sz w:val="24"/>
          <w:szCs w:val="24"/>
        </w:rPr>
        <w:t xml:space="preserve"> </w:t>
      </w:r>
      <w:proofErr w:type="spellStart"/>
      <w:r w:rsidRPr="63C1CD34">
        <w:rPr>
          <w:sz w:val="24"/>
          <w:szCs w:val="24"/>
        </w:rPr>
        <w:t>Säuren</w:t>
      </w:r>
      <w:proofErr w:type="spellEnd"/>
      <w:r w:rsidRPr="63C1CD34">
        <w:rPr>
          <w:sz w:val="24"/>
          <w:szCs w:val="24"/>
        </w:rPr>
        <w:t xml:space="preserve">. </w:t>
      </w:r>
      <w:proofErr w:type="spellStart"/>
      <w:r w:rsidRPr="63C1CD34">
        <w:rPr>
          <w:sz w:val="24"/>
          <w:szCs w:val="24"/>
        </w:rPr>
        <w:t>Zeitschrift</w:t>
      </w:r>
      <w:proofErr w:type="spellEnd"/>
      <w:r w:rsidRPr="63C1CD34">
        <w:rPr>
          <w:sz w:val="24"/>
          <w:szCs w:val="24"/>
        </w:rPr>
        <w:t xml:space="preserve"> Für </w:t>
      </w:r>
      <w:proofErr w:type="spellStart"/>
      <w:r w:rsidRPr="63C1CD34">
        <w:rPr>
          <w:sz w:val="24"/>
          <w:szCs w:val="24"/>
        </w:rPr>
        <w:t>Physikalische</w:t>
      </w:r>
      <w:proofErr w:type="spellEnd"/>
      <w:r w:rsidRPr="63C1CD34">
        <w:rPr>
          <w:sz w:val="24"/>
          <w:szCs w:val="24"/>
        </w:rPr>
        <w:t xml:space="preserve"> </w:t>
      </w:r>
      <w:proofErr w:type="spellStart"/>
      <w:r w:rsidRPr="63C1CD34">
        <w:rPr>
          <w:sz w:val="24"/>
          <w:szCs w:val="24"/>
        </w:rPr>
        <w:t>Chemie</w:t>
      </w:r>
      <w:proofErr w:type="spellEnd"/>
      <w:r w:rsidRPr="63C1CD34">
        <w:rPr>
          <w:sz w:val="24"/>
          <w:szCs w:val="24"/>
        </w:rPr>
        <w:t>. </w:t>
      </w:r>
      <w:proofErr w:type="gramStart"/>
      <w:r w:rsidRPr="63C1CD34">
        <w:rPr>
          <w:sz w:val="24"/>
          <w:szCs w:val="24"/>
        </w:rPr>
        <w:t>1889;4:226</w:t>
      </w:r>
      <w:proofErr w:type="gramEnd"/>
      <w:r w:rsidRPr="63C1CD34">
        <w:rPr>
          <w:sz w:val="24"/>
          <w:szCs w:val="24"/>
        </w:rPr>
        <w:t>–248. </w:t>
      </w:r>
    </w:p>
    <w:p w14:paraId="04786535" w14:textId="54F7BD07" w:rsidR="00D74A69" w:rsidRPr="00D74A69" w:rsidRDefault="00D74A69" w:rsidP="00576A71">
      <w:pPr>
        <w:numPr>
          <w:ilvl w:val="0"/>
          <w:numId w:val="13"/>
        </w:numPr>
        <w:spacing w:after="0"/>
        <w:rPr>
          <w:b/>
          <w:bCs/>
          <w:sz w:val="24"/>
          <w:szCs w:val="24"/>
        </w:rPr>
      </w:pPr>
      <w:proofErr w:type="spellStart"/>
      <w:r w:rsidRPr="63C1CD34">
        <w:rPr>
          <w:sz w:val="24"/>
          <w:szCs w:val="24"/>
        </w:rPr>
        <w:t>Vogl</w:t>
      </w:r>
      <w:proofErr w:type="spellEnd"/>
      <w:r w:rsidRPr="63C1CD34">
        <w:rPr>
          <w:sz w:val="24"/>
          <w:szCs w:val="24"/>
        </w:rPr>
        <w:t> TJ, </w:t>
      </w:r>
      <w:proofErr w:type="spellStart"/>
      <w:r w:rsidRPr="63C1CD34">
        <w:rPr>
          <w:sz w:val="24"/>
          <w:szCs w:val="24"/>
        </w:rPr>
        <w:t>Freier</w:t>
      </w:r>
      <w:proofErr w:type="spellEnd"/>
      <w:r w:rsidRPr="63C1CD34">
        <w:rPr>
          <w:sz w:val="24"/>
          <w:szCs w:val="24"/>
        </w:rPr>
        <w:t> V, Nour-</w:t>
      </w:r>
      <w:proofErr w:type="spellStart"/>
      <w:r w:rsidRPr="63C1CD34">
        <w:rPr>
          <w:sz w:val="24"/>
          <w:szCs w:val="24"/>
        </w:rPr>
        <w:t>Eldin</w:t>
      </w:r>
      <w:proofErr w:type="spellEnd"/>
      <w:r w:rsidRPr="63C1CD34">
        <w:rPr>
          <w:sz w:val="24"/>
          <w:szCs w:val="24"/>
        </w:rPr>
        <w:t xml:space="preserve"> N-EA, et al. Magnetic resonance-guided laser-induced interstitial thermotherapy of breast cancer liver metastases and other </w:t>
      </w:r>
      <w:proofErr w:type="spellStart"/>
      <w:r w:rsidRPr="63C1CD34">
        <w:rPr>
          <w:sz w:val="24"/>
          <w:szCs w:val="24"/>
        </w:rPr>
        <w:t>noncolorectal</w:t>
      </w:r>
      <w:proofErr w:type="spellEnd"/>
      <w:r w:rsidRPr="63C1CD34">
        <w:rPr>
          <w:sz w:val="24"/>
          <w:szCs w:val="24"/>
        </w:rPr>
        <w:t xml:space="preserve"> cancer liver metastases an analysis of prognostic factors for long-term survival and progression-free survival. Invest </w:t>
      </w:r>
      <w:proofErr w:type="spellStart"/>
      <w:r w:rsidRPr="63C1CD34">
        <w:rPr>
          <w:sz w:val="24"/>
          <w:szCs w:val="24"/>
        </w:rPr>
        <w:t>Radiol</w:t>
      </w:r>
      <w:proofErr w:type="spellEnd"/>
      <w:r w:rsidRPr="63C1CD34">
        <w:rPr>
          <w:sz w:val="24"/>
          <w:szCs w:val="24"/>
        </w:rPr>
        <w:t>. </w:t>
      </w:r>
      <w:proofErr w:type="gramStart"/>
      <w:r w:rsidRPr="63C1CD34">
        <w:rPr>
          <w:sz w:val="24"/>
          <w:szCs w:val="24"/>
        </w:rPr>
        <w:t>2013;48:406</w:t>
      </w:r>
      <w:proofErr w:type="gramEnd"/>
      <w:r w:rsidRPr="63C1CD34">
        <w:rPr>
          <w:sz w:val="24"/>
          <w:szCs w:val="24"/>
        </w:rPr>
        <w:t>–412. </w:t>
      </w:r>
    </w:p>
    <w:p w14:paraId="19CF5CA0" w14:textId="7743C022" w:rsidR="00D74A69" w:rsidRPr="00D74A69" w:rsidRDefault="00D74A69" w:rsidP="00576A71">
      <w:pPr>
        <w:numPr>
          <w:ilvl w:val="0"/>
          <w:numId w:val="13"/>
        </w:numPr>
        <w:spacing w:after="0"/>
        <w:rPr>
          <w:b/>
          <w:bCs/>
          <w:sz w:val="24"/>
          <w:szCs w:val="24"/>
        </w:rPr>
      </w:pPr>
      <w:proofErr w:type="spellStart"/>
      <w:r w:rsidRPr="63C1CD34">
        <w:rPr>
          <w:sz w:val="24"/>
          <w:szCs w:val="24"/>
        </w:rPr>
        <w:t>Vogl</w:t>
      </w:r>
      <w:proofErr w:type="spellEnd"/>
      <w:r w:rsidRPr="63C1CD34">
        <w:rPr>
          <w:sz w:val="24"/>
          <w:szCs w:val="24"/>
        </w:rPr>
        <w:t> TJ, </w:t>
      </w:r>
      <w:proofErr w:type="spellStart"/>
      <w:r w:rsidRPr="63C1CD34">
        <w:rPr>
          <w:sz w:val="24"/>
          <w:szCs w:val="24"/>
        </w:rPr>
        <w:t>Farshid</w:t>
      </w:r>
      <w:proofErr w:type="spellEnd"/>
      <w:r w:rsidRPr="63C1CD34">
        <w:rPr>
          <w:sz w:val="24"/>
          <w:szCs w:val="24"/>
        </w:rPr>
        <w:t xml:space="preserve"> P, Naguib NNN, et al. Thermal ablation therapies in patients with breast cancer liver metastases: a review. Eur </w:t>
      </w:r>
      <w:proofErr w:type="spellStart"/>
      <w:r w:rsidRPr="63C1CD34">
        <w:rPr>
          <w:sz w:val="24"/>
          <w:szCs w:val="24"/>
        </w:rPr>
        <w:t>Radiol</w:t>
      </w:r>
      <w:proofErr w:type="spellEnd"/>
      <w:r w:rsidRPr="63C1CD34">
        <w:rPr>
          <w:sz w:val="24"/>
          <w:szCs w:val="24"/>
        </w:rPr>
        <w:t>. </w:t>
      </w:r>
      <w:proofErr w:type="gramStart"/>
      <w:r w:rsidRPr="63C1CD34">
        <w:rPr>
          <w:sz w:val="24"/>
          <w:szCs w:val="24"/>
        </w:rPr>
        <w:t>2013;23:797</w:t>
      </w:r>
      <w:proofErr w:type="gramEnd"/>
      <w:r w:rsidRPr="63C1CD34">
        <w:rPr>
          <w:sz w:val="24"/>
          <w:szCs w:val="24"/>
        </w:rPr>
        <w:t>–804. </w:t>
      </w:r>
    </w:p>
    <w:p w14:paraId="43212CB5" w14:textId="5ACFEA87" w:rsidR="00D74A69" w:rsidRPr="00D74A69" w:rsidRDefault="00D74A69" w:rsidP="00576A71">
      <w:pPr>
        <w:numPr>
          <w:ilvl w:val="0"/>
          <w:numId w:val="13"/>
        </w:numPr>
        <w:spacing w:after="0"/>
        <w:rPr>
          <w:b/>
          <w:bCs/>
          <w:sz w:val="24"/>
          <w:szCs w:val="24"/>
        </w:rPr>
      </w:pPr>
      <w:proofErr w:type="spellStart"/>
      <w:r w:rsidRPr="63C1CD34">
        <w:rPr>
          <w:sz w:val="24"/>
          <w:szCs w:val="24"/>
        </w:rPr>
        <w:t>Carpentier</w:t>
      </w:r>
      <w:proofErr w:type="spellEnd"/>
      <w:r w:rsidRPr="63C1CD34">
        <w:rPr>
          <w:sz w:val="24"/>
          <w:szCs w:val="24"/>
        </w:rPr>
        <w:t> A, Chauvet D, Reina V, et al. MR-guided laser-induced thermal therapy (LITT) for recurrent glioblastomas. Lasers Surg Med. </w:t>
      </w:r>
      <w:proofErr w:type="gramStart"/>
      <w:r w:rsidRPr="63C1CD34">
        <w:rPr>
          <w:sz w:val="24"/>
          <w:szCs w:val="24"/>
        </w:rPr>
        <w:t>2012;44:361</w:t>
      </w:r>
      <w:proofErr w:type="gramEnd"/>
      <w:r w:rsidRPr="63C1CD34">
        <w:rPr>
          <w:sz w:val="24"/>
          <w:szCs w:val="24"/>
        </w:rPr>
        <w:t>–368. </w:t>
      </w:r>
    </w:p>
    <w:p w14:paraId="6ABCF9A3" w14:textId="11763227" w:rsidR="00D74A69" w:rsidRPr="00D74A69" w:rsidRDefault="00D74A69" w:rsidP="00576A71">
      <w:pPr>
        <w:numPr>
          <w:ilvl w:val="0"/>
          <w:numId w:val="13"/>
        </w:numPr>
        <w:spacing w:after="0"/>
        <w:rPr>
          <w:b/>
          <w:bCs/>
          <w:sz w:val="24"/>
          <w:szCs w:val="24"/>
        </w:rPr>
      </w:pPr>
      <w:r w:rsidRPr="63C1CD34">
        <w:rPr>
          <w:sz w:val="24"/>
          <w:szCs w:val="24"/>
        </w:rPr>
        <w:t>Nagarajan VK, Yu B. Monitoring of tissue optical properties during thermal coagulation of ex vivo tissues. Lasers Surg Med. </w:t>
      </w:r>
      <w:proofErr w:type="gramStart"/>
      <w:r w:rsidRPr="63C1CD34">
        <w:rPr>
          <w:sz w:val="24"/>
          <w:szCs w:val="24"/>
        </w:rPr>
        <w:t>2016;48:686</w:t>
      </w:r>
      <w:proofErr w:type="gramEnd"/>
      <w:r w:rsidRPr="63C1CD34">
        <w:rPr>
          <w:sz w:val="24"/>
          <w:szCs w:val="24"/>
        </w:rPr>
        <w:t>–694. </w:t>
      </w:r>
    </w:p>
    <w:p w14:paraId="6EC1D2E8" w14:textId="7392CF4F" w:rsidR="00D74A69" w:rsidRPr="00D74A69" w:rsidRDefault="00D74A69" w:rsidP="00576A71">
      <w:pPr>
        <w:numPr>
          <w:ilvl w:val="0"/>
          <w:numId w:val="13"/>
        </w:numPr>
        <w:spacing w:after="0"/>
        <w:rPr>
          <w:b/>
          <w:bCs/>
          <w:sz w:val="24"/>
          <w:szCs w:val="24"/>
        </w:rPr>
      </w:pPr>
      <w:r w:rsidRPr="63C1CD34">
        <w:rPr>
          <w:sz w:val="24"/>
          <w:szCs w:val="24"/>
        </w:rPr>
        <w:t>Nilsson AMK, </w:t>
      </w:r>
      <w:proofErr w:type="spellStart"/>
      <w:r w:rsidRPr="63C1CD34">
        <w:rPr>
          <w:sz w:val="24"/>
          <w:szCs w:val="24"/>
        </w:rPr>
        <w:t>Sturesson</w:t>
      </w:r>
      <w:proofErr w:type="spellEnd"/>
      <w:r w:rsidRPr="63C1CD34">
        <w:rPr>
          <w:sz w:val="24"/>
          <w:szCs w:val="24"/>
        </w:rPr>
        <w:t> C, Liu DL, et al. Changes in spectral shape of tissue optical properties in conjunction with laser-induced thermotherapy. Appl Opt. </w:t>
      </w:r>
      <w:proofErr w:type="gramStart"/>
      <w:r w:rsidRPr="63C1CD34">
        <w:rPr>
          <w:sz w:val="24"/>
          <w:szCs w:val="24"/>
        </w:rPr>
        <w:t>1998;37:1256</w:t>
      </w:r>
      <w:proofErr w:type="gramEnd"/>
      <w:r w:rsidRPr="63C1CD34">
        <w:rPr>
          <w:sz w:val="24"/>
          <w:szCs w:val="24"/>
        </w:rPr>
        <w:t>–1267. </w:t>
      </w:r>
    </w:p>
    <w:p w14:paraId="1CC4EF51" w14:textId="439A5160" w:rsidR="00D74A69" w:rsidRPr="00D74A69" w:rsidRDefault="00D74A69" w:rsidP="00576A71">
      <w:pPr>
        <w:numPr>
          <w:ilvl w:val="0"/>
          <w:numId w:val="13"/>
        </w:numPr>
        <w:spacing w:after="0"/>
        <w:rPr>
          <w:b/>
          <w:bCs/>
          <w:sz w:val="24"/>
          <w:szCs w:val="24"/>
        </w:rPr>
      </w:pPr>
      <w:r w:rsidRPr="63C1CD34">
        <w:rPr>
          <w:sz w:val="24"/>
          <w:szCs w:val="24"/>
        </w:rPr>
        <w:t>Ritz JP, Roggan A, </w:t>
      </w:r>
      <w:proofErr w:type="spellStart"/>
      <w:r w:rsidRPr="63C1CD34">
        <w:rPr>
          <w:sz w:val="24"/>
          <w:szCs w:val="24"/>
        </w:rPr>
        <w:t>Isbert</w:t>
      </w:r>
      <w:proofErr w:type="spellEnd"/>
      <w:r w:rsidRPr="63C1CD34">
        <w:rPr>
          <w:sz w:val="24"/>
          <w:szCs w:val="24"/>
        </w:rPr>
        <w:t> C, et al. Optical properties of native and coagulated porcine liver tissue between 400 and 2400 nm. Lasers Surg Med. </w:t>
      </w:r>
      <w:proofErr w:type="gramStart"/>
      <w:r w:rsidRPr="63C1CD34">
        <w:rPr>
          <w:sz w:val="24"/>
          <w:szCs w:val="24"/>
        </w:rPr>
        <w:t>2001;29:205</w:t>
      </w:r>
      <w:proofErr w:type="gramEnd"/>
      <w:r w:rsidRPr="63C1CD34">
        <w:rPr>
          <w:sz w:val="24"/>
          <w:szCs w:val="24"/>
        </w:rPr>
        <w:t>–212. </w:t>
      </w:r>
    </w:p>
    <w:p w14:paraId="4A1DB298" w14:textId="628C996C" w:rsidR="00D74A69" w:rsidRPr="00D74A69" w:rsidRDefault="00D74A69" w:rsidP="00576A71">
      <w:pPr>
        <w:numPr>
          <w:ilvl w:val="0"/>
          <w:numId w:val="13"/>
        </w:numPr>
        <w:spacing w:after="0"/>
        <w:rPr>
          <w:b/>
          <w:bCs/>
          <w:sz w:val="24"/>
          <w:szCs w:val="24"/>
        </w:rPr>
      </w:pPr>
      <w:r w:rsidRPr="63C1CD34">
        <w:rPr>
          <w:sz w:val="24"/>
          <w:szCs w:val="24"/>
        </w:rPr>
        <w:t>Wang A, Xiao H, Wang J, et al. Self-calibrated interferometric-intensity-based optical fiber sensors. J Lightwave Technol. </w:t>
      </w:r>
      <w:proofErr w:type="gramStart"/>
      <w:r w:rsidRPr="63C1CD34">
        <w:rPr>
          <w:sz w:val="24"/>
          <w:szCs w:val="24"/>
        </w:rPr>
        <w:t>2001;19:1495</w:t>
      </w:r>
      <w:proofErr w:type="gramEnd"/>
      <w:r w:rsidRPr="63C1CD34">
        <w:rPr>
          <w:sz w:val="24"/>
          <w:szCs w:val="24"/>
        </w:rPr>
        <w:t>. </w:t>
      </w:r>
    </w:p>
    <w:p w14:paraId="70594596" w14:textId="1F6DD2F4" w:rsidR="00D74A69" w:rsidRPr="00D74A69" w:rsidRDefault="00D74A69" w:rsidP="00576A71">
      <w:pPr>
        <w:numPr>
          <w:ilvl w:val="0"/>
          <w:numId w:val="13"/>
        </w:numPr>
        <w:spacing w:after="0"/>
        <w:rPr>
          <w:b/>
          <w:bCs/>
          <w:sz w:val="24"/>
          <w:szCs w:val="24"/>
        </w:rPr>
      </w:pPr>
      <w:r w:rsidRPr="63C1CD34">
        <w:rPr>
          <w:sz w:val="24"/>
          <w:szCs w:val="24"/>
        </w:rPr>
        <w:t>Yu B, Fu H, </w:t>
      </w:r>
      <w:proofErr w:type="spellStart"/>
      <w:r w:rsidRPr="63C1CD34">
        <w:rPr>
          <w:sz w:val="24"/>
          <w:szCs w:val="24"/>
        </w:rPr>
        <w:t>Bydlon</w:t>
      </w:r>
      <w:proofErr w:type="spellEnd"/>
      <w:r w:rsidRPr="63C1CD34">
        <w:rPr>
          <w:sz w:val="24"/>
          <w:szCs w:val="24"/>
        </w:rPr>
        <w:t xml:space="preserve"> T, et al. Diffuse reflectance spectroscopy with a self-calibrating fiber optic probe. </w:t>
      </w:r>
      <w:proofErr w:type="spellStart"/>
      <w:r w:rsidRPr="63C1CD34">
        <w:rPr>
          <w:sz w:val="24"/>
          <w:szCs w:val="24"/>
        </w:rPr>
        <w:t>Opt</w:t>
      </w:r>
      <w:proofErr w:type="spellEnd"/>
      <w:r w:rsidRPr="63C1CD34">
        <w:rPr>
          <w:sz w:val="24"/>
          <w:szCs w:val="24"/>
        </w:rPr>
        <w:t xml:space="preserve"> Lett. </w:t>
      </w:r>
      <w:proofErr w:type="gramStart"/>
      <w:r w:rsidRPr="63C1CD34">
        <w:rPr>
          <w:sz w:val="24"/>
          <w:szCs w:val="24"/>
        </w:rPr>
        <w:t>2008;33:1783</w:t>
      </w:r>
      <w:proofErr w:type="gramEnd"/>
      <w:r w:rsidRPr="63C1CD34">
        <w:rPr>
          <w:sz w:val="24"/>
          <w:szCs w:val="24"/>
        </w:rPr>
        <w:t>–1785. </w:t>
      </w:r>
    </w:p>
    <w:p w14:paraId="2BCF7990" w14:textId="30695EA6" w:rsidR="00D74A69" w:rsidRPr="00D74A69" w:rsidRDefault="00D74A69" w:rsidP="00576A71">
      <w:pPr>
        <w:numPr>
          <w:ilvl w:val="0"/>
          <w:numId w:val="13"/>
        </w:numPr>
        <w:spacing w:after="0"/>
        <w:rPr>
          <w:b/>
          <w:bCs/>
          <w:sz w:val="24"/>
          <w:szCs w:val="24"/>
        </w:rPr>
      </w:pPr>
      <w:r w:rsidRPr="63C1CD34">
        <w:rPr>
          <w:sz w:val="24"/>
          <w:szCs w:val="24"/>
        </w:rPr>
        <w:t xml:space="preserve">Yu B, Shah A, Nagarajan VK, et al. Diffuse reflectance spectroscopy of epithelial tissue with a smart fiber-optic probe. Biomed </w:t>
      </w:r>
      <w:proofErr w:type="spellStart"/>
      <w:r w:rsidRPr="63C1CD34">
        <w:rPr>
          <w:sz w:val="24"/>
          <w:szCs w:val="24"/>
        </w:rPr>
        <w:t>Opt</w:t>
      </w:r>
      <w:proofErr w:type="spellEnd"/>
      <w:r w:rsidRPr="63C1CD34">
        <w:rPr>
          <w:sz w:val="24"/>
          <w:szCs w:val="24"/>
        </w:rPr>
        <w:t xml:space="preserve"> Express. </w:t>
      </w:r>
      <w:proofErr w:type="gramStart"/>
      <w:r w:rsidRPr="63C1CD34">
        <w:rPr>
          <w:sz w:val="24"/>
          <w:szCs w:val="24"/>
        </w:rPr>
        <w:t>2014;5:675</w:t>
      </w:r>
      <w:proofErr w:type="gramEnd"/>
      <w:r w:rsidRPr="63C1CD34">
        <w:rPr>
          <w:sz w:val="24"/>
          <w:szCs w:val="24"/>
        </w:rPr>
        <w:t>–689. </w:t>
      </w:r>
    </w:p>
    <w:p w14:paraId="51775CB5" w14:textId="5238E451" w:rsidR="00D74A69" w:rsidRPr="00D74A69" w:rsidRDefault="00D74A69" w:rsidP="00576A71">
      <w:pPr>
        <w:numPr>
          <w:ilvl w:val="0"/>
          <w:numId w:val="13"/>
        </w:numPr>
        <w:spacing w:after="0"/>
        <w:rPr>
          <w:b/>
          <w:bCs/>
          <w:sz w:val="24"/>
          <w:szCs w:val="24"/>
        </w:rPr>
      </w:pPr>
      <w:r w:rsidRPr="63C1CD34">
        <w:rPr>
          <w:sz w:val="24"/>
          <w:szCs w:val="24"/>
        </w:rPr>
        <w:t>Yu B, </w:t>
      </w:r>
      <w:proofErr w:type="spellStart"/>
      <w:r w:rsidRPr="63C1CD34">
        <w:rPr>
          <w:sz w:val="24"/>
          <w:szCs w:val="24"/>
        </w:rPr>
        <w:t>Pickrell</w:t>
      </w:r>
      <w:proofErr w:type="spellEnd"/>
      <w:r w:rsidRPr="63C1CD34">
        <w:rPr>
          <w:sz w:val="24"/>
          <w:szCs w:val="24"/>
        </w:rPr>
        <w:t> G, Wang A. Thermally tunable extrinsic Fabry–</w:t>
      </w:r>
      <w:proofErr w:type="spellStart"/>
      <w:r w:rsidRPr="63C1CD34">
        <w:rPr>
          <w:sz w:val="24"/>
          <w:szCs w:val="24"/>
        </w:rPr>
        <w:t>Pérot</w:t>
      </w:r>
      <w:proofErr w:type="spellEnd"/>
      <w:r w:rsidRPr="63C1CD34">
        <w:rPr>
          <w:sz w:val="24"/>
          <w:szCs w:val="24"/>
        </w:rPr>
        <w:t xml:space="preserve"> filter. IEEE Photon Technol Lett. </w:t>
      </w:r>
      <w:proofErr w:type="gramStart"/>
      <w:r w:rsidRPr="63C1CD34">
        <w:rPr>
          <w:sz w:val="24"/>
          <w:szCs w:val="24"/>
        </w:rPr>
        <w:t>2004;16:2296</w:t>
      </w:r>
      <w:proofErr w:type="gramEnd"/>
      <w:r w:rsidRPr="63C1CD34">
        <w:rPr>
          <w:sz w:val="24"/>
          <w:szCs w:val="24"/>
        </w:rPr>
        <w:t>–2298. </w:t>
      </w:r>
    </w:p>
    <w:p w14:paraId="6B2C6BF6" w14:textId="5FFB269F" w:rsidR="00D74A69" w:rsidRPr="00D74A69" w:rsidRDefault="00D74A69" w:rsidP="00576A71">
      <w:pPr>
        <w:numPr>
          <w:ilvl w:val="0"/>
          <w:numId w:val="13"/>
        </w:numPr>
        <w:spacing w:after="0"/>
        <w:rPr>
          <w:b/>
          <w:bCs/>
          <w:sz w:val="24"/>
          <w:szCs w:val="24"/>
        </w:rPr>
      </w:pPr>
      <w:r w:rsidRPr="63C1CD34">
        <w:rPr>
          <w:sz w:val="24"/>
          <w:szCs w:val="24"/>
        </w:rPr>
        <w:t>Palmer GM, </w:t>
      </w:r>
      <w:proofErr w:type="spellStart"/>
      <w:r w:rsidRPr="63C1CD34">
        <w:rPr>
          <w:sz w:val="24"/>
          <w:szCs w:val="24"/>
        </w:rPr>
        <w:t>Ramanujam</w:t>
      </w:r>
      <w:proofErr w:type="spellEnd"/>
      <w:r w:rsidRPr="63C1CD34">
        <w:rPr>
          <w:sz w:val="24"/>
          <w:szCs w:val="24"/>
        </w:rPr>
        <w:t> N. Monte Carlo-based inverse model for calculating tissue optical properties. Part I: Theory and validation on synthetic phantoms. Appl Opt. </w:t>
      </w:r>
      <w:proofErr w:type="gramStart"/>
      <w:r w:rsidRPr="63C1CD34">
        <w:rPr>
          <w:sz w:val="24"/>
          <w:szCs w:val="24"/>
        </w:rPr>
        <w:t>2007;46:6847</w:t>
      </w:r>
      <w:proofErr w:type="gramEnd"/>
      <w:r w:rsidRPr="63C1CD34">
        <w:rPr>
          <w:sz w:val="24"/>
          <w:szCs w:val="24"/>
        </w:rPr>
        <w:t>. </w:t>
      </w:r>
    </w:p>
    <w:p w14:paraId="22369EE6" w14:textId="5C219DCE" w:rsidR="00D74A69" w:rsidRPr="00D74A69" w:rsidRDefault="00D74A69" w:rsidP="00576A71">
      <w:pPr>
        <w:numPr>
          <w:ilvl w:val="0"/>
          <w:numId w:val="13"/>
        </w:numPr>
        <w:spacing w:after="0"/>
        <w:rPr>
          <w:b/>
          <w:bCs/>
          <w:sz w:val="24"/>
          <w:szCs w:val="24"/>
        </w:rPr>
      </w:pPr>
      <w:r w:rsidRPr="63C1CD34">
        <w:rPr>
          <w:sz w:val="24"/>
          <w:szCs w:val="24"/>
        </w:rPr>
        <w:t>Jacques SL, Newman C, He XY. Thermal coagulation of tissues: liver studies indicate a distribution of rate parameters not a single rate parameter describes the coagulation process. Proceedings of Annual Winter Meeting of the American Society of Mechanical Engineers, 1991.</w:t>
      </w:r>
    </w:p>
    <w:p w14:paraId="247AB200" w14:textId="68FAAD43" w:rsidR="00D74A69" w:rsidRPr="00D74A69" w:rsidRDefault="00D74A69" w:rsidP="00576A71">
      <w:pPr>
        <w:numPr>
          <w:ilvl w:val="0"/>
          <w:numId w:val="13"/>
        </w:numPr>
        <w:spacing w:after="0"/>
        <w:rPr>
          <w:b/>
          <w:bCs/>
          <w:sz w:val="24"/>
          <w:szCs w:val="24"/>
        </w:rPr>
      </w:pPr>
      <w:r w:rsidRPr="63C1CD34">
        <w:rPr>
          <w:sz w:val="24"/>
          <w:szCs w:val="24"/>
        </w:rPr>
        <w:t>Patterson MS, Andersson-Engels S, Wilson BC, et al. Absorption spectroscopy in tissue-simulating materials: a theoretical and experimental study of photon paths. Appl Opt. </w:t>
      </w:r>
      <w:proofErr w:type="gramStart"/>
      <w:r w:rsidRPr="63C1CD34">
        <w:rPr>
          <w:sz w:val="24"/>
          <w:szCs w:val="24"/>
        </w:rPr>
        <w:t>1995;34:22</w:t>
      </w:r>
      <w:proofErr w:type="gramEnd"/>
      <w:r w:rsidRPr="63C1CD34">
        <w:rPr>
          <w:sz w:val="24"/>
          <w:szCs w:val="24"/>
        </w:rPr>
        <w:t>–30. </w:t>
      </w:r>
    </w:p>
    <w:p w14:paraId="120B78AE" w14:textId="33A42AA6" w:rsidR="00D74A69" w:rsidRPr="00D74A69" w:rsidRDefault="00D74A69" w:rsidP="00576A71">
      <w:pPr>
        <w:numPr>
          <w:ilvl w:val="0"/>
          <w:numId w:val="13"/>
        </w:numPr>
        <w:spacing w:after="0"/>
        <w:rPr>
          <w:b/>
          <w:bCs/>
          <w:sz w:val="24"/>
          <w:szCs w:val="24"/>
        </w:rPr>
      </w:pPr>
      <w:proofErr w:type="spellStart"/>
      <w:r w:rsidRPr="63C1CD34">
        <w:rPr>
          <w:sz w:val="24"/>
          <w:szCs w:val="24"/>
        </w:rPr>
        <w:t>Nikfarjam</w:t>
      </w:r>
      <w:proofErr w:type="spellEnd"/>
      <w:r w:rsidRPr="63C1CD34">
        <w:rPr>
          <w:sz w:val="24"/>
          <w:szCs w:val="24"/>
        </w:rPr>
        <w:t> M, </w:t>
      </w:r>
      <w:proofErr w:type="spellStart"/>
      <w:r w:rsidRPr="63C1CD34">
        <w:rPr>
          <w:sz w:val="24"/>
          <w:szCs w:val="24"/>
        </w:rPr>
        <w:t>Muralidharan</w:t>
      </w:r>
      <w:proofErr w:type="spellEnd"/>
      <w:r w:rsidRPr="63C1CD34">
        <w:rPr>
          <w:sz w:val="24"/>
          <w:szCs w:val="24"/>
        </w:rPr>
        <w:t> V, </w:t>
      </w:r>
      <w:proofErr w:type="spellStart"/>
      <w:r w:rsidRPr="63C1CD34">
        <w:rPr>
          <w:sz w:val="24"/>
          <w:szCs w:val="24"/>
        </w:rPr>
        <w:t>Christophi</w:t>
      </w:r>
      <w:proofErr w:type="spellEnd"/>
      <w:r w:rsidRPr="63C1CD34">
        <w:rPr>
          <w:sz w:val="24"/>
          <w:szCs w:val="24"/>
        </w:rPr>
        <w:t> C. Mechanisms of focal heat destruction of liver tumors. J Surg Res. </w:t>
      </w:r>
      <w:proofErr w:type="gramStart"/>
      <w:r w:rsidRPr="63C1CD34">
        <w:rPr>
          <w:sz w:val="24"/>
          <w:szCs w:val="24"/>
        </w:rPr>
        <w:t>2005;127:208</w:t>
      </w:r>
      <w:proofErr w:type="gramEnd"/>
      <w:r w:rsidRPr="63C1CD34">
        <w:rPr>
          <w:sz w:val="24"/>
          <w:szCs w:val="24"/>
        </w:rPr>
        <w:t>–223. </w:t>
      </w:r>
    </w:p>
    <w:p w14:paraId="5D21540C" w14:textId="38D282EA" w:rsidR="00D74A69" w:rsidRPr="00D74A69" w:rsidRDefault="00D74A69" w:rsidP="00576A71">
      <w:pPr>
        <w:numPr>
          <w:ilvl w:val="0"/>
          <w:numId w:val="13"/>
        </w:numPr>
        <w:spacing w:after="0"/>
        <w:rPr>
          <w:b/>
          <w:bCs/>
          <w:sz w:val="24"/>
          <w:szCs w:val="24"/>
        </w:rPr>
      </w:pPr>
      <w:r w:rsidRPr="63C1CD34">
        <w:rPr>
          <w:sz w:val="24"/>
          <w:szCs w:val="24"/>
        </w:rPr>
        <w:t xml:space="preserve">Chu KF, Dupuy DE. Thermal ablation of </w:t>
      </w:r>
      <w:proofErr w:type="spellStart"/>
      <w:r w:rsidRPr="63C1CD34">
        <w:rPr>
          <w:sz w:val="24"/>
          <w:szCs w:val="24"/>
        </w:rPr>
        <w:t>tumours</w:t>
      </w:r>
      <w:proofErr w:type="spellEnd"/>
      <w:r w:rsidRPr="63C1CD34">
        <w:rPr>
          <w:sz w:val="24"/>
          <w:szCs w:val="24"/>
        </w:rPr>
        <w:t>: biological mechanisms and advances in therapy. Nat Rev Cancer. </w:t>
      </w:r>
      <w:proofErr w:type="gramStart"/>
      <w:r w:rsidRPr="63C1CD34">
        <w:rPr>
          <w:sz w:val="24"/>
          <w:szCs w:val="24"/>
        </w:rPr>
        <w:t>2014;14:199</w:t>
      </w:r>
      <w:proofErr w:type="gramEnd"/>
      <w:r w:rsidRPr="63C1CD34">
        <w:rPr>
          <w:sz w:val="24"/>
          <w:szCs w:val="24"/>
        </w:rPr>
        <w:t>–208. </w:t>
      </w:r>
    </w:p>
    <w:p w14:paraId="62A229F9" w14:textId="7D98629E" w:rsidR="00D74A69" w:rsidRPr="00D74A69" w:rsidRDefault="00D74A69" w:rsidP="00576A71">
      <w:pPr>
        <w:numPr>
          <w:ilvl w:val="0"/>
          <w:numId w:val="13"/>
        </w:numPr>
        <w:spacing w:after="0"/>
        <w:rPr>
          <w:b/>
          <w:bCs/>
          <w:sz w:val="24"/>
          <w:szCs w:val="24"/>
        </w:rPr>
      </w:pPr>
      <w:r w:rsidRPr="63C1CD34">
        <w:rPr>
          <w:sz w:val="24"/>
          <w:szCs w:val="24"/>
        </w:rPr>
        <w:t xml:space="preserve">Thomsen S. Pathological analysis of photothermal and photomechanical effects of laser–tissue interactions. </w:t>
      </w:r>
      <w:proofErr w:type="spellStart"/>
      <w:r w:rsidRPr="63C1CD34">
        <w:rPr>
          <w:sz w:val="24"/>
          <w:szCs w:val="24"/>
        </w:rPr>
        <w:t>Photochem</w:t>
      </w:r>
      <w:proofErr w:type="spellEnd"/>
      <w:r w:rsidRPr="63C1CD34">
        <w:rPr>
          <w:sz w:val="24"/>
          <w:szCs w:val="24"/>
        </w:rPr>
        <w:t xml:space="preserve"> </w:t>
      </w:r>
      <w:proofErr w:type="spellStart"/>
      <w:r w:rsidRPr="63C1CD34">
        <w:rPr>
          <w:sz w:val="24"/>
          <w:szCs w:val="24"/>
        </w:rPr>
        <w:t>Photobiol</w:t>
      </w:r>
      <w:proofErr w:type="spellEnd"/>
      <w:r w:rsidRPr="63C1CD34">
        <w:rPr>
          <w:sz w:val="24"/>
          <w:szCs w:val="24"/>
        </w:rPr>
        <w:t>. </w:t>
      </w:r>
      <w:proofErr w:type="gramStart"/>
      <w:r w:rsidRPr="63C1CD34">
        <w:rPr>
          <w:sz w:val="24"/>
          <w:szCs w:val="24"/>
        </w:rPr>
        <w:t>1991;53:825</w:t>
      </w:r>
      <w:proofErr w:type="gramEnd"/>
      <w:r w:rsidRPr="63C1CD34">
        <w:rPr>
          <w:sz w:val="24"/>
          <w:szCs w:val="24"/>
        </w:rPr>
        <w:t>–835. </w:t>
      </w:r>
    </w:p>
    <w:p w14:paraId="02311897" w14:textId="4B6895F4" w:rsidR="00D74A69" w:rsidRPr="00D74A69" w:rsidRDefault="00D74A69" w:rsidP="00576A71">
      <w:pPr>
        <w:numPr>
          <w:ilvl w:val="0"/>
          <w:numId w:val="13"/>
        </w:numPr>
        <w:spacing w:after="0"/>
        <w:rPr>
          <w:b/>
          <w:bCs/>
          <w:sz w:val="24"/>
          <w:szCs w:val="24"/>
        </w:rPr>
      </w:pPr>
      <w:r w:rsidRPr="63C1CD34">
        <w:rPr>
          <w:sz w:val="24"/>
          <w:szCs w:val="24"/>
        </w:rPr>
        <w:t>Jacques SL, et al. Pressure effects on soft tissues monitored by changes in tissue optical properties. Proceedings of Laser–Tissue Interaction IX; 1998, Vol. 3254. p. 366. </w:t>
      </w:r>
    </w:p>
    <w:p w14:paraId="3089183F" w14:textId="3B748C16" w:rsidR="00D74A69" w:rsidRPr="00D74A69" w:rsidRDefault="00D74A69" w:rsidP="00576A71">
      <w:pPr>
        <w:numPr>
          <w:ilvl w:val="0"/>
          <w:numId w:val="13"/>
        </w:numPr>
        <w:spacing w:after="0"/>
        <w:rPr>
          <w:b/>
          <w:bCs/>
          <w:sz w:val="24"/>
          <w:szCs w:val="24"/>
        </w:rPr>
      </w:pPr>
      <w:r w:rsidRPr="63C1CD34">
        <w:rPr>
          <w:sz w:val="24"/>
          <w:szCs w:val="24"/>
        </w:rPr>
        <w:t>Chan EK, </w:t>
      </w:r>
      <w:proofErr w:type="spellStart"/>
      <w:r w:rsidRPr="63C1CD34">
        <w:rPr>
          <w:sz w:val="24"/>
          <w:szCs w:val="24"/>
        </w:rPr>
        <w:t>Sorg</w:t>
      </w:r>
      <w:proofErr w:type="spellEnd"/>
      <w:r w:rsidRPr="63C1CD34">
        <w:rPr>
          <w:sz w:val="24"/>
          <w:szCs w:val="24"/>
        </w:rPr>
        <w:t> B, </w:t>
      </w:r>
      <w:proofErr w:type="spellStart"/>
      <w:r w:rsidRPr="63C1CD34">
        <w:rPr>
          <w:sz w:val="24"/>
          <w:szCs w:val="24"/>
        </w:rPr>
        <w:t>Protsenko</w:t>
      </w:r>
      <w:proofErr w:type="spellEnd"/>
      <w:r w:rsidRPr="63C1CD34">
        <w:rPr>
          <w:sz w:val="24"/>
          <w:szCs w:val="24"/>
        </w:rPr>
        <w:t xml:space="preserve"> D, et al. Effects of compression on soft tissue optical properties. IEEE J </w:t>
      </w:r>
      <w:proofErr w:type="spellStart"/>
      <w:r w:rsidRPr="63C1CD34">
        <w:rPr>
          <w:sz w:val="24"/>
          <w:szCs w:val="24"/>
        </w:rPr>
        <w:t>Sel</w:t>
      </w:r>
      <w:proofErr w:type="spellEnd"/>
      <w:r w:rsidRPr="63C1CD34">
        <w:rPr>
          <w:sz w:val="24"/>
          <w:szCs w:val="24"/>
        </w:rPr>
        <w:t xml:space="preserve"> Topics Quantum Electron. 1996;2(4):943–950. </w:t>
      </w:r>
    </w:p>
    <w:p w14:paraId="1673F5FE" w14:textId="4B648E65" w:rsidR="00D74A69" w:rsidRPr="00D74A69" w:rsidRDefault="00D74A69" w:rsidP="00576A71">
      <w:pPr>
        <w:numPr>
          <w:ilvl w:val="0"/>
          <w:numId w:val="13"/>
        </w:numPr>
        <w:spacing w:after="0"/>
        <w:rPr>
          <w:b/>
          <w:bCs/>
          <w:sz w:val="24"/>
          <w:szCs w:val="24"/>
        </w:rPr>
      </w:pPr>
      <w:proofErr w:type="spellStart"/>
      <w:r w:rsidRPr="63C1CD34">
        <w:rPr>
          <w:sz w:val="24"/>
          <w:szCs w:val="24"/>
        </w:rPr>
        <w:t>Çilesiz</w:t>
      </w:r>
      <w:proofErr w:type="spellEnd"/>
      <w:r w:rsidRPr="63C1CD34">
        <w:rPr>
          <w:sz w:val="24"/>
          <w:szCs w:val="24"/>
        </w:rPr>
        <w:t> I, Welch AJ. Light dosimetry: effects of dehydration and thermal damage on the optical properties of the human aorta: errata. Appl Opt. </w:t>
      </w:r>
      <w:proofErr w:type="gramStart"/>
      <w:r w:rsidRPr="63C1CD34">
        <w:rPr>
          <w:sz w:val="24"/>
          <w:szCs w:val="24"/>
        </w:rPr>
        <w:t>1994;33:3571</w:t>
      </w:r>
      <w:proofErr w:type="gramEnd"/>
      <w:r w:rsidRPr="63C1CD34">
        <w:rPr>
          <w:sz w:val="24"/>
          <w:szCs w:val="24"/>
        </w:rPr>
        <w:t>. </w:t>
      </w:r>
    </w:p>
    <w:p w14:paraId="79B0D83A" w14:textId="2A6089F2" w:rsidR="00D74A69" w:rsidRPr="00D74A69" w:rsidRDefault="00D74A69" w:rsidP="00576A71">
      <w:pPr>
        <w:numPr>
          <w:ilvl w:val="0"/>
          <w:numId w:val="13"/>
        </w:numPr>
        <w:spacing w:after="0"/>
        <w:rPr>
          <w:b/>
          <w:bCs/>
          <w:sz w:val="24"/>
          <w:szCs w:val="24"/>
        </w:rPr>
      </w:pPr>
      <w:proofErr w:type="spellStart"/>
      <w:r w:rsidRPr="63C1CD34">
        <w:rPr>
          <w:sz w:val="24"/>
          <w:szCs w:val="24"/>
        </w:rPr>
        <w:t>Salomatina</w:t>
      </w:r>
      <w:proofErr w:type="spellEnd"/>
      <w:r w:rsidRPr="63C1CD34">
        <w:rPr>
          <w:sz w:val="24"/>
          <w:szCs w:val="24"/>
        </w:rPr>
        <w:t> E, Yaroslavsky AN. Evaluation of the in vivo and ex vivo optical properties in a mouse ear model. Phys Med Biol. </w:t>
      </w:r>
      <w:proofErr w:type="gramStart"/>
      <w:r w:rsidRPr="63C1CD34">
        <w:rPr>
          <w:sz w:val="24"/>
          <w:szCs w:val="24"/>
        </w:rPr>
        <w:t>2008;53:2797</w:t>
      </w:r>
      <w:proofErr w:type="gramEnd"/>
      <w:r w:rsidRPr="63C1CD34">
        <w:rPr>
          <w:sz w:val="24"/>
          <w:szCs w:val="24"/>
        </w:rPr>
        <w:t>–2807. </w:t>
      </w:r>
    </w:p>
    <w:p w14:paraId="106429CD" w14:textId="52244A2A" w:rsidR="00D74A69" w:rsidRPr="00D74A69" w:rsidRDefault="00D74A69" w:rsidP="00576A71">
      <w:pPr>
        <w:numPr>
          <w:ilvl w:val="0"/>
          <w:numId w:val="13"/>
        </w:numPr>
        <w:spacing w:after="0"/>
        <w:rPr>
          <w:b/>
          <w:bCs/>
          <w:sz w:val="24"/>
          <w:szCs w:val="24"/>
        </w:rPr>
      </w:pPr>
      <w:r w:rsidRPr="63C1CD34">
        <w:rPr>
          <w:sz w:val="24"/>
          <w:szCs w:val="24"/>
        </w:rPr>
        <w:t>Cavaliere R, </w:t>
      </w:r>
      <w:proofErr w:type="spellStart"/>
      <w:r w:rsidRPr="63C1CD34">
        <w:rPr>
          <w:sz w:val="24"/>
          <w:szCs w:val="24"/>
        </w:rPr>
        <w:t>Ciocatto</w:t>
      </w:r>
      <w:proofErr w:type="spellEnd"/>
      <w:r w:rsidRPr="63C1CD34">
        <w:rPr>
          <w:sz w:val="24"/>
          <w:szCs w:val="24"/>
        </w:rPr>
        <w:t> EC, </w:t>
      </w:r>
      <w:proofErr w:type="spellStart"/>
      <w:r w:rsidRPr="63C1CD34">
        <w:rPr>
          <w:sz w:val="24"/>
          <w:szCs w:val="24"/>
        </w:rPr>
        <w:t>Giovanella</w:t>
      </w:r>
      <w:proofErr w:type="spellEnd"/>
      <w:r w:rsidRPr="63C1CD34">
        <w:rPr>
          <w:sz w:val="24"/>
          <w:szCs w:val="24"/>
        </w:rPr>
        <w:t> BC, et al. Selective heat sensitivity of cancer cells. Biochemical and clinical studies. Cancer. </w:t>
      </w:r>
      <w:proofErr w:type="gramStart"/>
      <w:r w:rsidRPr="63C1CD34">
        <w:rPr>
          <w:sz w:val="24"/>
          <w:szCs w:val="24"/>
        </w:rPr>
        <w:t>1967;20:1351</w:t>
      </w:r>
      <w:proofErr w:type="gramEnd"/>
      <w:r w:rsidRPr="63C1CD34">
        <w:rPr>
          <w:sz w:val="24"/>
          <w:szCs w:val="24"/>
        </w:rPr>
        <w:t>–1381. </w:t>
      </w:r>
    </w:p>
    <w:p w14:paraId="7A018578" w14:textId="77777777" w:rsidR="00D74A69" w:rsidRPr="00D74A69" w:rsidRDefault="00D74A69" w:rsidP="00576A71">
      <w:pPr>
        <w:spacing w:after="0"/>
        <w:rPr>
          <w:rFonts w:cstheme="minorHAnsi"/>
          <w:sz w:val="24"/>
          <w:szCs w:val="24"/>
        </w:rPr>
      </w:pPr>
    </w:p>
    <w:p w14:paraId="34199F8B" w14:textId="77777777" w:rsidR="00D74A69" w:rsidRDefault="00D74A69" w:rsidP="00576A71">
      <w:pPr>
        <w:spacing w:after="0"/>
        <w:rPr>
          <w:rFonts w:cstheme="minorHAnsi"/>
          <w:b/>
          <w:bCs/>
          <w:sz w:val="24"/>
          <w:szCs w:val="24"/>
        </w:rPr>
      </w:pPr>
    </w:p>
    <w:sectPr w:rsidR="00D74A6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100560"/>
    <w:multiLevelType w:val="multilevel"/>
    <w:tmpl w:val="C7A6B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0"/>
  </w:num>
  <w:num w:numId="3">
    <w:abstractNumId w:val="1"/>
  </w:num>
  <w:num w:numId="4">
    <w:abstractNumId w:val="10"/>
  </w:num>
  <w:num w:numId="5">
    <w:abstractNumId w:val="11"/>
  </w:num>
  <w:num w:numId="6">
    <w:abstractNumId w:val="7"/>
  </w:num>
  <w:num w:numId="7">
    <w:abstractNumId w:val="3"/>
  </w:num>
  <w:num w:numId="8">
    <w:abstractNumId w:val="4"/>
  </w:num>
  <w:num w:numId="9">
    <w:abstractNumId w:val="2"/>
  </w:num>
  <w:num w:numId="10">
    <w:abstractNumId w:val="6"/>
  </w:num>
  <w:num w:numId="11">
    <w:abstractNumId w:val="5"/>
  </w:num>
  <w:num w:numId="12">
    <w:abstractNumId w:val="12"/>
  </w:num>
  <w:num w:numId="1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6kojH++GK99rpvyPHyr9W8U7mCflLeYdMW1UzzxuErVgxFhIh5Kxf8n5PilguBtVY+XzJi6DwgFEnbCTYVszlA==" w:salt="pQeHtAggQYw8RPrZ1YXIP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21D"/>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2B3A"/>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2D32"/>
    <w:rsid w:val="00473705"/>
    <w:rsid w:val="00473B19"/>
    <w:rsid w:val="00474CB3"/>
    <w:rsid w:val="00474ECD"/>
    <w:rsid w:val="004757B5"/>
    <w:rsid w:val="00475EFA"/>
    <w:rsid w:val="004816ED"/>
    <w:rsid w:val="004830DC"/>
    <w:rsid w:val="004834F0"/>
    <w:rsid w:val="00487185"/>
    <w:rsid w:val="004873AE"/>
    <w:rsid w:val="00487718"/>
    <w:rsid w:val="00490ABE"/>
    <w:rsid w:val="00491521"/>
    <w:rsid w:val="004932A8"/>
    <w:rsid w:val="00495B8D"/>
    <w:rsid w:val="00497E47"/>
    <w:rsid w:val="004A0368"/>
    <w:rsid w:val="004A2715"/>
    <w:rsid w:val="004A2894"/>
    <w:rsid w:val="004A2B41"/>
    <w:rsid w:val="004A2EE2"/>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D6C5E"/>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76A71"/>
    <w:rsid w:val="00580E33"/>
    <w:rsid w:val="005820ED"/>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4F6B"/>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0C7"/>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193B"/>
    <w:rsid w:val="00812365"/>
    <w:rsid w:val="00813292"/>
    <w:rsid w:val="00813E40"/>
    <w:rsid w:val="00816489"/>
    <w:rsid w:val="00817C16"/>
    <w:rsid w:val="00820049"/>
    <w:rsid w:val="0082013E"/>
    <w:rsid w:val="00822617"/>
    <w:rsid w:val="00824B15"/>
    <w:rsid w:val="008309A0"/>
    <w:rsid w:val="00830C73"/>
    <w:rsid w:val="008314FC"/>
    <w:rsid w:val="0083159E"/>
    <w:rsid w:val="008322E3"/>
    <w:rsid w:val="00833193"/>
    <w:rsid w:val="00834DF7"/>
    <w:rsid w:val="00835F6B"/>
    <w:rsid w:val="00836F01"/>
    <w:rsid w:val="008406F5"/>
    <w:rsid w:val="00841F1E"/>
    <w:rsid w:val="00842203"/>
    <w:rsid w:val="00850E3E"/>
    <w:rsid w:val="00852775"/>
    <w:rsid w:val="0086087C"/>
    <w:rsid w:val="00860A70"/>
    <w:rsid w:val="00864432"/>
    <w:rsid w:val="008649A3"/>
    <w:rsid w:val="0086670A"/>
    <w:rsid w:val="00867861"/>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8FE"/>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B702F"/>
    <w:rsid w:val="009B7445"/>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156D"/>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493D"/>
    <w:rsid w:val="00AA5ED9"/>
    <w:rsid w:val="00AA718C"/>
    <w:rsid w:val="00AB17D9"/>
    <w:rsid w:val="00AB2F0A"/>
    <w:rsid w:val="00AB4807"/>
    <w:rsid w:val="00AB4813"/>
    <w:rsid w:val="00AC0052"/>
    <w:rsid w:val="00AC04D6"/>
    <w:rsid w:val="00AD0685"/>
    <w:rsid w:val="00AD0890"/>
    <w:rsid w:val="00AD38C1"/>
    <w:rsid w:val="00AD5A78"/>
    <w:rsid w:val="00AE1517"/>
    <w:rsid w:val="00AE34F1"/>
    <w:rsid w:val="00AE4078"/>
    <w:rsid w:val="00AE4230"/>
    <w:rsid w:val="00AE4A74"/>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27DA9"/>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08B5"/>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358A"/>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09"/>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94F"/>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E1B"/>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1602"/>
    <w:rsid w:val="00D52D25"/>
    <w:rsid w:val="00D65A57"/>
    <w:rsid w:val="00D66306"/>
    <w:rsid w:val="00D66B18"/>
    <w:rsid w:val="00D726DB"/>
    <w:rsid w:val="00D73164"/>
    <w:rsid w:val="00D74A35"/>
    <w:rsid w:val="00D74A69"/>
    <w:rsid w:val="00D77E53"/>
    <w:rsid w:val="00D8135F"/>
    <w:rsid w:val="00D81DD5"/>
    <w:rsid w:val="00D87BB8"/>
    <w:rsid w:val="00D90BD9"/>
    <w:rsid w:val="00D932C5"/>
    <w:rsid w:val="00D939A7"/>
    <w:rsid w:val="00D95753"/>
    <w:rsid w:val="00D9581C"/>
    <w:rsid w:val="00D95DCB"/>
    <w:rsid w:val="00D96228"/>
    <w:rsid w:val="00DA1254"/>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1EE7"/>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347"/>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333"/>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 w:val="0178E35A"/>
    <w:rsid w:val="04350F89"/>
    <w:rsid w:val="0B981400"/>
    <w:rsid w:val="0C26F911"/>
    <w:rsid w:val="173D12DD"/>
    <w:rsid w:val="1F683D8B"/>
    <w:rsid w:val="27725351"/>
    <w:rsid w:val="290F1FD1"/>
    <w:rsid w:val="2985DA9A"/>
    <w:rsid w:val="2B5AEB26"/>
    <w:rsid w:val="2C9EF62A"/>
    <w:rsid w:val="2E928BE8"/>
    <w:rsid w:val="37C28C27"/>
    <w:rsid w:val="38787B68"/>
    <w:rsid w:val="3BB01C2A"/>
    <w:rsid w:val="411F1AA9"/>
    <w:rsid w:val="496DF48D"/>
    <w:rsid w:val="4A739467"/>
    <w:rsid w:val="4F47058A"/>
    <w:rsid w:val="4FF1A3A9"/>
    <w:rsid w:val="5D704794"/>
    <w:rsid w:val="602E3930"/>
    <w:rsid w:val="622500B4"/>
    <w:rsid w:val="63C1CD34"/>
    <w:rsid w:val="6AC8DE69"/>
    <w:rsid w:val="6CBFA5ED"/>
    <w:rsid w:val="6E04AD10"/>
    <w:rsid w:val="72DD7B08"/>
    <w:rsid w:val="78B25388"/>
    <w:rsid w:val="7A4E23E9"/>
    <w:rsid w:val="7B5E72D5"/>
    <w:rsid w:val="7F0968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59E"/>
  </w:style>
  <w:style w:type="paragraph" w:styleId="Heading1">
    <w:name w:val="heading 1"/>
    <w:basedOn w:val="Normal"/>
    <w:next w:val="Normal"/>
    <w:link w:val="Heading1Char"/>
    <w:uiPriority w:val="9"/>
    <w:qFormat/>
    <w:rsid w:val="0083159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3159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3159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3159E"/>
    <w:pPr>
      <w:keepNext/>
      <w:keepLines/>
      <w:spacing w:before="40" w:after="0"/>
      <w:outlineLvl w:val="3"/>
    </w:pPr>
    <w:rPr>
      <w:i/>
      <w:iCs/>
    </w:rPr>
  </w:style>
  <w:style w:type="paragraph" w:styleId="Heading5">
    <w:name w:val="heading 5"/>
    <w:basedOn w:val="Normal"/>
    <w:next w:val="Normal"/>
    <w:link w:val="Heading5Char"/>
    <w:uiPriority w:val="9"/>
    <w:unhideWhenUsed/>
    <w:qFormat/>
    <w:rsid w:val="0083159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83159E"/>
    <w:pPr>
      <w:keepNext/>
      <w:keepLines/>
      <w:spacing w:before="40" w:after="0"/>
      <w:outlineLvl w:val="5"/>
    </w:pPr>
  </w:style>
  <w:style w:type="paragraph" w:styleId="Heading7">
    <w:name w:val="heading 7"/>
    <w:basedOn w:val="Normal"/>
    <w:next w:val="Normal"/>
    <w:link w:val="Heading7Char"/>
    <w:uiPriority w:val="9"/>
    <w:semiHidden/>
    <w:unhideWhenUsed/>
    <w:qFormat/>
    <w:rsid w:val="0083159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3159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3159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59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3159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3159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3159E"/>
    <w:rPr>
      <w:i/>
      <w:iCs/>
    </w:rPr>
  </w:style>
  <w:style w:type="character" w:customStyle="1" w:styleId="Heading5Char">
    <w:name w:val="Heading 5 Char"/>
    <w:basedOn w:val="DefaultParagraphFont"/>
    <w:link w:val="Heading5"/>
    <w:uiPriority w:val="9"/>
    <w:rsid w:val="0083159E"/>
    <w:rPr>
      <w:color w:val="404040" w:themeColor="text1" w:themeTint="BF"/>
    </w:rPr>
  </w:style>
  <w:style w:type="character" w:customStyle="1" w:styleId="Heading6Char">
    <w:name w:val="Heading 6 Char"/>
    <w:basedOn w:val="DefaultParagraphFont"/>
    <w:link w:val="Heading6"/>
    <w:uiPriority w:val="9"/>
    <w:rsid w:val="0083159E"/>
  </w:style>
  <w:style w:type="character" w:customStyle="1" w:styleId="Heading7Char">
    <w:name w:val="Heading 7 Char"/>
    <w:basedOn w:val="DefaultParagraphFont"/>
    <w:link w:val="Heading7"/>
    <w:uiPriority w:val="9"/>
    <w:semiHidden/>
    <w:rsid w:val="0083159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3159E"/>
    <w:rPr>
      <w:color w:val="262626" w:themeColor="text1" w:themeTint="D9"/>
      <w:sz w:val="21"/>
      <w:szCs w:val="21"/>
    </w:rPr>
  </w:style>
  <w:style w:type="character" w:customStyle="1" w:styleId="Heading9Char">
    <w:name w:val="Heading 9 Char"/>
    <w:basedOn w:val="DefaultParagraphFont"/>
    <w:link w:val="Heading9"/>
    <w:uiPriority w:val="9"/>
    <w:semiHidden/>
    <w:rsid w:val="0083159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3159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3159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3159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3159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3159E"/>
    <w:rPr>
      <w:color w:val="5A5A5A" w:themeColor="text1" w:themeTint="A5"/>
      <w:spacing w:val="15"/>
    </w:rPr>
  </w:style>
  <w:style w:type="character" w:styleId="Strong">
    <w:name w:val="Strong"/>
    <w:basedOn w:val="DefaultParagraphFont"/>
    <w:uiPriority w:val="22"/>
    <w:qFormat/>
    <w:rsid w:val="0083159E"/>
    <w:rPr>
      <w:b/>
      <w:bCs/>
      <w:color w:val="auto"/>
    </w:rPr>
  </w:style>
  <w:style w:type="character" w:styleId="Emphasis">
    <w:name w:val="Emphasis"/>
    <w:basedOn w:val="DefaultParagraphFont"/>
    <w:uiPriority w:val="20"/>
    <w:qFormat/>
    <w:rsid w:val="0083159E"/>
    <w:rPr>
      <w:i/>
      <w:iCs/>
      <w:color w:val="auto"/>
    </w:rPr>
  </w:style>
  <w:style w:type="paragraph" w:styleId="NoSpacing">
    <w:name w:val="No Spacing"/>
    <w:uiPriority w:val="1"/>
    <w:qFormat/>
    <w:rsid w:val="0083159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3159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3159E"/>
    <w:rPr>
      <w:i/>
      <w:iCs/>
      <w:color w:val="404040" w:themeColor="text1" w:themeTint="BF"/>
    </w:rPr>
  </w:style>
  <w:style w:type="paragraph" w:styleId="IntenseQuote">
    <w:name w:val="Intense Quote"/>
    <w:basedOn w:val="Normal"/>
    <w:next w:val="Normal"/>
    <w:link w:val="IntenseQuoteChar"/>
    <w:uiPriority w:val="30"/>
    <w:qFormat/>
    <w:rsid w:val="0083159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3159E"/>
    <w:rPr>
      <w:i/>
      <w:iCs/>
      <w:color w:val="404040" w:themeColor="text1" w:themeTint="BF"/>
    </w:rPr>
  </w:style>
  <w:style w:type="character" w:styleId="SubtleEmphasis">
    <w:name w:val="Subtle Emphasis"/>
    <w:basedOn w:val="DefaultParagraphFont"/>
    <w:uiPriority w:val="19"/>
    <w:qFormat/>
    <w:rsid w:val="0083159E"/>
    <w:rPr>
      <w:i/>
      <w:iCs/>
      <w:color w:val="404040" w:themeColor="text1" w:themeTint="BF"/>
    </w:rPr>
  </w:style>
  <w:style w:type="character" w:styleId="IntenseEmphasis">
    <w:name w:val="Intense Emphasis"/>
    <w:basedOn w:val="DefaultParagraphFont"/>
    <w:uiPriority w:val="21"/>
    <w:qFormat/>
    <w:rsid w:val="0083159E"/>
    <w:rPr>
      <w:b/>
      <w:bCs/>
      <w:i/>
      <w:iCs/>
      <w:color w:val="auto"/>
    </w:rPr>
  </w:style>
  <w:style w:type="character" w:styleId="SubtleReference">
    <w:name w:val="Subtle Reference"/>
    <w:basedOn w:val="DefaultParagraphFont"/>
    <w:uiPriority w:val="31"/>
    <w:qFormat/>
    <w:rsid w:val="0083159E"/>
    <w:rPr>
      <w:smallCaps/>
      <w:color w:val="404040" w:themeColor="text1" w:themeTint="BF"/>
    </w:rPr>
  </w:style>
  <w:style w:type="character" w:styleId="IntenseReference">
    <w:name w:val="Intense Reference"/>
    <w:basedOn w:val="DefaultParagraphFont"/>
    <w:uiPriority w:val="32"/>
    <w:qFormat/>
    <w:rsid w:val="0083159E"/>
    <w:rPr>
      <w:b/>
      <w:bCs/>
      <w:smallCaps/>
      <w:color w:val="404040" w:themeColor="text1" w:themeTint="BF"/>
      <w:spacing w:val="5"/>
    </w:rPr>
  </w:style>
  <w:style w:type="character" w:styleId="BookTitle">
    <w:name w:val="Book Title"/>
    <w:basedOn w:val="DefaultParagraphFont"/>
    <w:uiPriority w:val="33"/>
    <w:qFormat/>
    <w:rsid w:val="0083159E"/>
    <w:rPr>
      <w:b/>
      <w:bCs/>
      <w:i/>
      <w:iCs/>
      <w:spacing w:val="5"/>
    </w:rPr>
  </w:style>
  <w:style w:type="paragraph" w:styleId="TOCHeading">
    <w:name w:val="TOC Heading"/>
    <w:basedOn w:val="Heading1"/>
    <w:next w:val="Normal"/>
    <w:uiPriority w:val="39"/>
    <w:semiHidden/>
    <w:unhideWhenUsed/>
    <w:qFormat/>
    <w:rsid w:val="0083159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kwd-title">
    <w:name w:val="kwd-title"/>
    <w:basedOn w:val="Normal"/>
    <w:rsid w:val="00D74A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text">
    <w:name w:val="captiontext"/>
    <w:basedOn w:val="Normal"/>
    <w:rsid w:val="00D74A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image">
    <w:name w:val="nlm_disp-formula-image"/>
    <w:basedOn w:val="DefaultParagraphFont"/>
    <w:rsid w:val="00D74A69"/>
  </w:style>
  <w:style w:type="character" w:customStyle="1" w:styleId="nlmdisp-formula">
    <w:name w:val="nlm_disp-formula"/>
    <w:basedOn w:val="DefaultParagraphFont"/>
    <w:rsid w:val="00D74A69"/>
  </w:style>
  <w:style w:type="character" w:customStyle="1" w:styleId="mathjaxlabel">
    <w:name w:val="mathjaxlabel"/>
    <w:basedOn w:val="DefaultParagraphFont"/>
    <w:rsid w:val="00D74A69"/>
  </w:style>
  <w:style w:type="character" w:customStyle="1" w:styleId="dispformulalabeldiv">
    <w:name w:val="disp_formula_label_div"/>
    <w:basedOn w:val="DefaultParagraphFont"/>
    <w:rsid w:val="00D74A69"/>
  </w:style>
  <w:style w:type="character" w:customStyle="1" w:styleId="disp-formula-label">
    <w:name w:val="disp-formula-label"/>
    <w:basedOn w:val="DefaultParagraphFont"/>
    <w:rsid w:val="00D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58083">
      <w:bodyDiv w:val="1"/>
      <w:marLeft w:val="0"/>
      <w:marRight w:val="0"/>
      <w:marTop w:val="0"/>
      <w:marBottom w:val="0"/>
      <w:divBdr>
        <w:top w:val="none" w:sz="0" w:space="0" w:color="auto"/>
        <w:left w:val="none" w:sz="0" w:space="0" w:color="auto"/>
        <w:bottom w:val="none" w:sz="0" w:space="0" w:color="auto"/>
        <w:right w:val="none" w:sz="0" w:space="0" w:color="auto"/>
      </w:divBdr>
      <w:divsChild>
        <w:div w:id="1016276642">
          <w:marLeft w:val="0"/>
          <w:marRight w:val="0"/>
          <w:marTop w:val="0"/>
          <w:marBottom w:val="0"/>
          <w:divBdr>
            <w:top w:val="none" w:sz="0" w:space="0" w:color="auto"/>
            <w:left w:val="none" w:sz="0" w:space="0" w:color="auto"/>
            <w:bottom w:val="none" w:sz="0" w:space="0" w:color="auto"/>
            <w:right w:val="none" w:sz="0" w:space="0" w:color="auto"/>
          </w:divBdr>
        </w:div>
        <w:div w:id="557664650">
          <w:marLeft w:val="0"/>
          <w:marRight w:val="0"/>
          <w:marTop w:val="0"/>
          <w:marBottom w:val="0"/>
          <w:divBdr>
            <w:top w:val="none" w:sz="0" w:space="0" w:color="auto"/>
            <w:left w:val="none" w:sz="0" w:space="0" w:color="auto"/>
            <w:bottom w:val="none" w:sz="0" w:space="0" w:color="auto"/>
            <w:right w:val="none" w:sz="0" w:space="0" w:color="auto"/>
          </w:divBdr>
          <w:divsChild>
            <w:div w:id="484592062">
              <w:marLeft w:val="0"/>
              <w:marRight w:val="0"/>
              <w:marTop w:val="0"/>
              <w:marBottom w:val="0"/>
              <w:divBdr>
                <w:top w:val="none" w:sz="0" w:space="0" w:color="auto"/>
                <w:left w:val="none" w:sz="0" w:space="0" w:color="auto"/>
                <w:bottom w:val="none" w:sz="0" w:space="0" w:color="auto"/>
                <w:right w:val="none" w:sz="0" w:space="0" w:color="auto"/>
              </w:divBdr>
            </w:div>
          </w:divsChild>
        </w:div>
        <w:div w:id="1456867744">
          <w:marLeft w:val="0"/>
          <w:marRight w:val="0"/>
          <w:marTop w:val="0"/>
          <w:marBottom w:val="0"/>
          <w:divBdr>
            <w:top w:val="none" w:sz="0" w:space="0" w:color="auto"/>
            <w:left w:val="none" w:sz="0" w:space="0" w:color="auto"/>
            <w:bottom w:val="none" w:sz="0" w:space="0" w:color="auto"/>
            <w:right w:val="none" w:sz="0" w:space="0" w:color="auto"/>
          </w:divBdr>
          <w:divsChild>
            <w:div w:id="443962006">
              <w:marLeft w:val="0"/>
              <w:marRight w:val="0"/>
              <w:marTop w:val="0"/>
              <w:marBottom w:val="0"/>
              <w:divBdr>
                <w:top w:val="none" w:sz="0" w:space="0" w:color="auto"/>
                <w:left w:val="none" w:sz="0" w:space="0" w:color="auto"/>
                <w:bottom w:val="none" w:sz="0" w:space="0" w:color="auto"/>
                <w:right w:val="none" w:sz="0" w:space="0" w:color="auto"/>
              </w:divBdr>
              <w:divsChild>
                <w:div w:id="1894804245">
                  <w:marLeft w:val="0"/>
                  <w:marRight w:val="0"/>
                  <w:marTop w:val="0"/>
                  <w:marBottom w:val="0"/>
                  <w:divBdr>
                    <w:top w:val="none" w:sz="0" w:space="0" w:color="auto"/>
                    <w:left w:val="none" w:sz="0" w:space="0" w:color="auto"/>
                    <w:bottom w:val="none" w:sz="0" w:space="0" w:color="auto"/>
                    <w:right w:val="none" w:sz="0" w:space="0" w:color="auto"/>
                  </w:divBdr>
                  <w:divsChild>
                    <w:div w:id="118810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656588">
          <w:marLeft w:val="0"/>
          <w:marRight w:val="0"/>
          <w:marTop w:val="0"/>
          <w:marBottom w:val="0"/>
          <w:divBdr>
            <w:top w:val="none" w:sz="0" w:space="0" w:color="auto"/>
            <w:left w:val="none" w:sz="0" w:space="0" w:color="auto"/>
            <w:bottom w:val="none" w:sz="0" w:space="0" w:color="auto"/>
            <w:right w:val="none" w:sz="0" w:space="0" w:color="auto"/>
          </w:divBdr>
        </w:div>
        <w:div w:id="771630431">
          <w:marLeft w:val="0"/>
          <w:marRight w:val="0"/>
          <w:marTop w:val="0"/>
          <w:marBottom w:val="0"/>
          <w:divBdr>
            <w:top w:val="none" w:sz="0" w:space="0" w:color="auto"/>
            <w:left w:val="none" w:sz="0" w:space="0" w:color="auto"/>
            <w:bottom w:val="none" w:sz="0" w:space="0" w:color="auto"/>
            <w:right w:val="none" w:sz="0" w:space="0" w:color="auto"/>
          </w:divBdr>
          <w:divsChild>
            <w:div w:id="813374670">
              <w:marLeft w:val="0"/>
              <w:marRight w:val="0"/>
              <w:marTop w:val="0"/>
              <w:marBottom w:val="0"/>
              <w:divBdr>
                <w:top w:val="none" w:sz="0" w:space="0" w:color="auto"/>
                <w:left w:val="none" w:sz="0" w:space="0" w:color="auto"/>
                <w:bottom w:val="none" w:sz="0" w:space="0" w:color="auto"/>
                <w:right w:val="none" w:sz="0" w:space="0" w:color="auto"/>
              </w:divBdr>
              <w:divsChild>
                <w:div w:id="244388119">
                  <w:marLeft w:val="0"/>
                  <w:marRight w:val="0"/>
                  <w:marTop w:val="0"/>
                  <w:marBottom w:val="0"/>
                  <w:divBdr>
                    <w:top w:val="none" w:sz="0" w:space="0" w:color="auto"/>
                    <w:left w:val="none" w:sz="0" w:space="0" w:color="auto"/>
                    <w:bottom w:val="none" w:sz="0" w:space="0" w:color="auto"/>
                    <w:right w:val="none" w:sz="0" w:space="0" w:color="auto"/>
                  </w:divBdr>
                  <w:divsChild>
                    <w:div w:id="406659278">
                      <w:marLeft w:val="0"/>
                      <w:marRight w:val="0"/>
                      <w:marTop w:val="0"/>
                      <w:marBottom w:val="0"/>
                      <w:divBdr>
                        <w:top w:val="none" w:sz="0" w:space="0" w:color="auto"/>
                        <w:left w:val="none" w:sz="0" w:space="0" w:color="auto"/>
                        <w:bottom w:val="none" w:sz="0" w:space="0" w:color="auto"/>
                        <w:right w:val="none" w:sz="0" w:space="0" w:color="auto"/>
                      </w:divBdr>
                      <w:divsChild>
                        <w:div w:id="783962413">
                          <w:marLeft w:val="0"/>
                          <w:marRight w:val="0"/>
                          <w:marTop w:val="0"/>
                          <w:marBottom w:val="0"/>
                          <w:divBdr>
                            <w:top w:val="none" w:sz="0" w:space="0" w:color="auto"/>
                            <w:left w:val="none" w:sz="0" w:space="0" w:color="auto"/>
                            <w:bottom w:val="none" w:sz="0" w:space="0" w:color="auto"/>
                            <w:right w:val="none" w:sz="0" w:space="0" w:color="auto"/>
                          </w:divBdr>
                          <w:divsChild>
                            <w:div w:id="1570383866">
                              <w:marLeft w:val="0"/>
                              <w:marRight w:val="0"/>
                              <w:marTop w:val="0"/>
                              <w:marBottom w:val="0"/>
                              <w:divBdr>
                                <w:top w:val="none" w:sz="0" w:space="0" w:color="auto"/>
                                <w:left w:val="none" w:sz="0" w:space="0" w:color="auto"/>
                                <w:bottom w:val="none" w:sz="0" w:space="0" w:color="auto"/>
                                <w:right w:val="none" w:sz="0" w:space="0" w:color="auto"/>
                              </w:divBdr>
                            </w:div>
                          </w:divsChild>
                        </w:div>
                        <w:div w:id="156860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637680">
              <w:marLeft w:val="0"/>
              <w:marRight w:val="0"/>
              <w:marTop w:val="0"/>
              <w:marBottom w:val="0"/>
              <w:divBdr>
                <w:top w:val="none" w:sz="0" w:space="0" w:color="auto"/>
                <w:left w:val="none" w:sz="0" w:space="0" w:color="auto"/>
                <w:bottom w:val="none" w:sz="0" w:space="0" w:color="auto"/>
                <w:right w:val="none" w:sz="0" w:space="0" w:color="auto"/>
              </w:divBdr>
            </w:div>
            <w:div w:id="736903908">
              <w:marLeft w:val="0"/>
              <w:marRight w:val="0"/>
              <w:marTop w:val="0"/>
              <w:marBottom w:val="0"/>
              <w:divBdr>
                <w:top w:val="none" w:sz="0" w:space="0" w:color="auto"/>
                <w:left w:val="none" w:sz="0" w:space="0" w:color="auto"/>
                <w:bottom w:val="none" w:sz="0" w:space="0" w:color="auto"/>
                <w:right w:val="none" w:sz="0" w:space="0" w:color="auto"/>
              </w:divBdr>
            </w:div>
            <w:div w:id="2140107482">
              <w:marLeft w:val="0"/>
              <w:marRight w:val="0"/>
              <w:marTop w:val="0"/>
              <w:marBottom w:val="0"/>
              <w:divBdr>
                <w:top w:val="none" w:sz="0" w:space="0" w:color="auto"/>
                <w:left w:val="none" w:sz="0" w:space="0" w:color="auto"/>
                <w:bottom w:val="none" w:sz="0" w:space="0" w:color="auto"/>
                <w:right w:val="none" w:sz="0" w:space="0" w:color="auto"/>
              </w:divBdr>
              <w:divsChild>
                <w:div w:id="1103650187">
                  <w:marLeft w:val="0"/>
                  <w:marRight w:val="0"/>
                  <w:marTop w:val="240"/>
                  <w:marBottom w:val="240"/>
                  <w:divBdr>
                    <w:top w:val="none" w:sz="0" w:space="0" w:color="auto"/>
                    <w:left w:val="none" w:sz="0" w:space="0" w:color="auto"/>
                    <w:bottom w:val="none" w:sz="0" w:space="0" w:color="auto"/>
                    <w:right w:val="none" w:sz="0" w:space="0" w:color="auto"/>
                  </w:divBdr>
                </w:div>
                <w:div w:id="13739645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52403475">
          <w:marLeft w:val="0"/>
          <w:marRight w:val="0"/>
          <w:marTop w:val="0"/>
          <w:marBottom w:val="0"/>
          <w:divBdr>
            <w:top w:val="none" w:sz="0" w:space="0" w:color="auto"/>
            <w:left w:val="none" w:sz="0" w:space="0" w:color="auto"/>
            <w:bottom w:val="none" w:sz="0" w:space="0" w:color="auto"/>
            <w:right w:val="none" w:sz="0" w:space="0" w:color="auto"/>
          </w:divBdr>
          <w:divsChild>
            <w:div w:id="829520872">
              <w:marLeft w:val="0"/>
              <w:marRight w:val="0"/>
              <w:marTop w:val="0"/>
              <w:marBottom w:val="0"/>
              <w:divBdr>
                <w:top w:val="none" w:sz="0" w:space="0" w:color="auto"/>
                <w:left w:val="none" w:sz="0" w:space="0" w:color="auto"/>
                <w:bottom w:val="none" w:sz="0" w:space="0" w:color="auto"/>
                <w:right w:val="none" w:sz="0" w:space="0" w:color="auto"/>
              </w:divBdr>
              <w:divsChild>
                <w:div w:id="1631671303">
                  <w:marLeft w:val="0"/>
                  <w:marRight w:val="0"/>
                  <w:marTop w:val="0"/>
                  <w:marBottom w:val="0"/>
                  <w:divBdr>
                    <w:top w:val="none" w:sz="0" w:space="0" w:color="auto"/>
                    <w:left w:val="none" w:sz="0" w:space="0" w:color="auto"/>
                    <w:bottom w:val="none" w:sz="0" w:space="0" w:color="auto"/>
                    <w:right w:val="none" w:sz="0" w:space="0" w:color="auto"/>
                  </w:divBdr>
                  <w:divsChild>
                    <w:div w:id="1096563145">
                      <w:marLeft w:val="0"/>
                      <w:marRight w:val="0"/>
                      <w:marTop w:val="0"/>
                      <w:marBottom w:val="0"/>
                      <w:divBdr>
                        <w:top w:val="none" w:sz="0" w:space="0" w:color="auto"/>
                        <w:left w:val="none" w:sz="0" w:space="0" w:color="auto"/>
                        <w:bottom w:val="none" w:sz="0" w:space="0" w:color="auto"/>
                        <w:right w:val="none" w:sz="0" w:space="0" w:color="auto"/>
                      </w:divBdr>
                      <w:divsChild>
                        <w:div w:id="370308272">
                          <w:marLeft w:val="0"/>
                          <w:marRight w:val="0"/>
                          <w:marTop w:val="0"/>
                          <w:marBottom w:val="0"/>
                          <w:divBdr>
                            <w:top w:val="none" w:sz="0" w:space="0" w:color="auto"/>
                            <w:left w:val="none" w:sz="0" w:space="0" w:color="auto"/>
                            <w:bottom w:val="none" w:sz="0" w:space="0" w:color="auto"/>
                            <w:right w:val="none" w:sz="0" w:space="0" w:color="auto"/>
                          </w:divBdr>
                          <w:divsChild>
                            <w:div w:id="1072972211">
                              <w:marLeft w:val="0"/>
                              <w:marRight w:val="0"/>
                              <w:marTop w:val="0"/>
                              <w:marBottom w:val="0"/>
                              <w:divBdr>
                                <w:top w:val="none" w:sz="0" w:space="0" w:color="auto"/>
                                <w:left w:val="none" w:sz="0" w:space="0" w:color="auto"/>
                                <w:bottom w:val="none" w:sz="0" w:space="0" w:color="auto"/>
                                <w:right w:val="none" w:sz="0" w:space="0" w:color="auto"/>
                              </w:divBdr>
                            </w:div>
                          </w:divsChild>
                        </w:div>
                        <w:div w:id="80176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920565">
              <w:marLeft w:val="0"/>
              <w:marRight w:val="0"/>
              <w:marTop w:val="0"/>
              <w:marBottom w:val="0"/>
              <w:divBdr>
                <w:top w:val="none" w:sz="0" w:space="0" w:color="auto"/>
                <w:left w:val="none" w:sz="0" w:space="0" w:color="auto"/>
                <w:bottom w:val="none" w:sz="0" w:space="0" w:color="auto"/>
                <w:right w:val="none" w:sz="0" w:space="0" w:color="auto"/>
              </w:divBdr>
              <w:divsChild>
                <w:div w:id="2113743401">
                  <w:marLeft w:val="0"/>
                  <w:marRight w:val="0"/>
                  <w:marTop w:val="0"/>
                  <w:marBottom w:val="0"/>
                  <w:divBdr>
                    <w:top w:val="none" w:sz="0" w:space="0" w:color="auto"/>
                    <w:left w:val="none" w:sz="0" w:space="0" w:color="auto"/>
                    <w:bottom w:val="none" w:sz="0" w:space="0" w:color="auto"/>
                    <w:right w:val="none" w:sz="0" w:space="0" w:color="auto"/>
                  </w:divBdr>
                  <w:divsChild>
                    <w:div w:id="2141074359">
                      <w:marLeft w:val="0"/>
                      <w:marRight w:val="0"/>
                      <w:marTop w:val="0"/>
                      <w:marBottom w:val="0"/>
                      <w:divBdr>
                        <w:top w:val="none" w:sz="0" w:space="0" w:color="auto"/>
                        <w:left w:val="none" w:sz="0" w:space="0" w:color="auto"/>
                        <w:bottom w:val="none" w:sz="0" w:space="0" w:color="auto"/>
                        <w:right w:val="none" w:sz="0" w:space="0" w:color="auto"/>
                      </w:divBdr>
                      <w:divsChild>
                        <w:div w:id="1722170736">
                          <w:marLeft w:val="0"/>
                          <w:marRight w:val="0"/>
                          <w:marTop w:val="0"/>
                          <w:marBottom w:val="0"/>
                          <w:divBdr>
                            <w:top w:val="none" w:sz="0" w:space="0" w:color="auto"/>
                            <w:left w:val="none" w:sz="0" w:space="0" w:color="auto"/>
                            <w:bottom w:val="none" w:sz="0" w:space="0" w:color="auto"/>
                            <w:right w:val="none" w:sz="0" w:space="0" w:color="auto"/>
                          </w:divBdr>
                          <w:divsChild>
                            <w:div w:id="492719295">
                              <w:marLeft w:val="0"/>
                              <w:marRight w:val="0"/>
                              <w:marTop w:val="0"/>
                              <w:marBottom w:val="0"/>
                              <w:divBdr>
                                <w:top w:val="none" w:sz="0" w:space="0" w:color="auto"/>
                                <w:left w:val="none" w:sz="0" w:space="0" w:color="auto"/>
                                <w:bottom w:val="none" w:sz="0" w:space="0" w:color="auto"/>
                                <w:right w:val="none" w:sz="0" w:space="0" w:color="auto"/>
                              </w:divBdr>
                            </w:div>
                          </w:divsChild>
                        </w:div>
                        <w:div w:id="204847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208066">
                  <w:marLeft w:val="0"/>
                  <w:marRight w:val="0"/>
                  <w:marTop w:val="0"/>
                  <w:marBottom w:val="0"/>
                  <w:divBdr>
                    <w:top w:val="none" w:sz="0" w:space="0" w:color="auto"/>
                    <w:left w:val="none" w:sz="0" w:space="0" w:color="auto"/>
                    <w:bottom w:val="none" w:sz="0" w:space="0" w:color="auto"/>
                    <w:right w:val="none" w:sz="0" w:space="0" w:color="auto"/>
                  </w:divBdr>
                  <w:divsChild>
                    <w:div w:id="981036235">
                      <w:marLeft w:val="0"/>
                      <w:marRight w:val="0"/>
                      <w:marTop w:val="0"/>
                      <w:marBottom w:val="0"/>
                      <w:divBdr>
                        <w:top w:val="none" w:sz="0" w:space="0" w:color="auto"/>
                        <w:left w:val="none" w:sz="0" w:space="0" w:color="auto"/>
                        <w:bottom w:val="none" w:sz="0" w:space="0" w:color="auto"/>
                        <w:right w:val="none" w:sz="0" w:space="0" w:color="auto"/>
                      </w:divBdr>
                      <w:divsChild>
                        <w:div w:id="1494253385">
                          <w:marLeft w:val="0"/>
                          <w:marRight w:val="0"/>
                          <w:marTop w:val="0"/>
                          <w:marBottom w:val="0"/>
                          <w:divBdr>
                            <w:top w:val="none" w:sz="0" w:space="0" w:color="auto"/>
                            <w:left w:val="none" w:sz="0" w:space="0" w:color="auto"/>
                            <w:bottom w:val="none" w:sz="0" w:space="0" w:color="auto"/>
                            <w:right w:val="none" w:sz="0" w:space="0" w:color="auto"/>
                          </w:divBdr>
                          <w:divsChild>
                            <w:div w:id="1854807441">
                              <w:marLeft w:val="0"/>
                              <w:marRight w:val="0"/>
                              <w:marTop w:val="0"/>
                              <w:marBottom w:val="0"/>
                              <w:divBdr>
                                <w:top w:val="none" w:sz="0" w:space="0" w:color="auto"/>
                                <w:left w:val="none" w:sz="0" w:space="0" w:color="auto"/>
                                <w:bottom w:val="none" w:sz="0" w:space="0" w:color="auto"/>
                                <w:right w:val="none" w:sz="0" w:space="0" w:color="auto"/>
                              </w:divBdr>
                            </w:div>
                          </w:divsChild>
                        </w:div>
                        <w:div w:id="106602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59472">
                  <w:marLeft w:val="0"/>
                  <w:marRight w:val="0"/>
                  <w:marTop w:val="0"/>
                  <w:marBottom w:val="0"/>
                  <w:divBdr>
                    <w:top w:val="none" w:sz="0" w:space="0" w:color="auto"/>
                    <w:left w:val="none" w:sz="0" w:space="0" w:color="auto"/>
                    <w:bottom w:val="none" w:sz="0" w:space="0" w:color="auto"/>
                    <w:right w:val="none" w:sz="0" w:space="0" w:color="auto"/>
                  </w:divBdr>
                  <w:divsChild>
                    <w:div w:id="76445087">
                      <w:marLeft w:val="0"/>
                      <w:marRight w:val="0"/>
                      <w:marTop w:val="0"/>
                      <w:marBottom w:val="0"/>
                      <w:divBdr>
                        <w:top w:val="none" w:sz="0" w:space="0" w:color="auto"/>
                        <w:left w:val="none" w:sz="0" w:space="0" w:color="auto"/>
                        <w:bottom w:val="none" w:sz="0" w:space="0" w:color="auto"/>
                        <w:right w:val="none" w:sz="0" w:space="0" w:color="auto"/>
                      </w:divBdr>
                      <w:divsChild>
                        <w:div w:id="756488613">
                          <w:marLeft w:val="0"/>
                          <w:marRight w:val="0"/>
                          <w:marTop w:val="0"/>
                          <w:marBottom w:val="0"/>
                          <w:divBdr>
                            <w:top w:val="none" w:sz="0" w:space="0" w:color="auto"/>
                            <w:left w:val="none" w:sz="0" w:space="0" w:color="auto"/>
                            <w:bottom w:val="none" w:sz="0" w:space="0" w:color="auto"/>
                            <w:right w:val="none" w:sz="0" w:space="0" w:color="auto"/>
                          </w:divBdr>
                          <w:divsChild>
                            <w:div w:id="1698315182">
                              <w:marLeft w:val="0"/>
                              <w:marRight w:val="0"/>
                              <w:marTop w:val="0"/>
                              <w:marBottom w:val="0"/>
                              <w:divBdr>
                                <w:top w:val="none" w:sz="0" w:space="0" w:color="auto"/>
                                <w:left w:val="none" w:sz="0" w:space="0" w:color="auto"/>
                                <w:bottom w:val="none" w:sz="0" w:space="0" w:color="auto"/>
                                <w:right w:val="none" w:sz="0" w:space="0" w:color="auto"/>
                              </w:divBdr>
                            </w:div>
                          </w:divsChild>
                        </w:div>
                        <w:div w:id="142406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397909">
                  <w:marLeft w:val="0"/>
                  <w:marRight w:val="0"/>
                  <w:marTop w:val="0"/>
                  <w:marBottom w:val="0"/>
                  <w:divBdr>
                    <w:top w:val="none" w:sz="0" w:space="0" w:color="auto"/>
                    <w:left w:val="none" w:sz="0" w:space="0" w:color="auto"/>
                    <w:bottom w:val="none" w:sz="0" w:space="0" w:color="auto"/>
                    <w:right w:val="none" w:sz="0" w:space="0" w:color="auto"/>
                  </w:divBdr>
                  <w:divsChild>
                    <w:div w:id="1143347792">
                      <w:marLeft w:val="0"/>
                      <w:marRight w:val="0"/>
                      <w:marTop w:val="0"/>
                      <w:marBottom w:val="0"/>
                      <w:divBdr>
                        <w:top w:val="none" w:sz="0" w:space="0" w:color="auto"/>
                        <w:left w:val="none" w:sz="0" w:space="0" w:color="auto"/>
                        <w:bottom w:val="none" w:sz="0" w:space="0" w:color="auto"/>
                        <w:right w:val="none" w:sz="0" w:space="0" w:color="auto"/>
                      </w:divBdr>
                      <w:divsChild>
                        <w:div w:id="519977380">
                          <w:marLeft w:val="0"/>
                          <w:marRight w:val="0"/>
                          <w:marTop w:val="0"/>
                          <w:marBottom w:val="0"/>
                          <w:divBdr>
                            <w:top w:val="none" w:sz="0" w:space="0" w:color="auto"/>
                            <w:left w:val="none" w:sz="0" w:space="0" w:color="auto"/>
                            <w:bottom w:val="none" w:sz="0" w:space="0" w:color="auto"/>
                            <w:right w:val="none" w:sz="0" w:space="0" w:color="auto"/>
                          </w:divBdr>
                          <w:divsChild>
                            <w:div w:id="1415737096">
                              <w:marLeft w:val="0"/>
                              <w:marRight w:val="0"/>
                              <w:marTop w:val="0"/>
                              <w:marBottom w:val="0"/>
                              <w:divBdr>
                                <w:top w:val="none" w:sz="0" w:space="0" w:color="auto"/>
                                <w:left w:val="none" w:sz="0" w:space="0" w:color="auto"/>
                                <w:bottom w:val="none" w:sz="0" w:space="0" w:color="auto"/>
                                <w:right w:val="none" w:sz="0" w:space="0" w:color="auto"/>
                              </w:divBdr>
                            </w:div>
                          </w:divsChild>
                        </w:div>
                        <w:div w:id="181621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914150">
          <w:marLeft w:val="0"/>
          <w:marRight w:val="0"/>
          <w:marTop w:val="0"/>
          <w:marBottom w:val="0"/>
          <w:divBdr>
            <w:top w:val="none" w:sz="0" w:space="0" w:color="auto"/>
            <w:left w:val="none" w:sz="0" w:space="0" w:color="auto"/>
            <w:bottom w:val="none" w:sz="0" w:space="0" w:color="auto"/>
            <w:right w:val="none" w:sz="0" w:space="0" w:color="auto"/>
          </w:divBdr>
        </w:div>
        <w:div w:id="1208449460">
          <w:marLeft w:val="0"/>
          <w:marRight w:val="0"/>
          <w:marTop w:val="0"/>
          <w:marBottom w:val="0"/>
          <w:divBdr>
            <w:top w:val="none" w:sz="0" w:space="0" w:color="auto"/>
            <w:left w:val="none" w:sz="0" w:space="0" w:color="auto"/>
            <w:bottom w:val="none" w:sz="0" w:space="0" w:color="auto"/>
            <w:right w:val="none" w:sz="0" w:space="0" w:color="auto"/>
          </w:divBdr>
        </w:div>
        <w:div w:id="744766483">
          <w:marLeft w:val="0"/>
          <w:marRight w:val="0"/>
          <w:marTop w:val="0"/>
          <w:marBottom w:val="0"/>
          <w:divBdr>
            <w:top w:val="none" w:sz="0" w:space="0" w:color="auto"/>
            <w:left w:val="none" w:sz="0" w:space="0" w:color="auto"/>
            <w:bottom w:val="none" w:sz="0" w:space="0" w:color="auto"/>
            <w:right w:val="none" w:sz="0" w:space="0" w:color="auto"/>
          </w:divBdr>
        </w:div>
        <w:div w:id="1404252335">
          <w:marLeft w:val="0"/>
          <w:marRight w:val="0"/>
          <w:marTop w:val="0"/>
          <w:marBottom w:val="0"/>
          <w:divBdr>
            <w:top w:val="none" w:sz="0" w:space="0" w:color="auto"/>
            <w:left w:val="none" w:sz="0" w:space="0" w:color="auto"/>
            <w:bottom w:val="none" w:sz="0" w:space="0" w:color="auto"/>
            <w:right w:val="none" w:sz="0" w:space="0" w:color="auto"/>
          </w:divBdr>
          <w:divsChild>
            <w:div w:id="495609912">
              <w:marLeft w:val="0"/>
              <w:marRight w:val="0"/>
              <w:marTop w:val="0"/>
              <w:marBottom w:val="0"/>
              <w:divBdr>
                <w:top w:val="none" w:sz="0" w:space="0" w:color="auto"/>
                <w:left w:val="none" w:sz="0" w:space="0" w:color="auto"/>
                <w:bottom w:val="none" w:sz="0" w:space="0" w:color="auto"/>
                <w:right w:val="none" w:sz="0" w:space="0" w:color="auto"/>
              </w:divBdr>
              <w:divsChild>
                <w:div w:id="1081373451">
                  <w:marLeft w:val="0"/>
                  <w:marRight w:val="0"/>
                  <w:marTop w:val="0"/>
                  <w:marBottom w:val="0"/>
                  <w:divBdr>
                    <w:top w:val="none" w:sz="0" w:space="0" w:color="auto"/>
                    <w:left w:val="none" w:sz="0" w:space="0" w:color="auto"/>
                    <w:bottom w:val="none" w:sz="0" w:space="0" w:color="auto"/>
                    <w:right w:val="none" w:sz="0" w:space="0" w:color="auto"/>
                  </w:divBdr>
                  <w:divsChild>
                    <w:div w:id="118674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4070801">
      <w:bodyDiv w:val="1"/>
      <w:marLeft w:val="0"/>
      <w:marRight w:val="0"/>
      <w:marTop w:val="0"/>
      <w:marBottom w:val="0"/>
      <w:divBdr>
        <w:top w:val="none" w:sz="0" w:space="0" w:color="auto"/>
        <w:left w:val="none" w:sz="0" w:space="0" w:color="auto"/>
        <w:bottom w:val="none" w:sz="0" w:space="0" w:color="auto"/>
        <w:right w:val="none" w:sz="0" w:space="0" w:color="auto"/>
      </w:divBdr>
      <w:divsChild>
        <w:div w:id="2143384762">
          <w:marLeft w:val="0"/>
          <w:marRight w:val="0"/>
          <w:marTop w:val="0"/>
          <w:marBottom w:val="0"/>
          <w:divBdr>
            <w:top w:val="none" w:sz="0" w:space="0" w:color="auto"/>
            <w:left w:val="none" w:sz="0" w:space="0" w:color="auto"/>
            <w:bottom w:val="none" w:sz="0" w:space="0" w:color="auto"/>
            <w:right w:val="none" w:sz="0" w:space="0" w:color="auto"/>
          </w:divBdr>
        </w:div>
        <w:div w:id="1391344162">
          <w:marLeft w:val="0"/>
          <w:marRight w:val="0"/>
          <w:marTop w:val="0"/>
          <w:marBottom w:val="0"/>
          <w:divBdr>
            <w:top w:val="none" w:sz="0" w:space="0" w:color="auto"/>
            <w:left w:val="none" w:sz="0" w:space="0" w:color="auto"/>
            <w:bottom w:val="none" w:sz="0" w:space="0" w:color="auto"/>
            <w:right w:val="none" w:sz="0" w:space="0" w:color="auto"/>
          </w:divBdr>
          <w:divsChild>
            <w:div w:id="671832072">
              <w:marLeft w:val="0"/>
              <w:marRight w:val="0"/>
              <w:marTop w:val="0"/>
              <w:marBottom w:val="0"/>
              <w:divBdr>
                <w:top w:val="none" w:sz="0" w:space="0" w:color="auto"/>
                <w:left w:val="none" w:sz="0" w:space="0" w:color="auto"/>
                <w:bottom w:val="none" w:sz="0" w:space="0" w:color="auto"/>
                <w:right w:val="none" w:sz="0" w:space="0" w:color="auto"/>
              </w:divBdr>
            </w:div>
          </w:divsChild>
        </w:div>
        <w:div w:id="1596552338">
          <w:marLeft w:val="0"/>
          <w:marRight w:val="0"/>
          <w:marTop w:val="0"/>
          <w:marBottom w:val="0"/>
          <w:divBdr>
            <w:top w:val="none" w:sz="0" w:space="0" w:color="auto"/>
            <w:left w:val="none" w:sz="0" w:space="0" w:color="auto"/>
            <w:bottom w:val="none" w:sz="0" w:space="0" w:color="auto"/>
            <w:right w:val="none" w:sz="0" w:space="0" w:color="auto"/>
          </w:divBdr>
          <w:divsChild>
            <w:div w:id="1955557383">
              <w:marLeft w:val="0"/>
              <w:marRight w:val="0"/>
              <w:marTop w:val="0"/>
              <w:marBottom w:val="0"/>
              <w:divBdr>
                <w:top w:val="none" w:sz="0" w:space="0" w:color="auto"/>
                <w:left w:val="none" w:sz="0" w:space="0" w:color="auto"/>
                <w:bottom w:val="none" w:sz="0" w:space="0" w:color="auto"/>
                <w:right w:val="none" w:sz="0" w:space="0" w:color="auto"/>
              </w:divBdr>
              <w:divsChild>
                <w:div w:id="1996954282">
                  <w:marLeft w:val="0"/>
                  <w:marRight w:val="0"/>
                  <w:marTop w:val="0"/>
                  <w:marBottom w:val="0"/>
                  <w:divBdr>
                    <w:top w:val="none" w:sz="0" w:space="0" w:color="auto"/>
                    <w:left w:val="none" w:sz="0" w:space="0" w:color="auto"/>
                    <w:bottom w:val="none" w:sz="0" w:space="0" w:color="auto"/>
                    <w:right w:val="none" w:sz="0" w:space="0" w:color="auto"/>
                  </w:divBdr>
                  <w:divsChild>
                    <w:div w:id="13508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221969">
          <w:marLeft w:val="0"/>
          <w:marRight w:val="0"/>
          <w:marTop w:val="0"/>
          <w:marBottom w:val="0"/>
          <w:divBdr>
            <w:top w:val="none" w:sz="0" w:space="0" w:color="auto"/>
            <w:left w:val="none" w:sz="0" w:space="0" w:color="auto"/>
            <w:bottom w:val="none" w:sz="0" w:space="0" w:color="auto"/>
            <w:right w:val="none" w:sz="0" w:space="0" w:color="auto"/>
          </w:divBdr>
        </w:div>
        <w:div w:id="1987195703">
          <w:marLeft w:val="0"/>
          <w:marRight w:val="0"/>
          <w:marTop w:val="0"/>
          <w:marBottom w:val="0"/>
          <w:divBdr>
            <w:top w:val="none" w:sz="0" w:space="0" w:color="auto"/>
            <w:left w:val="none" w:sz="0" w:space="0" w:color="auto"/>
            <w:bottom w:val="none" w:sz="0" w:space="0" w:color="auto"/>
            <w:right w:val="none" w:sz="0" w:space="0" w:color="auto"/>
          </w:divBdr>
          <w:divsChild>
            <w:div w:id="1342706185">
              <w:marLeft w:val="0"/>
              <w:marRight w:val="0"/>
              <w:marTop w:val="0"/>
              <w:marBottom w:val="0"/>
              <w:divBdr>
                <w:top w:val="none" w:sz="0" w:space="0" w:color="auto"/>
                <w:left w:val="none" w:sz="0" w:space="0" w:color="auto"/>
                <w:bottom w:val="none" w:sz="0" w:space="0" w:color="auto"/>
                <w:right w:val="none" w:sz="0" w:space="0" w:color="auto"/>
              </w:divBdr>
              <w:divsChild>
                <w:div w:id="148518541">
                  <w:marLeft w:val="0"/>
                  <w:marRight w:val="0"/>
                  <w:marTop w:val="0"/>
                  <w:marBottom w:val="0"/>
                  <w:divBdr>
                    <w:top w:val="none" w:sz="0" w:space="0" w:color="auto"/>
                    <w:left w:val="none" w:sz="0" w:space="0" w:color="auto"/>
                    <w:bottom w:val="none" w:sz="0" w:space="0" w:color="auto"/>
                    <w:right w:val="none" w:sz="0" w:space="0" w:color="auto"/>
                  </w:divBdr>
                  <w:divsChild>
                    <w:div w:id="968701666">
                      <w:marLeft w:val="0"/>
                      <w:marRight w:val="0"/>
                      <w:marTop w:val="0"/>
                      <w:marBottom w:val="0"/>
                      <w:divBdr>
                        <w:top w:val="none" w:sz="0" w:space="0" w:color="auto"/>
                        <w:left w:val="none" w:sz="0" w:space="0" w:color="auto"/>
                        <w:bottom w:val="none" w:sz="0" w:space="0" w:color="auto"/>
                        <w:right w:val="none" w:sz="0" w:space="0" w:color="auto"/>
                      </w:divBdr>
                      <w:divsChild>
                        <w:div w:id="901673776">
                          <w:marLeft w:val="0"/>
                          <w:marRight w:val="0"/>
                          <w:marTop w:val="0"/>
                          <w:marBottom w:val="0"/>
                          <w:divBdr>
                            <w:top w:val="none" w:sz="0" w:space="0" w:color="auto"/>
                            <w:left w:val="none" w:sz="0" w:space="0" w:color="auto"/>
                            <w:bottom w:val="none" w:sz="0" w:space="0" w:color="auto"/>
                            <w:right w:val="none" w:sz="0" w:space="0" w:color="auto"/>
                          </w:divBdr>
                          <w:divsChild>
                            <w:div w:id="280650226">
                              <w:marLeft w:val="0"/>
                              <w:marRight w:val="0"/>
                              <w:marTop w:val="0"/>
                              <w:marBottom w:val="0"/>
                              <w:divBdr>
                                <w:top w:val="none" w:sz="0" w:space="0" w:color="auto"/>
                                <w:left w:val="none" w:sz="0" w:space="0" w:color="auto"/>
                                <w:bottom w:val="none" w:sz="0" w:space="0" w:color="auto"/>
                                <w:right w:val="none" w:sz="0" w:space="0" w:color="auto"/>
                              </w:divBdr>
                            </w:div>
                          </w:divsChild>
                        </w:div>
                        <w:div w:id="51356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350028">
              <w:marLeft w:val="0"/>
              <w:marRight w:val="0"/>
              <w:marTop w:val="0"/>
              <w:marBottom w:val="0"/>
              <w:divBdr>
                <w:top w:val="none" w:sz="0" w:space="0" w:color="auto"/>
                <w:left w:val="none" w:sz="0" w:space="0" w:color="auto"/>
                <w:bottom w:val="none" w:sz="0" w:space="0" w:color="auto"/>
                <w:right w:val="none" w:sz="0" w:space="0" w:color="auto"/>
              </w:divBdr>
            </w:div>
            <w:div w:id="1391420537">
              <w:marLeft w:val="0"/>
              <w:marRight w:val="0"/>
              <w:marTop w:val="0"/>
              <w:marBottom w:val="0"/>
              <w:divBdr>
                <w:top w:val="none" w:sz="0" w:space="0" w:color="auto"/>
                <w:left w:val="none" w:sz="0" w:space="0" w:color="auto"/>
                <w:bottom w:val="none" w:sz="0" w:space="0" w:color="auto"/>
                <w:right w:val="none" w:sz="0" w:space="0" w:color="auto"/>
              </w:divBdr>
            </w:div>
            <w:div w:id="67922000">
              <w:marLeft w:val="0"/>
              <w:marRight w:val="0"/>
              <w:marTop w:val="0"/>
              <w:marBottom w:val="0"/>
              <w:divBdr>
                <w:top w:val="none" w:sz="0" w:space="0" w:color="auto"/>
                <w:left w:val="none" w:sz="0" w:space="0" w:color="auto"/>
                <w:bottom w:val="none" w:sz="0" w:space="0" w:color="auto"/>
                <w:right w:val="none" w:sz="0" w:space="0" w:color="auto"/>
              </w:divBdr>
              <w:divsChild>
                <w:div w:id="790364475">
                  <w:marLeft w:val="0"/>
                  <w:marRight w:val="0"/>
                  <w:marTop w:val="240"/>
                  <w:marBottom w:val="240"/>
                  <w:divBdr>
                    <w:top w:val="none" w:sz="0" w:space="0" w:color="auto"/>
                    <w:left w:val="none" w:sz="0" w:space="0" w:color="auto"/>
                    <w:bottom w:val="none" w:sz="0" w:space="0" w:color="auto"/>
                    <w:right w:val="none" w:sz="0" w:space="0" w:color="auto"/>
                  </w:divBdr>
                </w:div>
                <w:div w:id="8398550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351533">
          <w:marLeft w:val="0"/>
          <w:marRight w:val="0"/>
          <w:marTop w:val="0"/>
          <w:marBottom w:val="0"/>
          <w:divBdr>
            <w:top w:val="none" w:sz="0" w:space="0" w:color="auto"/>
            <w:left w:val="none" w:sz="0" w:space="0" w:color="auto"/>
            <w:bottom w:val="none" w:sz="0" w:space="0" w:color="auto"/>
            <w:right w:val="none" w:sz="0" w:space="0" w:color="auto"/>
          </w:divBdr>
          <w:divsChild>
            <w:div w:id="704797459">
              <w:marLeft w:val="0"/>
              <w:marRight w:val="0"/>
              <w:marTop w:val="0"/>
              <w:marBottom w:val="0"/>
              <w:divBdr>
                <w:top w:val="none" w:sz="0" w:space="0" w:color="auto"/>
                <w:left w:val="none" w:sz="0" w:space="0" w:color="auto"/>
                <w:bottom w:val="none" w:sz="0" w:space="0" w:color="auto"/>
                <w:right w:val="none" w:sz="0" w:space="0" w:color="auto"/>
              </w:divBdr>
              <w:divsChild>
                <w:div w:id="154416436">
                  <w:marLeft w:val="0"/>
                  <w:marRight w:val="0"/>
                  <w:marTop w:val="0"/>
                  <w:marBottom w:val="0"/>
                  <w:divBdr>
                    <w:top w:val="none" w:sz="0" w:space="0" w:color="auto"/>
                    <w:left w:val="none" w:sz="0" w:space="0" w:color="auto"/>
                    <w:bottom w:val="none" w:sz="0" w:space="0" w:color="auto"/>
                    <w:right w:val="none" w:sz="0" w:space="0" w:color="auto"/>
                  </w:divBdr>
                  <w:divsChild>
                    <w:div w:id="1034503733">
                      <w:marLeft w:val="0"/>
                      <w:marRight w:val="0"/>
                      <w:marTop w:val="0"/>
                      <w:marBottom w:val="0"/>
                      <w:divBdr>
                        <w:top w:val="none" w:sz="0" w:space="0" w:color="auto"/>
                        <w:left w:val="none" w:sz="0" w:space="0" w:color="auto"/>
                        <w:bottom w:val="none" w:sz="0" w:space="0" w:color="auto"/>
                        <w:right w:val="none" w:sz="0" w:space="0" w:color="auto"/>
                      </w:divBdr>
                      <w:divsChild>
                        <w:div w:id="1309242449">
                          <w:marLeft w:val="0"/>
                          <w:marRight w:val="0"/>
                          <w:marTop w:val="0"/>
                          <w:marBottom w:val="0"/>
                          <w:divBdr>
                            <w:top w:val="none" w:sz="0" w:space="0" w:color="auto"/>
                            <w:left w:val="none" w:sz="0" w:space="0" w:color="auto"/>
                            <w:bottom w:val="none" w:sz="0" w:space="0" w:color="auto"/>
                            <w:right w:val="none" w:sz="0" w:space="0" w:color="auto"/>
                          </w:divBdr>
                          <w:divsChild>
                            <w:div w:id="1695766693">
                              <w:marLeft w:val="0"/>
                              <w:marRight w:val="0"/>
                              <w:marTop w:val="0"/>
                              <w:marBottom w:val="0"/>
                              <w:divBdr>
                                <w:top w:val="none" w:sz="0" w:space="0" w:color="auto"/>
                                <w:left w:val="none" w:sz="0" w:space="0" w:color="auto"/>
                                <w:bottom w:val="none" w:sz="0" w:space="0" w:color="auto"/>
                                <w:right w:val="none" w:sz="0" w:space="0" w:color="auto"/>
                              </w:divBdr>
                            </w:div>
                          </w:divsChild>
                        </w:div>
                        <w:div w:id="2059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718986">
              <w:marLeft w:val="0"/>
              <w:marRight w:val="0"/>
              <w:marTop w:val="0"/>
              <w:marBottom w:val="0"/>
              <w:divBdr>
                <w:top w:val="none" w:sz="0" w:space="0" w:color="auto"/>
                <w:left w:val="none" w:sz="0" w:space="0" w:color="auto"/>
                <w:bottom w:val="none" w:sz="0" w:space="0" w:color="auto"/>
                <w:right w:val="none" w:sz="0" w:space="0" w:color="auto"/>
              </w:divBdr>
              <w:divsChild>
                <w:div w:id="1677809260">
                  <w:marLeft w:val="0"/>
                  <w:marRight w:val="0"/>
                  <w:marTop w:val="0"/>
                  <w:marBottom w:val="0"/>
                  <w:divBdr>
                    <w:top w:val="none" w:sz="0" w:space="0" w:color="auto"/>
                    <w:left w:val="none" w:sz="0" w:space="0" w:color="auto"/>
                    <w:bottom w:val="none" w:sz="0" w:space="0" w:color="auto"/>
                    <w:right w:val="none" w:sz="0" w:space="0" w:color="auto"/>
                  </w:divBdr>
                  <w:divsChild>
                    <w:div w:id="1538929403">
                      <w:marLeft w:val="0"/>
                      <w:marRight w:val="0"/>
                      <w:marTop w:val="0"/>
                      <w:marBottom w:val="0"/>
                      <w:divBdr>
                        <w:top w:val="none" w:sz="0" w:space="0" w:color="auto"/>
                        <w:left w:val="none" w:sz="0" w:space="0" w:color="auto"/>
                        <w:bottom w:val="none" w:sz="0" w:space="0" w:color="auto"/>
                        <w:right w:val="none" w:sz="0" w:space="0" w:color="auto"/>
                      </w:divBdr>
                      <w:divsChild>
                        <w:div w:id="1960144545">
                          <w:marLeft w:val="0"/>
                          <w:marRight w:val="0"/>
                          <w:marTop w:val="0"/>
                          <w:marBottom w:val="0"/>
                          <w:divBdr>
                            <w:top w:val="none" w:sz="0" w:space="0" w:color="auto"/>
                            <w:left w:val="none" w:sz="0" w:space="0" w:color="auto"/>
                            <w:bottom w:val="none" w:sz="0" w:space="0" w:color="auto"/>
                            <w:right w:val="none" w:sz="0" w:space="0" w:color="auto"/>
                          </w:divBdr>
                          <w:divsChild>
                            <w:div w:id="122693421">
                              <w:marLeft w:val="0"/>
                              <w:marRight w:val="0"/>
                              <w:marTop w:val="0"/>
                              <w:marBottom w:val="0"/>
                              <w:divBdr>
                                <w:top w:val="none" w:sz="0" w:space="0" w:color="auto"/>
                                <w:left w:val="none" w:sz="0" w:space="0" w:color="auto"/>
                                <w:bottom w:val="none" w:sz="0" w:space="0" w:color="auto"/>
                                <w:right w:val="none" w:sz="0" w:space="0" w:color="auto"/>
                              </w:divBdr>
                            </w:div>
                          </w:divsChild>
                        </w:div>
                        <w:div w:id="132069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16624">
                  <w:marLeft w:val="0"/>
                  <w:marRight w:val="0"/>
                  <w:marTop w:val="0"/>
                  <w:marBottom w:val="0"/>
                  <w:divBdr>
                    <w:top w:val="none" w:sz="0" w:space="0" w:color="auto"/>
                    <w:left w:val="none" w:sz="0" w:space="0" w:color="auto"/>
                    <w:bottom w:val="none" w:sz="0" w:space="0" w:color="auto"/>
                    <w:right w:val="none" w:sz="0" w:space="0" w:color="auto"/>
                  </w:divBdr>
                  <w:divsChild>
                    <w:div w:id="86462150">
                      <w:marLeft w:val="0"/>
                      <w:marRight w:val="0"/>
                      <w:marTop w:val="0"/>
                      <w:marBottom w:val="0"/>
                      <w:divBdr>
                        <w:top w:val="none" w:sz="0" w:space="0" w:color="auto"/>
                        <w:left w:val="none" w:sz="0" w:space="0" w:color="auto"/>
                        <w:bottom w:val="none" w:sz="0" w:space="0" w:color="auto"/>
                        <w:right w:val="none" w:sz="0" w:space="0" w:color="auto"/>
                      </w:divBdr>
                      <w:divsChild>
                        <w:div w:id="2030182359">
                          <w:marLeft w:val="0"/>
                          <w:marRight w:val="0"/>
                          <w:marTop w:val="0"/>
                          <w:marBottom w:val="0"/>
                          <w:divBdr>
                            <w:top w:val="none" w:sz="0" w:space="0" w:color="auto"/>
                            <w:left w:val="none" w:sz="0" w:space="0" w:color="auto"/>
                            <w:bottom w:val="none" w:sz="0" w:space="0" w:color="auto"/>
                            <w:right w:val="none" w:sz="0" w:space="0" w:color="auto"/>
                          </w:divBdr>
                          <w:divsChild>
                            <w:div w:id="420372463">
                              <w:marLeft w:val="0"/>
                              <w:marRight w:val="0"/>
                              <w:marTop w:val="0"/>
                              <w:marBottom w:val="0"/>
                              <w:divBdr>
                                <w:top w:val="none" w:sz="0" w:space="0" w:color="auto"/>
                                <w:left w:val="none" w:sz="0" w:space="0" w:color="auto"/>
                                <w:bottom w:val="none" w:sz="0" w:space="0" w:color="auto"/>
                                <w:right w:val="none" w:sz="0" w:space="0" w:color="auto"/>
                              </w:divBdr>
                            </w:div>
                          </w:divsChild>
                        </w:div>
                        <w:div w:id="4275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333826">
                  <w:marLeft w:val="0"/>
                  <w:marRight w:val="0"/>
                  <w:marTop w:val="0"/>
                  <w:marBottom w:val="0"/>
                  <w:divBdr>
                    <w:top w:val="none" w:sz="0" w:space="0" w:color="auto"/>
                    <w:left w:val="none" w:sz="0" w:space="0" w:color="auto"/>
                    <w:bottom w:val="none" w:sz="0" w:space="0" w:color="auto"/>
                    <w:right w:val="none" w:sz="0" w:space="0" w:color="auto"/>
                  </w:divBdr>
                  <w:divsChild>
                    <w:div w:id="1636526520">
                      <w:marLeft w:val="0"/>
                      <w:marRight w:val="0"/>
                      <w:marTop w:val="0"/>
                      <w:marBottom w:val="0"/>
                      <w:divBdr>
                        <w:top w:val="none" w:sz="0" w:space="0" w:color="auto"/>
                        <w:left w:val="none" w:sz="0" w:space="0" w:color="auto"/>
                        <w:bottom w:val="none" w:sz="0" w:space="0" w:color="auto"/>
                        <w:right w:val="none" w:sz="0" w:space="0" w:color="auto"/>
                      </w:divBdr>
                      <w:divsChild>
                        <w:div w:id="1205866399">
                          <w:marLeft w:val="0"/>
                          <w:marRight w:val="0"/>
                          <w:marTop w:val="0"/>
                          <w:marBottom w:val="0"/>
                          <w:divBdr>
                            <w:top w:val="none" w:sz="0" w:space="0" w:color="auto"/>
                            <w:left w:val="none" w:sz="0" w:space="0" w:color="auto"/>
                            <w:bottom w:val="none" w:sz="0" w:space="0" w:color="auto"/>
                            <w:right w:val="none" w:sz="0" w:space="0" w:color="auto"/>
                          </w:divBdr>
                          <w:divsChild>
                            <w:div w:id="1951472901">
                              <w:marLeft w:val="0"/>
                              <w:marRight w:val="0"/>
                              <w:marTop w:val="0"/>
                              <w:marBottom w:val="0"/>
                              <w:divBdr>
                                <w:top w:val="none" w:sz="0" w:space="0" w:color="auto"/>
                                <w:left w:val="none" w:sz="0" w:space="0" w:color="auto"/>
                                <w:bottom w:val="none" w:sz="0" w:space="0" w:color="auto"/>
                                <w:right w:val="none" w:sz="0" w:space="0" w:color="auto"/>
                              </w:divBdr>
                            </w:div>
                          </w:divsChild>
                        </w:div>
                        <w:div w:id="148439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13043">
                  <w:marLeft w:val="0"/>
                  <w:marRight w:val="0"/>
                  <w:marTop w:val="0"/>
                  <w:marBottom w:val="0"/>
                  <w:divBdr>
                    <w:top w:val="none" w:sz="0" w:space="0" w:color="auto"/>
                    <w:left w:val="none" w:sz="0" w:space="0" w:color="auto"/>
                    <w:bottom w:val="none" w:sz="0" w:space="0" w:color="auto"/>
                    <w:right w:val="none" w:sz="0" w:space="0" w:color="auto"/>
                  </w:divBdr>
                  <w:divsChild>
                    <w:div w:id="851643870">
                      <w:marLeft w:val="0"/>
                      <w:marRight w:val="0"/>
                      <w:marTop w:val="0"/>
                      <w:marBottom w:val="0"/>
                      <w:divBdr>
                        <w:top w:val="none" w:sz="0" w:space="0" w:color="auto"/>
                        <w:left w:val="none" w:sz="0" w:space="0" w:color="auto"/>
                        <w:bottom w:val="none" w:sz="0" w:space="0" w:color="auto"/>
                        <w:right w:val="none" w:sz="0" w:space="0" w:color="auto"/>
                      </w:divBdr>
                      <w:divsChild>
                        <w:div w:id="1585258860">
                          <w:marLeft w:val="0"/>
                          <w:marRight w:val="0"/>
                          <w:marTop w:val="0"/>
                          <w:marBottom w:val="0"/>
                          <w:divBdr>
                            <w:top w:val="none" w:sz="0" w:space="0" w:color="auto"/>
                            <w:left w:val="none" w:sz="0" w:space="0" w:color="auto"/>
                            <w:bottom w:val="none" w:sz="0" w:space="0" w:color="auto"/>
                            <w:right w:val="none" w:sz="0" w:space="0" w:color="auto"/>
                          </w:divBdr>
                          <w:divsChild>
                            <w:div w:id="464782255">
                              <w:marLeft w:val="0"/>
                              <w:marRight w:val="0"/>
                              <w:marTop w:val="0"/>
                              <w:marBottom w:val="0"/>
                              <w:divBdr>
                                <w:top w:val="none" w:sz="0" w:space="0" w:color="auto"/>
                                <w:left w:val="none" w:sz="0" w:space="0" w:color="auto"/>
                                <w:bottom w:val="none" w:sz="0" w:space="0" w:color="auto"/>
                                <w:right w:val="none" w:sz="0" w:space="0" w:color="auto"/>
                              </w:divBdr>
                            </w:div>
                          </w:divsChild>
                        </w:div>
                        <w:div w:id="101719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507397">
          <w:marLeft w:val="0"/>
          <w:marRight w:val="0"/>
          <w:marTop w:val="0"/>
          <w:marBottom w:val="0"/>
          <w:divBdr>
            <w:top w:val="none" w:sz="0" w:space="0" w:color="auto"/>
            <w:left w:val="none" w:sz="0" w:space="0" w:color="auto"/>
            <w:bottom w:val="none" w:sz="0" w:space="0" w:color="auto"/>
            <w:right w:val="none" w:sz="0" w:space="0" w:color="auto"/>
          </w:divBdr>
        </w:div>
        <w:div w:id="140852506">
          <w:marLeft w:val="0"/>
          <w:marRight w:val="0"/>
          <w:marTop w:val="0"/>
          <w:marBottom w:val="0"/>
          <w:divBdr>
            <w:top w:val="none" w:sz="0" w:space="0" w:color="auto"/>
            <w:left w:val="none" w:sz="0" w:space="0" w:color="auto"/>
            <w:bottom w:val="none" w:sz="0" w:space="0" w:color="auto"/>
            <w:right w:val="none" w:sz="0" w:space="0" w:color="auto"/>
          </w:divBdr>
        </w:div>
        <w:div w:id="395401890">
          <w:marLeft w:val="0"/>
          <w:marRight w:val="0"/>
          <w:marTop w:val="0"/>
          <w:marBottom w:val="0"/>
          <w:divBdr>
            <w:top w:val="none" w:sz="0" w:space="0" w:color="auto"/>
            <w:left w:val="none" w:sz="0" w:space="0" w:color="auto"/>
            <w:bottom w:val="none" w:sz="0" w:space="0" w:color="auto"/>
            <w:right w:val="none" w:sz="0" w:space="0" w:color="auto"/>
          </w:divBdr>
        </w:div>
        <w:div w:id="216360248">
          <w:marLeft w:val="0"/>
          <w:marRight w:val="0"/>
          <w:marTop w:val="0"/>
          <w:marBottom w:val="0"/>
          <w:divBdr>
            <w:top w:val="none" w:sz="0" w:space="0" w:color="auto"/>
            <w:left w:val="none" w:sz="0" w:space="0" w:color="auto"/>
            <w:bottom w:val="none" w:sz="0" w:space="0" w:color="auto"/>
            <w:right w:val="none" w:sz="0" w:space="0" w:color="auto"/>
          </w:divBdr>
          <w:divsChild>
            <w:div w:id="1011494181">
              <w:marLeft w:val="0"/>
              <w:marRight w:val="0"/>
              <w:marTop w:val="0"/>
              <w:marBottom w:val="0"/>
              <w:divBdr>
                <w:top w:val="none" w:sz="0" w:space="0" w:color="auto"/>
                <w:left w:val="none" w:sz="0" w:space="0" w:color="auto"/>
                <w:bottom w:val="none" w:sz="0" w:space="0" w:color="auto"/>
                <w:right w:val="none" w:sz="0" w:space="0" w:color="auto"/>
              </w:divBdr>
              <w:divsChild>
                <w:div w:id="1235969102">
                  <w:marLeft w:val="0"/>
                  <w:marRight w:val="0"/>
                  <w:marTop w:val="0"/>
                  <w:marBottom w:val="0"/>
                  <w:divBdr>
                    <w:top w:val="none" w:sz="0" w:space="0" w:color="auto"/>
                    <w:left w:val="none" w:sz="0" w:space="0" w:color="auto"/>
                    <w:bottom w:val="none" w:sz="0" w:space="0" w:color="auto"/>
                    <w:right w:val="none" w:sz="0" w:space="0" w:color="auto"/>
                  </w:divBdr>
                  <w:divsChild>
                    <w:div w:id="52436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2656736.2018.1488278"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andfonline.com/doi/full/10.1080/02656736.2018.1488278" TargetMode="External"/><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4486</Words>
  <Characters>25573</Characters>
  <Application>Microsoft Office Word</Application>
  <DocSecurity>8</DocSecurity>
  <Lines>213</Lines>
  <Paragraphs>59</Paragraphs>
  <ScaleCrop>false</ScaleCrop>
  <Company/>
  <LinksUpToDate>false</LinksUpToDate>
  <CharactersWithSpaces>30000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38</cp:revision>
  <dcterms:created xsi:type="dcterms:W3CDTF">2022-03-25T18:17:00Z</dcterms:created>
  <dcterms:modified xsi:type="dcterms:W3CDTF">2022-04-05T16:56:00Z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