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48CD0B" w:rsidR="000A7622" w:rsidRPr="00C04F25" w:rsidRDefault="00B46B6E"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E515FD8" w:rsidR="000A7622" w:rsidRDefault="00E95370" w:rsidP="00D14423">
      <w:pPr>
        <w:rPr>
          <w:rFonts w:cstheme="minorHAnsi"/>
          <w:sz w:val="24"/>
          <w:szCs w:val="24"/>
        </w:rPr>
      </w:pPr>
      <w:r>
        <w:rPr>
          <w:rFonts w:cstheme="minorHAnsi"/>
          <w:i/>
          <w:sz w:val="24"/>
          <w:szCs w:val="24"/>
          <w:lang w:val="fr-FR"/>
        </w:rPr>
        <w:t>Experimental Brain Research</w:t>
      </w:r>
      <w:r w:rsidR="000A7622" w:rsidRPr="00C04F25">
        <w:rPr>
          <w:rFonts w:cstheme="minorHAnsi"/>
          <w:sz w:val="24"/>
          <w:szCs w:val="24"/>
          <w:lang w:val="fr-FR"/>
        </w:rPr>
        <w:t xml:space="preserve">, Vol. </w:t>
      </w:r>
      <w:r w:rsidR="00CD34D6">
        <w:rPr>
          <w:rFonts w:cstheme="minorHAnsi"/>
          <w:sz w:val="24"/>
          <w:szCs w:val="24"/>
          <w:lang w:val="fr-FR"/>
        </w:rPr>
        <w:t>239, No. 8</w:t>
      </w:r>
      <w:r w:rsidR="000A7622" w:rsidRPr="00C04F25">
        <w:rPr>
          <w:rFonts w:cstheme="minorHAnsi"/>
          <w:sz w:val="24"/>
          <w:szCs w:val="24"/>
          <w:lang w:val="fr-FR"/>
        </w:rPr>
        <w:t xml:space="preserve"> (</w:t>
      </w:r>
      <w:r w:rsidR="00CD34D6">
        <w:rPr>
          <w:rFonts w:cstheme="minorHAnsi"/>
          <w:sz w:val="24"/>
          <w:szCs w:val="24"/>
          <w:lang w:val="fr-FR"/>
        </w:rPr>
        <w:t>August 2021</w:t>
      </w:r>
      <w:r w:rsidR="000A7622" w:rsidRPr="00C04F25">
        <w:rPr>
          <w:rFonts w:cstheme="minorHAnsi"/>
          <w:sz w:val="24"/>
          <w:szCs w:val="24"/>
          <w:lang w:val="fr-FR"/>
        </w:rPr>
        <w:t xml:space="preserve">): </w:t>
      </w:r>
      <w:r w:rsidR="00B527F4">
        <w:rPr>
          <w:rFonts w:cstheme="minorHAnsi"/>
          <w:sz w:val="24"/>
          <w:szCs w:val="24"/>
          <w:lang w:val="fr-FR"/>
        </w:rPr>
        <w:t>2445-2459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w:t>
      </w:r>
      <w:r w:rsidR="0084097E" w:rsidRPr="0084097E">
        <w:rPr>
          <w:rFonts w:cstheme="minorHAnsi"/>
          <w:sz w:val="24"/>
          <w:szCs w:val="24"/>
        </w:rPr>
        <w:t>©</w:t>
      </w:r>
      <w:r w:rsidR="00515B57">
        <w:rPr>
          <w:rFonts w:cstheme="minorHAnsi"/>
          <w:sz w:val="24"/>
          <w:szCs w:val="24"/>
        </w:rPr>
        <w:t xml:space="preserve"> 2021</w:t>
      </w:r>
      <w:r w:rsidR="00FC6FCF">
        <w:rPr>
          <w:rFonts w:cstheme="minorHAnsi"/>
          <w:sz w:val="24"/>
          <w:szCs w:val="24"/>
        </w:rPr>
        <w:t xml:space="preserve"> is</w:t>
      </w:r>
      <w:r w:rsidR="0084097E" w:rsidRPr="0084097E">
        <w:rPr>
          <w:rFonts w:cstheme="minorHAnsi"/>
          <w:sz w:val="24"/>
          <w:szCs w:val="24"/>
        </w:rPr>
        <w:t xml:space="preserve"> a U.S. government work and not under copyright protection in the U.S.; foreign copyright protection may apply 2021</w:t>
      </w:r>
      <w:r w:rsidR="0084097E">
        <w:rPr>
          <w:rFonts w:cstheme="minorHAnsi"/>
          <w:sz w:val="24"/>
          <w:szCs w:val="24"/>
        </w:rPr>
        <w:t>.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36D66B89" w14:textId="0BEE13F4" w:rsidR="000976FB" w:rsidRDefault="000976FB" w:rsidP="000976FB"/>
    <w:p w14:paraId="47802712" w14:textId="39134418" w:rsidR="00C50ECE" w:rsidRDefault="00C50ECE" w:rsidP="00C50ECE">
      <w:pPr>
        <w:pStyle w:val="Title"/>
      </w:pPr>
      <w:r>
        <w:t>Contributions of Implicit and Explicit Memories to Sensorimotor Adaptation of Movement Extent During Goal-Directed Reaching</w:t>
      </w:r>
    </w:p>
    <w:p w14:paraId="450346F9" w14:textId="56058732" w:rsidR="2A57D957" w:rsidRDefault="2A57D957"/>
    <w:p w14:paraId="34CCD47A" w14:textId="313BD314" w:rsidR="2A57D957" w:rsidRDefault="2A57D957" w:rsidP="2A57D957">
      <w:pPr>
        <w:pStyle w:val="NoSpacing"/>
        <w:rPr>
          <w:sz w:val="28"/>
          <w:szCs w:val="28"/>
        </w:rPr>
      </w:pPr>
      <w:r w:rsidRPr="2A57D957">
        <w:rPr>
          <w:sz w:val="28"/>
          <w:szCs w:val="28"/>
        </w:rPr>
        <w:t>Devon D. Lantagne</w:t>
      </w:r>
    </w:p>
    <w:p w14:paraId="2C8CCE05" w14:textId="5B3A6941" w:rsidR="2A57D957" w:rsidRDefault="2A57D957" w:rsidP="2A57D957">
      <w:pPr>
        <w:pStyle w:val="NoSpacing"/>
      </w:pPr>
      <w:r w:rsidRPr="2A57D957">
        <w:t>Biomedical Engineering, Marquette University and Medical College of Wisconsin, Milwaukee, WI, 53233, USA</w:t>
      </w:r>
    </w:p>
    <w:p w14:paraId="501709C5" w14:textId="5557D34F" w:rsidR="2A57D957" w:rsidRDefault="2A57D957" w:rsidP="2A57D957">
      <w:pPr>
        <w:pStyle w:val="NoSpacing"/>
        <w:rPr>
          <w:sz w:val="28"/>
          <w:szCs w:val="28"/>
        </w:rPr>
      </w:pPr>
      <w:r w:rsidRPr="2A57D957">
        <w:rPr>
          <w:sz w:val="28"/>
          <w:szCs w:val="28"/>
        </w:rPr>
        <w:t>Leigh Ann Mrotek</w:t>
      </w:r>
    </w:p>
    <w:p w14:paraId="74A2149A" w14:textId="22483CD8" w:rsidR="2A57D957" w:rsidRDefault="2A57D957" w:rsidP="2A57D957">
      <w:pPr>
        <w:pStyle w:val="NoSpacing"/>
      </w:pPr>
      <w:r w:rsidRPr="2A57D957">
        <w:t>Biomedical Engineering, Marquette University and Medical College of Wisconsin, Milwaukee, WI, 53233, USA</w:t>
      </w:r>
    </w:p>
    <w:p w14:paraId="26F80BC4" w14:textId="0E5EC9CF" w:rsidR="2A57D957" w:rsidRDefault="2A57D957" w:rsidP="2A57D957">
      <w:pPr>
        <w:pStyle w:val="NoSpacing"/>
        <w:rPr>
          <w:sz w:val="28"/>
          <w:szCs w:val="28"/>
        </w:rPr>
      </w:pPr>
      <w:r w:rsidRPr="2A57D957">
        <w:rPr>
          <w:sz w:val="28"/>
          <w:szCs w:val="28"/>
        </w:rPr>
        <w:t>Rebecca Slick</w:t>
      </w:r>
    </w:p>
    <w:p w14:paraId="60CF8335" w14:textId="2D1C90FC" w:rsidR="2A57D957" w:rsidRDefault="2A57D957" w:rsidP="2A57D957">
      <w:pPr>
        <w:pStyle w:val="NoSpacing"/>
      </w:pPr>
      <w:r w:rsidRPr="2A57D957">
        <w:t>Biomedical Engineering, Marquette University and Medical College of Wisconsin, Milwaukee, WI, 53233, USA</w:t>
      </w:r>
    </w:p>
    <w:p w14:paraId="76E4D912" w14:textId="715AC121" w:rsidR="00C50ECE" w:rsidRDefault="00C50ECE" w:rsidP="2A57D957">
      <w:pPr>
        <w:pStyle w:val="NoSpacing"/>
        <w:rPr>
          <w:sz w:val="28"/>
          <w:szCs w:val="28"/>
        </w:rPr>
      </w:pPr>
      <w:r w:rsidRPr="2A57D957">
        <w:rPr>
          <w:sz w:val="28"/>
          <w:szCs w:val="28"/>
        </w:rPr>
        <w:t>Scott A. Beardsley</w:t>
      </w:r>
    </w:p>
    <w:p w14:paraId="4AE989FC" w14:textId="50969BC5" w:rsidR="00C50ECE" w:rsidRDefault="2A57D957" w:rsidP="2A57D957">
      <w:pPr>
        <w:pStyle w:val="NoSpacing"/>
      </w:pPr>
      <w:r w:rsidRPr="2A57D957">
        <w:t>Biomedical Engineering, Marquette University and Medical College of Wisconsin, Milwaukee, WI, 53233, USA</w:t>
      </w:r>
    </w:p>
    <w:p w14:paraId="73B2CF18" w14:textId="668E2DC3" w:rsidR="00C50ECE" w:rsidRDefault="2A57D957" w:rsidP="2A57D957">
      <w:pPr>
        <w:pStyle w:val="NoSpacing"/>
      </w:pPr>
      <w:r w:rsidRPr="2A57D957">
        <w:t>Clinical Translational Science Institute, Medical College of Wisconsin, Milwaukee, WI, 53226, USA</w:t>
      </w:r>
    </w:p>
    <w:p w14:paraId="2A046A64" w14:textId="33103110" w:rsidR="00C50ECE" w:rsidRDefault="00C50ECE" w:rsidP="2A57D957">
      <w:pPr>
        <w:pStyle w:val="NoSpacing"/>
        <w:rPr>
          <w:sz w:val="28"/>
          <w:szCs w:val="28"/>
        </w:rPr>
      </w:pPr>
      <w:r w:rsidRPr="2A57D957">
        <w:rPr>
          <w:sz w:val="28"/>
          <w:szCs w:val="28"/>
        </w:rPr>
        <w:t>Danny G. Thomas</w:t>
      </w:r>
    </w:p>
    <w:p w14:paraId="74F7F228" w14:textId="363FA14C" w:rsidR="00C50ECE" w:rsidRDefault="2A57D957" w:rsidP="2A57D957">
      <w:pPr>
        <w:pStyle w:val="NoSpacing"/>
      </w:pPr>
      <w:r w:rsidRPr="2A57D957">
        <w:t>Pediatrics, Medical College of Wisconsin, Milwaukee, WI, 53226, USA</w:t>
      </w:r>
    </w:p>
    <w:p w14:paraId="3328224A" w14:textId="78EE0A4F" w:rsidR="00C50ECE" w:rsidRDefault="00C50ECE" w:rsidP="2A57D957">
      <w:pPr>
        <w:pStyle w:val="NoSpacing"/>
        <w:rPr>
          <w:sz w:val="28"/>
          <w:szCs w:val="28"/>
        </w:rPr>
      </w:pPr>
      <w:r w:rsidRPr="2A57D957">
        <w:rPr>
          <w:sz w:val="28"/>
          <w:szCs w:val="28"/>
        </w:rPr>
        <w:t xml:space="preserve">Robert A. Scheidt  </w:t>
      </w:r>
    </w:p>
    <w:p w14:paraId="69B6B371" w14:textId="7B6460A8" w:rsidR="00C50ECE" w:rsidRDefault="2A57D957" w:rsidP="2A57D957">
      <w:pPr>
        <w:pStyle w:val="NoSpacing"/>
      </w:pPr>
      <w:r w:rsidRPr="2A57D957">
        <w:t>Biomedical Engineering, Marquette University and Medical College of Wisconsin, Milwaukee, WI, 53233, USA</w:t>
      </w:r>
    </w:p>
    <w:p w14:paraId="42C56356" w14:textId="26474FF4" w:rsidR="00C50ECE" w:rsidRDefault="2A57D957" w:rsidP="2A57D957">
      <w:pPr>
        <w:pStyle w:val="NoSpacing"/>
      </w:pPr>
      <w:r w:rsidRPr="2A57D957">
        <w:t>Physical Medicine and Rehabilitation, Feinberg School of Medicine, Northwestern University, Chicago, IL, 60611, USA</w:t>
      </w:r>
    </w:p>
    <w:p w14:paraId="2576A962" w14:textId="6D2189A6" w:rsidR="00C50ECE" w:rsidRDefault="2A57D957" w:rsidP="2A57D957">
      <w:pPr>
        <w:pStyle w:val="NoSpacing"/>
      </w:pPr>
      <w:r w:rsidRPr="2A57D957">
        <w:lastRenderedPageBreak/>
        <w:t>Division of Civil, Mechanical and Manufacturing Innovation, National Science Foundation, Alexandria, VA, 22314, USA</w:t>
      </w:r>
    </w:p>
    <w:p w14:paraId="615DF734" w14:textId="1FABB4E9" w:rsidR="00C50ECE" w:rsidRDefault="00C50ECE" w:rsidP="2A57D957"/>
    <w:p w14:paraId="18B72626" w14:textId="77777777" w:rsidR="00C50ECE" w:rsidRPr="00C50ECE" w:rsidRDefault="00C50ECE" w:rsidP="2A57D957">
      <w:pPr>
        <w:pStyle w:val="Heading1"/>
        <w:rPr>
          <w:rFonts w:ascii="Calibri" w:eastAsia="Meiryo" w:hAnsi="Calibri" w:cs="Arial"/>
        </w:rPr>
      </w:pPr>
      <w:r>
        <w:t>Abstract</w:t>
      </w:r>
    </w:p>
    <w:p w14:paraId="453F4869" w14:textId="77777777" w:rsidR="00C50ECE" w:rsidRDefault="00C50ECE" w:rsidP="00C50ECE">
      <w:r w:rsidRPr="00C50ECE">
        <w:t>We examined how implicit and explicit memories contribute to sensorimotor adaptation of movement extent during goal-directed reaching. Twenty subjects grasped the handle of a horizontal planar robot that rendered spring-like resistance to movement. Subjects made rapid “out-and-back” reaches to capture a remembered visual target at the point of maximal reach extent. The robot’s resistance changed unpredictably between reaches, inducing target capture errors that subjects attempted to correct from one trial to the next. Each subject performed over 400 goal-directed reaching trials. Some trials were performed without concurrent visual cursor feedback of hand motion. Some trials required self-assessment of performance between trials, whereby subjects reported peak reach extent on the most recent trial. This was done by either moving a cursor on a horizontal display (visual self-assessment), or by moving the robot’s handle back to the recalled location (proprioceptive self-assessment). Control condition trials performed either without or with concurrent visual cursor feedback of hand motion did not require self-assessments. We used step-wise linear regression analyses to quantify the extent to which prior reach errors and explicit memories of reach extent contribute to subsequent reach performance. Consistent with prior reports, providing concurrent visual feedback of hand motion increased reach accuracy and reduced the impact of past performance errors on future performance, relative to the corresponding no-vision control condition. By contrast, we found no impact of interposed self-assessment on subsequent reach performance or on how prior target capture errors influence subsequent reach performance. Self-assessments were biased toward the remembered target location and they spanned a compressed range of values relative to actual reach extents, demonstrating that declarative memories of reach performance systematically differed from actual performances. We found that multilinear regression could best account for observed data variability when the regression model included only implicit memories of prior reach performance; including explicit memories (self-assessments) in the model did not improve its predictive accuracy. We conclude therefore that explicit memories of prior reach performance do not contribute to implicit sensorimotor adaptation of movement extent during goal-directed reaching under conditions of environmental uncertainty.</w:t>
      </w:r>
    </w:p>
    <w:p w14:paraId="550A8CC8" w14:textId="08DD6434" w:rsidR="00B527F4" w:rsidRDefault="00B527F4" w:rsidP="00C870E9">
      <w:pPr>
        <w:pStyle w:val="Heading1"/>
      </w:pPr>
      <w:r>
        <w:t>Keywords</w:t>
      </w:r>
    </w:p>
    <w:p w14:paraId="7EFCA7EE" w14:textId="1B25EA4A" w:rsidR="00B527F4" w:rsidRPr="00C50ECE" w:rsidRDefault="00B527F4" w:rsidP="00C50ECE">
      <w:r>
        <w:t>Effort, vigor, strate</w:t>
      </w:r>
      <w:r w:rsidR="00C870E9">
        <w:t>gic re-aiming, declarative memory, reach, point</w:t>
      </w:r>
    </w:p>
    <w:p w14:paraId="27C9BE5C" w14:textId="77777777" w:rsidR="00C50ECE" w:rsidRPr="00C50ECE" w:rsidRDefault="00C50ECE" w:rsidP="2A57D957">
      <w:pPr>
        <w:pStyle w:val="Heading1"/>
        <w:rPr>
          <w:rFonts w:ascii="Calibri" w:eastAsia="Meiryo" w:hAnsi="Calibri" w:cs="Arial"/>
        </w:rPr>
      </w:pPr>
      <w:r>
        <w:t>Introduction</w:t>
      </w:r>
    </w:p>
    <w:p w14:paraId="01989D94" w14:textId="3673C08B" w:rsidR="00C50ECE" w:rsidRPr="00C50ECE" w:rsidRDefault="00C50ECE" w:rsidP="00C50ECE">
      <w:r w:rsidRPr="00C50ECE">
        <w:t>The human sensorimotor system is adept at performing goal-directed actions in the presence of changing environmental conditions due to the brain’s remarkable ability to compensate for performance errors that arise during movement (Shadmehr and Mussa-Ivaldi </w:t>
      </w:r>
      <w:r w:rsidRPr="00BF7C68">
        <w:t>1994</w:t>
      </w:r>
      <w:r w:rsidRPr="00C50ECE">
        <w:t>; Lackner and Dizio </w:t>
      </w:r>
      <w:r w:rsidRPr="00BF7C68">
        <w:t>1994</w:t>
      </w:r>
      <w:r w:rsidRPr="00C50ECE">
        <w:t>; Shadmehr and Brashers-Krug </w:t>
      </w:r>
      <w:r w:rsidRPr="00BF7C68">
        <w:t>1997</w:t>
      </w:r>
      <w:r w:rsidRPr="00C50ECE">
        <w:t>). Even in the simplest actions such as reaching, corrections for performance errors are comprised of separate components attributable to implicit sensorimotor adaptation (Shadmehr and Mussa-Ivaldi </w:t>
      </w:r>
      <w:r w:rsidRPr="00BF7C68">
        <w:t>1994</w:t>
      </w:r>
      <w:r w:rsidRPr="00C50ECE">
        <w:t>; Thoroughman and Shadmehr </w:t>
      </w:r>
      <w:r w:rsidRPr="00BF7C68">
        <w:t>2000</w:t>
      </w:r>
      <w:r w:rsidRPr="00C50ECE">
        <w:t>; Scheidt et al. </w:t>
      </w:r>
      <w:r w:rsidRPr="00BF7C68">
        <w:t>2001</w:t>
      </w:r>
      <w:r w:rsidRPr="00C50ECE">
        <w:t>; Izawa et al. </w:t>
      </w:r>
      <w:r w:rsidRPr="00BF7C68">
        <w:t>2008</w:t>
      </w:r>
      <w:r w:rsidRPr="00C50ECE">
        <w:t>; Judkins and Scheidt </w:t>
      </w:r>
      <w:r w:rsidRPr="00BF7C68">
        <w:t>2014</w:t>
      </w:r>
      <w:r w:rsidRPr="00C50ECE">
        <w:t>; Smith et al. </w:t>
      </w:r>
      <w:r w:rsidRPr="00BF7C68">
        <w:t>2006</w:t>
      </w:r>
      <w:r w:rsidRPr="00C50ECE">
        <w:t>; McDougle et al. </w:t>
      </w:r>
      <w:r w:rsidRPr="00BF7C68">
        <w:t>2015</w:t>
      </w:r>
      <w:r w:rsidRPr="00C50ECE">
        <w:t>) and explicit strategic re-aiming (Mazzoni and Krakauer </w:t>
      </w:r>
      <w:r w:rsidRPr="00BF7C68">
        <w:t>2006</w:t>
      </w:r>
      <w:r w:rsidRPr="00C50ECE">
        <w:t>; Taylor and Ivry </w:t>
      </w:r>
      <w:r w:rsidRPr="00BF7C68">
        <w:t>2011</w:t>
      </w:r>
      <w:r w:rsidRPr="00C50ECE">
        <w:t>; Taylor et al. </w:t>
      </w:r>
      <w:r w:rsidRPr="00BF7C68">
        <w:t>2014</w:t>
      </w:r>
      <w:r w:rsidRPr="00C50ECE">
        <w:t>) (see also Redding and Wallace </w:t>
      </w:r>
      <w:r w:rsidRPr="00BF7C68">
        <w:t>1996</w:t>
      </w:r>
      <w:r w:rsidRPr="00C50ECE">
        <w:t>). Both implicit and explicit mechanisms utilize memories of prior performance features to improve subsequent performance. Implicit learning occurs subconsciously such that individuals may be unaware that they have altered their behavior and/or cannot consciously verbalize strategies used to adapt (Frensch </w:t>
      </w:r>
      <w:r w:rsidRPr="00BF7C68">
        <w:t>1998</w:t>
      </w:r>
      <w:r w:rsidRPr="00C50ECE">
        <w:t>; Mazzoni and Krakauer </w:t>
      </w:r>
      <w:r w:rsidRPr="00BF7C68">
        <w:t>2006</w:t>
      </w:r>
      <w:r w:rsidRPr="00C50ECE">
        <w:t>). Implicit learning can occur automatically without explicit knowledge of results (Magescas and Prablanc </w:t>
      </w:r>
      <w:r w:rsidRPr="00BF7C68">
        <w:t>2006</w:t>
      </w:r>
      <w:r w:rsidRPr="00C50ECE">
        <w:t>; Prablanc et al. </w:t>
      </w:r>
      <w:r w:rsidRPr="00BF7C68">
        <w:t>2007</w:t>
      </w:r>
      <w:r w:rsidRPr="00C50ECE">
        <w:t xml:space="preserve">). By </w:t>
      </w:r>
      <w:r w:rsidRPr="00C50ECE">
        <w:lastRenderedPageBreak/>
        <w:t>contrast, explicit learning refers to strategic changes in behavior guided by conscious decisions (Magill </w:t>
      </w:r>
      <w:r w:rsidRPr="00BF7C68">
        <w:t>2011</w:t>
      </w:r>
      <w:r w:rsidRPr="00C50ECE">
        <w:t>; Taylor et al. </w:t>
      </w:r>
      <w:r w:rsidRPr="00BF7C68">
        <w:t>2014</w:t>
      </w:r>
      <w:r w:rsidRPr="00C50ECE">
        <w:t>; Heuer and Hegele </w:t>
      </w:r>
      <w:r w:rsidRPr="00BF7C68">
        <w:t>2015</w:t>
      </w:r>
      <w:r w:rsidRPr="00C50ECE">
        <w:t>; Krakauer et al. </w:t>
      </w:r>
      <w:r w:rsidRPr="00BF7C68">
        <w:t>2019</w:t>
      </w:r>
      <w:r w:rsidRPr="00C50ECE">
        <w:t>). The relative contributions of these two types of learning to changing task conditions can be assessed by asking people to report information about upcoming plans for movement (Taylor et al. </w:t>
      </w:r>
      <w:r w:rsidRPr="00BF7C68">
        <w:t>2014</w:t>
      </w:r>
      <w:r w:rsidRPr="00C50ECE">
        <w:t>; McDougle et al. </w:t>
      </w:r>
      <w:r w:rsidRPr="00BF7C68">
        <w:t>2015</w:t>
      </w:r>
      <w:r w:rsidRPr="00C50ECE">
        <w:t>) or by asking people to inhibit their use of explicit strategies (Werner et al. </w:t>
      </w:r>
      <w:r w:rsidRPr="00BF7C68">
        <w:t>2015</w:t>
      </w:r>
      <w:r w:rsidRPr="00C50ECE">
        <w:t>). In this paper, we introduce a new way to assess the contributions of explicit and implicit mechanisms to sensorimotor learning by focusing on how explicit and implicit sensorimotor memories influence reach performance from one trial to the next.</w:t>
      </w:r>
    </w:p>
    <w:p w14:paraId="56E1D52F" w14:textId="275D968D" w:rsidR="00C50ECE" w:rsidRPr="00C50ECE" w:rsidRDefault="00C50ECE" w:rsidP="00C50ECE">
      <w:r w:rsidRPr="00C50ECE">
        <w:t>Several prior studies have sought to understand how explicit and implicit processes might contribute to motor learning. Reber and Squire (</w:t>
      </w:r>
      <w:r w:rsidRPr="00BF7C68">
        <w:t>1994</w:t>
      </w:r>
      <w:r w:rsidRPr="00C50ECE">
        <w:t>, </w:t>
      </w:r>
      <w:r w:rsidRPr="00BF7C68">
        <w:t>1998</w:t>
      </w:r>
      <w:r w:rsidRPr="00C50ECE">
        <w:t>) showed that patients with deficits in episodic memory gradually improved performance on a serial reaction time task with an embedded repeating sequence, implying that episodic memory is distinct from the memories required for implicit learning. Boyd and Winstein (</w:t>
      </w:r>
      <w:r w:rsidRPr="00BF7C68">
        <w:t>2003</w:t>
      </w:r>
      <w:r w:rsidRPr="00C50ECE">
        <w:t>) investigated the effect of explicit information on implicit learning in individuals with focal stroke affecting regions of the brain that mediate information transfer between explicit and implicit memory. They found that using explicit information to improve performance in a serial reaction time task had a negative impact on implicit learning, suggesting that the explicit information may have hindered the use of the implicit memories. Similar outcomes were noted in a study of healthy individuals performing a visual motor rotation task by Benson et al. (</w:t>
      </w:r>
      <w:r w:rsidRPr="00BF7C68">
        <w:t>2011</w:t>
      </w:r>
      <w:r w:rsidRPr="00C50ECE">
        <w:t>), who suggested that their results reflect a competition between explicit and implicit learning mechanisms for a limited spatial working memory resource. By contrast, others have reported that implicit learning can interfere with the effectiveness of explicit error correction. Mazzoni and Krakauer (</w:t>
      </w:r>
      <w:r w:rsidRPr="00BF7C68">
        <w:t>2006</w:t>
      </w:r>
      <w:r w:rsidRPr="00C50ECE">
        <w:t>) set up a conflict between implicit and explicit error correction by instructing subjects to the exact nature of a directional perturbation in a visual motor rotation learning task and how they could compensate for that perturbation. Although subjects initially succeeded in compensating the imposed rotation with the suggested strategy, they made increasingly large errors with practice. The investigators concluded that the explicit strategy of re-aiming was undermined by implicit learning of the rotation. They also found that the rate of implicit learning was the same for subjects informed of the explicit strategy and for those who were not, indicating that explicit planning did not interfere with implicit learning in that task. Altogether, these studies suggest that while implicit and explicit processes can both contribute beneficially to motor performance, their contributions are likely distinct and interfere with one another in complex, task-dependent ways.</w:t>
      </w:r>
    </w:p>
    <w:p w14:paraId="30BC628A" w14:textId="58403D16" w:rsidR="00C50ECE" w:rsidRPr="00C50ECE" w:rsidRDefault="00C50ECE" w:rsidP="00C50ECE">
      <w:r w:rsidRPr="00C50ECE">
        <w:t>In the current study, we sought to determine the extent to which explicit and implicit memories contribute to sensorimotor adaptation during goal directed reaching. Sensorimotor adaptation is a form of motor learning, accomplished by the modification of existing behavior rather than by the acquisition of new behavior (Bock </w:t>
      </w:r>
      <w:r w:rsidRPr="00BF7C68">
        <w:t>2012</w:t>
      </w:r>
      <w:r w:rsidRPr="00C50ECE">
        <w:t>). We focused on adaptation of movement extent, building on literature exploring sensorimotor adaptation to changing mechanical loads applied to the hand. We leverage an approach that uses unpredictable trial-by-trial changes in the hand's mechanical load—along with time series analysis techniques—to interrogate how the human brain uses sensorimotor memories to adapt to changing environmental conditions (Scheidt et al. </w:t>
      </w:r>
      <w:r w:rsidRPr="00BF7C68">
        <w:t>2001</w:t>
      </w:r>
      <w:r w:rsidRPr="00C50ECE">
        <w:t>, </w:t>
      </w:r>
      <w:r w:rsidRPr="00BF7C68">
        <w:t>2012</w:t>
      </w:r>
      <w:r w:rsidRPr="00C50ECE">
        <w:t>; Liu et al. </w:t>
      </w:r>
      <w:r w:rsidRPr="00BF7C68">
        <w:t>2011</w:t>
      </w:r>
      <w:r w:rsidRPr="00C50ECE">
        <w:t>; Judkins and Scheidt </w:t>
      </w:r>
      <w:r w:rsidRPr="00BF7C68">
        <w:t>2014</w:t>
      </w:r>
      <w:r w:rsidRPr="00C50ECE">
        <w:t>). That earlier work demonstrated that a limited-memory model of sensorimotor adaptation can explain experimentally observed adaptive responses to random changes in mechanical loads as well as to step-wise (deterministic) changes (e.g., Shadmehr and Mussa-Ivaldi </w:t>
      </w:r>
      <w:r w:rsidRPr="00BF7C68">
        <w:t>1994</w:t>
      </w:r>
      <w:r w:rsidRPr="00C50ECE">
        <w:t>). The same model structure can also explain aftereffects of adaptation such as catch trial effects (e.g., Shadmehr and Mussa-Ivaldi </w:t>
      </w:r>
      <w:r w:rsidRPr="00BF7C68">
        <w:t>1994</w:t>
      </w:r>
      <w:r w:rsidRPr="00C50ECE">
        <w:t>; Thoroughman and Shadmehr </w:t>
      </w:r>
      <w:r w:rsidRPr="00BF7C68">
        <w:t>2000</w:t>
      </w:r>
      <w:r w:rsidRPr="00C50ECE">
        <w:t>) (see Panel A of Fig. 7 in Scheidt et al. </w:t>
      </w:r>
      <w:r w:rsidRPr="00BF7C68">
        <w:t>2001</w:t>
      </w:r>
      <w:r w:rsidRPr="00C50ECE">
        <w:t>) and random changes in the visuomotor mapping between hand motion and cursor movement (Judkins and Scheidt </w:t>
      </w:r>
      <w:r w:rsidRPr="00BF7C68">
        <w:t>2014</w:t>
      </w:r>
      <w:r w:rsidRPr="00C50ECE">
        <w:t>; see also Liu et al. </w:t>
      </w:r>
      <w:r w:rsidRPr="00BF7C68">
        <w:t>2011</w:t>
      </w:r>
      <w:r w:rsidRPr="00C50ECE">
        <w:t>). Although visuomotor rotation and prism studies have found that implicit and explicit mechanisms contribute to adaptive responses when perturbations are applied deterministically (Mazzoni and Krakauer </w:t>
      </w:r>
      <w:r w:rsidRPr="00BF7C68">
        <w:t>2006</w:t>
      </w:r>
      <w:r w:rsidRPr="00C50ECE">
        <w:t>; Taylor and Ivry </w:t>
      </w:r>
      <w:r w:rsidRPr="00BF7C68">
        <w:t>2011</w:t>
      </w:r>
      <w:r w:rsidRPr="00C50ECE">
        <w:t>; Taylor et al. </w:t>
      </w:r>
      <w:r w:rsidRPr="00BF7C68">
        <w:t>2014</w:t>
      </w:r>
      <w:r w:rsidRPr="00C50ECE">
        <w:t>; Redding and Wallace </w:t>
      </w:r>
      <w:r w:rsidRPr="00BF7C68">
        <w:t>1996</w:t>
      </w:r>
      <w:r w:rsidRPr="00C50ECE">
        <w:t>), the relative contributions of explicit and implicit memories to sensorimotor adaptation under conditions of uncertainty remain as yet unknown. It is possible that such adaptation arises in part due to compensation for consciously perceived performance changes, or adjustments could be based entirely on implicit memories.</w:t>
      </w:r>
    </w:p>
    <w:p w14:paraId="461D0DBE" w14:textId="77A2789A" w:rsidR="00C50ECE" w:rsidRPr="00C50ECE" w:rsidRDefault="00C50ECE" w:rsidP="00C50ECE">
      <w:r w:rsidRPr="00C50ECE">
        <w:t>Here, subjects grasped the handle of a planar robot while making rapid out-and-back reaches to a single visuospatial target. The robot opposed motion with spring-like loads that changed unpredictably from one reach to the next. Between movements, we sometimes required subjects to recall and report the hand’s location at the moment of peak movement extent on the most recent trial; these self-assessments were used to provide visibility into explicit memory of kinematic performance (i.e., reach error). We used stepwise multilinear regression to fit models of sensorimotor adaptation to data from trial blocks performed with and without self-assessments to compare the contributions of implicit and explicit memories to the trial-by-trial compensation for variable environmental loads. We evaluated whether interposed self-assessments influence the way people use sensorimotor memories during adaptation and we tested the hypothesis that implicit and explicit memories both contribute meaningfully to the adaptation of kinematic performance during repeated practice of goal-directed reaching. Preliminary aspects of this work have appeared in abstract form (Slick et al. </w:t>
      </w:r>
      <w:r w:rsidRPr="00BF7C68">
        <w:t>2017</w:t>
      </w:r>
      <w:r w:rsidRPr="00C50ECE">
        <w:t>).</w:t>
      </w:r>
    </w:p>
    <w:p w14:paraId="63A5020C" w14:textId="77777777" w:rsidR="00C50ECE" w:rsidRPr="00C50ECE" w:rsidRDefault="00C50ECE" w:rsidP="2A57D957">
      <w:pPr>
        <w:pStyle w:val="Heading1"/>
        <w:rPr>
          <w:rFonts w:ascii="Calibri" w:eastAsia="Meiryo" w:hAnsi="Calibri" w:cs="Arial"/>
        </w:rPr>
      </w:pPr>
      <w:r>
        <w:t>Methods</w:t>
      </w:r>
    </w:p>
    <w:p w14:paraId="4C4C5FE6" w14:textId="77777777" w:rsidR="00C50ECE" w:rsidRPr="00C50ECE" w:rsidRDefault="00C50ECE" w:rsidP="2A57D957">
      <w:pPr>
        <w:pStyle w:val="Heading2"/>
        <w:rPr>
          <w:rFonts w:ascii="Calibri" w:eastAsia="Meiryo" w:hAnsi="Calibri" w:cs="Arial"/>
        </w:rPr>
      </w:pPr>
      <w:r>
        <w:t>Participants</w:t>
      </w:r>
    </w:p>
    <w:p w14:paraId="2907D6B8" w14:textId="77777777" w:rsidR="00C50ECE" w:rsidRPr="00C50ECE" w:rsidRDefault="00C50ECE" w:rsidP="00C50ECE">
      <w:r w:rsidRPr="00C50ECE">
        <w:t>Twenty healthy subjects [mean age 25.5 ± 6.1 years (mean ± SD here and elsewhere); 13 females and 7 males] provided written, informed consent to participate in this study. All had normal or corrected-to-normal vision, and none had any known neurological deficits. Subjects were recruited from the Marquette University campus community. All experimental procedures received institutional approval in accordance with the Declaration of Helsinki.</w:t>
      </w:r>
    </w:p>
    <w:p w14:paraId="2CC5145B" w14:textId="77777777" w:rsidR="00C50ECE" w:rsidRPr="00C50ECE" w:rsidRDefault="00C50ECE" w:rsidP="2A57D957">
      <w:pPr>
        <w:pStyle w:val="Heading2"/>
        <w:rPr>
          <w:rFonts w:ascii="Calibri" w:eastAsia="Meiryo" w:hAnsi="Calibri" w:cs="Arial"/>
        </w:rPr>
      </w:pPr>
      <w:r>
        <w:t>Experimental setup</w:t>
      </w:r>
    </w:p>
    <w:p w14:paraId="1FAAB3CA" w14:textId="1DA2CF63" w:rsidR="00C50ECE" w:rsidRPr="00C50ECE" w:rsidRDefault="00C50ECE" w:rsidP="00C50ECE">
      <w:r>
        <w:t>Each subject sat in a high-backed chair and grasped the handle of a horizontal planar robot with the right hand (Fig. </w:t>
      </w:r>
      <w:r w:rsidRPr="00BF7C68">
        <w:t>1</w:t>
      </w:r>
      <w:r>
        <w:t>A). An overhead sling supported the right arm against gravity. The robot was actuated by two brushless DC torque motors (M-605-A Goldline; Kollmorgen, Inc. Northampton, MA). Handle location was resolved within 0.038 mm using joint angular position data from two 17-bit, encoders (A25SB17P180C06E1CN; Gurley Instruments, Troy, NY). Robot control and data collection were performed at 1000 samples per second. Handle kinematic data and robot control signals were stored to disk for post-processing.</w:t>
      </w:r>
    </w:p>
    <w:p w14:paraId="4AC76C98" w14:textId="73602960" w:rsidR="00C50ECE" w:rsidRDefault="00C50ECE" w:rsidP="004A4F35">
      <w:pPr>
        <w:pStyle w:val="NoSpacing"/>
      </w:pPr>
      <w:r w:rsidRPr="00C50ECE">
        <w:rPr>
          <w:noProof/>
        </w:rPr>
        <w:drawing>
          <wp:inline distT="0" distB="0" distL="0" distR="0" wp14:anchorId="09D0C1EE" wp14:editId="4BBCC71E">
            <wp:extent cx="1581912" cy="5486400"/>
            <wp:effectExtent l="0" t="0" r="0" b="0"/>
            <wp:docPr id="6" name="Picture 6"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912" cy="5486400"/>
                    </a:xfrm>
                    <a:prstGeom prst="rect">
                      <a:avLst/>
                    </a:prstGeom>
                    <a:noFill/>
                    <a:ln>
                      <a:noFill/>
                    </a:ln>
                  </pic:spPr>
                </pic:pic>
              </a:graphicData>
            </a:graphic>
          </wp:inline>
        </w:drawing>
      </w:r>
    </w:p>
    <w:p w14:paraId="5F9DDCC2" w14:textId="431D598A" w:rsidR="00C50ECE" w:rsidRPr="00C50ECE" w:rsidRDefault="004A4F35" w:rsidP="004A4F35">
      <w:pPr>
        <w:pStyle w:val="NoSpacing"/>
      </w:pPr>
      <w:r w:rsidRPr="00C50ECE">
        <w:rPr>
          <w:b/>
          <w:bCs/>
        </w:rPr>
        <w:t>Fig. 1</w:t>
      </w:r>
      <w:r>
        <w:t xml:space="preserve"> </w:t>
      </w:r>
      <w:r w:rsidR="00C50ECE" w:rsidRPr="00C50ECE">
        <w:rPr>
          <w:b/>
          <w:bCs/>
        </w:rPr>
        <w:t>A</w:t>
      </w:r>
      <w:r w:rsidR="00C50ECE" w:rsidRPr="00C50ECE">
        <w:t> Experimental setup: Home and goal targets were projected on a horizontal screen that blocked the subject’s view of the hand, arm and robotic manipulandum. </w:t>
      </w:r>
      <w:r w:rsidR="00C50ECE" w:rsidRPr="00C50ECE">
        <w:rPr>
          <w:b/>
          <w:bCs/>
        </w:rPr>
        <w:t>B</w:t>
      </w:r>
      <w:r w:rsidR="00C50ECE" w:rsidRPr="00C50ECE">
        <w:t> The magnitude of the robot’s spring-like load varied pseudorandomly from trial to trial. Dashed line: mean spring stiffness across all trials. </w:t>
      </w:r>
      <w:r w:rsidR="00C50ECE" w:rsidRPr="00C50ECE">
        <w:rPr>
          <w:b/>
          <w:bCs/>
        </w:rPr>
        <w:t>C</w:t>
      </w:r>
      <w:r w:rsidR="00C50ECE" w:rsidRPr="00C50ECE">
        <w:t>–</w:t>
      </w:r>
      <w:r w:rsidR="00C50ECE" w:rsidRPr="00C50ECE">
        <w:rPr>
          <w:b/>
          <w:bCs/>
        </w:rPr>
        <w:t>E</w:t>
      </w:r>
      <w:r w:rsidR="00C50ECE" w:rsidRPr="00C50ECE">
        <w:t> Hand displacement, velocity, and acceleration for a typical reach trial. Circle: maximum movement extent; Brace: reach error; Triangle: self-assessed maximum movement extent; Square: peak velocity; Pentagon: 10% of peak velocity (i.e., movement onset); dashed vertical lines mark the movement onset and target capture times</w:t>
      </w:r>
    </w:p>
    <w:p w14:paraId="462ADAA3" w14:textId="51BAE910" w:rsidR="00C50ECE" w:rsidRPr="00C50ECE" w:rsidRDefault="00C50ECE" w:rsidP="2A57D957">
      <w:pPr>
        <w:rPr>
          <w:b/>
          <w:bCs/>
        </w:rPr>
      </w:pPr>
    </w:p>
    <w:p w14:paraId="75128916" w14:textId="0EA5FDD5" w:rsidR="00C50ECE" w:rsidRPr="00C50ECE" w:rsidRDefault="00C50ECE" w:rsidP="00C50ECE">
      <w:r w:rsidRPr="00C50ECE">
        <w:t>A horizontal display screen was mounted 2 cm above the robot handle to occlude vision of the arm and hand as subjects performed goal-directed reaching movements. An overhead projector was mounted 1.5 m above the screen, projecting downward. A starting “home” target was projected ~ 28 cm anterior of the subject’s right shoulder. A goal target was placed 10 cm further from the home target in the sagittal plane. A scintillating random dot field (60 cm high × 30 cm wide; 30 Hz refresh rate) was projected on the screen at all times to minimize the impact of extraneous visual cues on performance of experimental tasks. Unless indicated otherwise, no ongoing visual feedback of hand motion was provided during the tasks.</w:t>
      </w:r>
    </w:p>
    <w:p w14:paraId="63220415" w14:textId="6AD5AE3A" w:rsidR="00C50ECE" w:rsidRPr="00C50ECE" w:rsidRDefault="00C50ECE" w:rsidP="00C50ECE">
      <w:r w:rsidRPr="00C50ECE">
        <w:t>During reaching, the robot rendered a spring-like load that resisted hand motions away from the home target. No force was applied when the handle was centered on the home target. The strength of the spring-like load changed unpredictably from one movement to the next (i.e., from trial to trial), but did not change within a trial (Fig. </w:t>
      </w:r>
      <w:r w:rsidRPr="00BF7C68">
        <w:t>1</w:t>
      </w:r>
      <w:r w:rsidRPr="00C50ECE">
        <w:t>B). The sequence of loads was drawn from a uniform distribution that was constructed to have negligible autocorrelation structure. The load sequence had a mean stiffness of 339 N/m and a standard deviation of 89 N/m. All subjects experienced the same sequence of perturbations. The motors also rendered a stiff mechanical channel that constrained hand motion to the sagittal plane (c.f., Scheidt et al. </w:t>
      </w:r>
      <w:r w:rsidRPr="00BF7C68">
        <w:t>2000</w:t>
      </w:r>
      <w:r w:rsidRPr="00C50ECE">
        <w:t>), effectively limiting performance variability to that of movement extent.</w:t>
      </w:r>
    </w:p>
    <w:p w14:paraId="2B037378" w14:textId="77777777" w:rsidR="00C50ECE" w:rsidRPr="00C50ECE" w:rsidRDefault="00C50ECE" w:rsidP="2A57D957">
      <w:pPr>
        <w:pStyle w:val="Heading2"/>
        <w:rPr>
          <w:rFonts w:ascii="Calibri" w:eastAsia="Meiryo" w:hAnsi="Calibri" w:cs="Arial"/>
        </w:rPr>
      </w:pPr>
      <w:r>
        <w:t>Procedures</w:t>
      </w:r>
    </w:p>
    <w:p w14:paraId="3E719444" w14:textId="3F1FF3DC" w:rsidR="00C50ECE" w:rsidRPr="00C50ECE" w:rsidRDefault="00C50ECE" w:rsidP="00C50ECE">
      <w:r w:rsidRPr="00C50ECE">
        <w:t>Subjects performed 4 blocks of 120 goal-directed movement trials wherein they were instructed to “Reach out-and-back in one fluid motion to hit the remembered goal target at the peak of your reach”. A trial began when a “GO!” cue was projected onto the visual display screen; both the home and goal targets disappeared at this time. Subjects were to perform a ballistic, 10 cm out-and-back movement to hit the remembered goal target. After the reach was completed, the subject relaxed as the robot slowly and smoothly re-centered the hand at the home position. During the re-centering, the hand’s cursor and the home and goal targets were visible to minimize the impact of “proprioceptive drift” on reach planning (cf., Wann and Ibrahim </w:t>
      </w:r>
      <w:r w:rsidRPr="00BF7C68">
        <w:t>1992</w:t>
      </w:r>
      <w:r w:rsidRPr="00C50ECE">
        <w:t>). After a variable relaxation interval (750–825 ms), a new trial began. In each of the 4 blocks, the first 20 reaches were considered practice trials, which allowed the subjects to become familiar with the task and the desired movement extent. During these practice trials, concurrent visual feedback of ongoing hand motion (i.e., the hand cursor) was projected onto the horizontal screen during the reach. Immediately following the practice trials, subjects performed 100 test trials, which we used to characterize how memories of prior reach performances influenced subsequent reach performance under four different experimental conditions.</w:t>
      </w:r>
    </w:p>
    <w:p w14:paraId="2651CE18" w14:textId="608EA1E6" w:rsidR="00C50ECE" w:rsidRPr="00C50ECE" w:rsidRDefault="00C50ECE" w:rsidP="00C50ECE">
      <w:r w:rsidRPr="00C50ECE">
        <w:t>Each block contained a different condition depending on whether visual information was provided about ongoing hand motion and whether or not the participant was asked to explicitly report the outcome of the most recent performance. In the no visual feedback, no assessment (NV-NA) control block, subjects performed the 100 test reaches without concurrent visual cursor feedback and without interposed self-assessments. In the no vision, proprioceptive assessment test block (NV-PA), subjects performed the 100 test reaches without concurrent cursor feedback, but with proprioceptive self-assessment interposed between each reach, as described below. In the no vision, visual assessment test block (NV-VA), subjects performed the 100 test reaches without concurrent visual feedback but with visual assessment between reaches. In the visual feedback, no assessment (V-NA) contrast condition, subjects performed the 100 test reaches with concurrent visual feedback and without interposed self-assessments. Providing concurrent visual feedback of endpoint motion is known to impact how sensorimotor memories contribute to subsequent reach attempts (Judkins and Scheidt </w:t>
      </w:r>
      <w:r w:rsidRPr="00BF7C68">
        <w:t>2014</w:t>
      </w:r>
      <w:r w:rsidRPr="00C50ECE">
        <w:t>). We included this last block to provide a contrast condition with which to compare the results of the self-assessment conditions. Each block took about 20 min to complete. Block order was counterbalanced across subjects to reduce potential order effects.</w:t>
      </w:r>
    </w:p>
    <w:p w14:paraId="2B5C3CF2" w14:textId="77777777" w:rsidR="00C50ECE" w:rsidRPr="00C50ECE" w:rsidRDefault="00C50ECE" w:rsidP="00C50ECE">
      <w:r w:rsidRPr="00C50ECE">
        <w:t>In the two blocks that included interleaved self-assessments, subjects were to explicitly report the maximum extent of hand movement after each reach. These self-assessments provide an objective measure of explicit memory of task performance. In the self-assessment blocks, subjects first reached out-and back to the remembered goal target without concurrent visual feedback of hand or cursor motion (Reaching). They then pointed to the location of peak movement extent on the previous reach in one of two ways (Pointing; i.e., post-reach performance reporting). One test block required “proprioceptive assessment” (PA), whereas the other used “visual assessment” (VA). For proprioceptive self-assessments, subjects were to recall and point to the remembered location of maximum reach extent by actively moving the robot handle to that remembered location. The robot’s motors were disabled during self-assessments such that subjects could not use hand forces to infer hand displacement. No cursor feedback or visual landmarks were provided. The scintillating random dot field discouraged visual fixation about the remembered target location as the subject moved his or her hand to report the point of maximum reach extent. Subjects pressed a “Select” button with their left hand to confirm that location. For visual self-assessments, subjects pointed to the location of maximum reach extent by moving a cursor projected onto the screen with a random initial location along the line between initial and goal targets. Subjects repositioned the cursor by pressing “Closer” and “Farther” buttons with their left hand. To confirm the location of maximum reach extent, subjects pressed a third “Select” button with their left hand. Using the button box in this way, subjects avoided having to translate either hand to indicate movement extent in the visual assessment condition. Only the cursor and scintillating field were visible during visual self-assessments. After each self-assessment, the subject relaxed as the robot re-positioned the hand back to the home position in anticipation of the next reach trial.</w:t>
      </w:r>
    </w:p>
    <w:p w14:paraId="0C9ADBAC" w14:textId="77777777" w:rsidR="00C50ECE" w:rsidRPr="00C50ECE" w:rsidRDefault="00C50ECE" w:rsidP="2A57D957">
      <w:pPr>
        <w:pStyle w:val="Heading2"/>
        <w:rPr>
          <w:rFonts w:ascii="Calibri" w:eastAsia="Meiryo" w:hAnsi="Calibri" w:cs="Arial"/>
        </w:rPr>
      </w:pPr>
      <w:r>
        <w:t>Data analysis</w:t>
      </w:r>
    </w:p>
    <w:p w14:paraId="2BE9FB1A" w14:textId="77777777" w:rsidR="00C50ECE" w:rsidRPr="00C50ECE" w:rsidRDefault="00C50ECE" w:rsidP="00C50ECE">
      <w:r w:rsidRPr="00C50ECE">
        <w:t>All trials were visually inspected prior to post-processing. Trials were excluded from analysis for one or more of the following reasons: if the hand drifted 1 cm or more from the home position before the “GO!” cue; if the movement was too slow (i.e., if the time between movement onset and peak movement extent exceeded 500 ms); if the acceleration profile of the out-and-back reach was not triphasic (i.e., suggesting corrective movements or pauses mid reach); or if the reach was not directed along the channel constraints, causing robot motor torques to exceed predefined safety limits (35 Nm). Following the removal of these trials, any remaining trials that were immediately preceded and followed by removed trials were also removed to minimize the number of trial series discontinuities that would introduce noise into the multilinear regression analysis described below (see </w:t>
      </w:r>
      <w:r w:rsidRPr="00C50ECE">
        <w:rPr>
          <w:i/>
          <w:iCs/>
        </w:rPr>
        <w:t>Models of Sensorimotor Adaptation</w:t>
      </w:r>
      <w:r w:rsidRPr="00C50ECE">
        <w:t>). Across subjects, only 2.8 ± 5.1% of evaluation trials were excluded from further analysis.</w:t>
      </w:r>
    </w:p>
    <w:p w14:paraId="4A52CEF7" w14:textId="297EB754" w:rsidR="00C50ECE" w:rsidRPr="00C50ECE" w:rsidRDefault="00C50ECE" w:rsidP="00C50ECE">
      <w:r w:rsidRPr="00C50ECE">
        <w:t>From the measured position traces of each trial, we extracted the following kinematic outcome variables. We quantified movement accuracy using </w:t>
      </w:r>
      <w:r w:rsidRPr="00C50ECE">
        <w:rPr>
          <w:i/>
          <w:iCs/>
        </w:rPr>
        <w:t>reach error</w:t>
      </w:r>
      <w:r w:rsidRPr="00C50ECE">
        <w:t> (</w:t>
      </w:r>
      <m:oMath>
        <m:sSub>
          <m:sSubPr>
            <m:ctrlPr>
              <w:rPr>
                <w:rFonts w:ascii="Cambria Math" w:hAnsi="Cambria Math"/>
              </w:rPr>
            </m:ctrlPr>
          </m:sSubPr>
          <m:e>
            <m:r>
              <m:rPr>
                <m:nor/>
              </m:rPr>
              <m:t>ε</m:t>
            </m:r>
          </m:e>
          <m:sub>
            <m:r>
              <w:rPr>
                <w:rFonts w:ascii="Cambria Math" w:hAnsi="Cambria Math"/>
              </w:rPr>
              <m:t>i</m:t>
            </m:r>
          </m:sub>
        </m:sSub>
      </m:oMath>
      <w:r w:rsidRPr="00C50ECE">
        <w:t>), which we defined as the signed difference between the maximum extent of the out-and-back-reach and the actual target distance of 10 cm (Fig. </w:t>
      </w:r>
      <w:r w:rsidRPr="00BF7C68">
        <w:t>1</w:t>
      </w:r>
      <w:r w:rsidRPr="00C50ECE">
        <w:t>C, brace). Positive values indicated overshoot of the target. We quantified </w:t>
      </w:r>
      <w:r w:rsidRPr="00C50ECE">
        <w:rPr>
          <w:i/>
          <w:iCs/>
        </w:rPr>
        <w:t>reach precision</w:t>
      </w:r>
      <w:r w:rsidRPr="00C50ECE">
        <w:t> (</w:t>
      </w:r>
      <w:r w:rsidRPr="00C50ECE">
        <w:rPr>
          <w:i/>
          <w:iCs/>
        </w:rPr>
        <w:t>σ</w:t>
      </w:r>
      <w:r w:rsidRPr="00C50ECE">
        <w:rPr>
          <w:i/>
          <w:iCs/>
          <w:vertAlign w:val="subscript"/>
        </w:rPr>
        <w:t>ε</w:t>
      </w:r>
      <w:r w:rsidRPr="00C50ECE">
        <w:t>) as the standard deviation of the reach errors across evaluation trials within each block. We defined </w:t>
      </w:r>
      <w:r w:rsidRPr="00C50ECE">
        <w:rPr>
          <w:i/>
          <w:iCs/>
        </w:rPr>
        <w:t>movement onset</w:t>
      </w:r>
      <w:r w:rsidRPr="00C50ECE">
        <w:t> for each reach as the first moment where hand speed exceeded 10% of its first peak value (Fig. </w:t>
      </w:r>
      <w:r w:rsidRPr="00BF7C68">
        <w:t>1</w:t>
      </w:r>
      <w:r w:rsidRPr="00C50ECE">
        <w:t>D, pentagon). We quantified </w:t>
      </w:r>
      <w:r w:rsidRPr="00C50ECE">
        <w:rPr>
          <w:i/>
          <w:iCs/>
        </w:rPr>
        <w:t>movement time</w:t>
      </w:r>
      <w:r w:rsidRPr="00C50ECE">
        <w:t> as the difference between movement onset and the time of the maximum reach extent (c.f., time between vertical dashed lines in Fig. </w:t>
      </w:r>
      <w:r w:rsidRPr="00BF7C68">
        <w:t>1</w:t>
      </w:r>
      <w:r w:rsidRPr="00C50ECE">
        <w:t>C–E). We quantified </w:t>
      </w:r>
      <w:r w:rsidRPr="00C50ECE">
        <w:rPr>
          <w:i/>
          <w:iCs/>
        </w:rPr>
        <w:t>assessment error</w:t>
      </w:r>
      <w:r w:rsidRPr="00C50ECE">
        <w:t>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m:t>
            </m:r>
          </m:sub>
        </m:sSub>
      </m:oMath>
      <w:r w:rsidRPr="00C50ECE">
        <w:t>) for the proprioceptive and visual assessment trials as the difference between the self-assessed peak movement extent (Fig. </w:t>
      </w:r>
      <w:r w:rsidRPr="00BF7C68">
        <w:t>1</w:t>
      </w:r>
      <w:r w:rsidRPr="00C50ECE">
        <w:t>C, triangle) and the actual target distance.</w:t>
      </w:r>
    </w:p>
    <w:p w14:paraId="65DAAE3F" w14:textId="77777777" w:rsidR="00C50ECE" w:rsidRPr="00C50ECE" w:rsidRDefault="00C50ECE" w:rsidP="2A57D957">
      <w:pPr>
        <w:pStyle w:val="Heading2"/>
        <w:rPr>
          <w:rFonts w:ascii="Calibri" w:eastAsia="Meiryo" w:hAnsi="Calibri" w:cs="Arial"/>
        </w:rPr>
      </w:pPr>
      <w:r>
        <w:t>Models of sensorimotor adaptation</w:t>
      </w:r>
    </w:p>
    <w:p w14:paraId="115BA2E5" w14:textId="4476E878" w:rsidR="00C50ECE" w:rsidRPr="00C50ECE" w:rsidRDefault="00C50ECE" w:rsidP="00C50ECE">
      <w:r w:rsidRPr="00C50ECE">
        <w:t>We next investigated how implicit and explicit memories of reach performance contribute to the adaptive response to changing environmental loads. We used stepwise linear regression to fit a family of linear, “fast process” adaptation models (Smith et al. </w:t>
      </w:r>
      <w:r w:rsidRPr="00BF7C68">
        <w:t>2006</w:t>
      </w:r>
      <w:r w:rsidRPr="00C50ECE">
        <w:t>; Lee and Schweighofer </w:t>
      </w:r>
      <w:r w:rsidRPr="00BF7C68">
        <w:t>2009</w:t>
      </w:r>
      <w:r w:rsidRPr="00C50ECE">
        <w:t>; Judkins and Scheidt </w:t>
      </w:r>
      <w:r w:rsidRPr="00BF7C68">
        <w:t>2014</w:t>
      </w:r>
      <w:r w:rsidRPr="00C50ECE">
        <w:t>) to the time series of reach errors (</w:t>
      </w:r>
      <m:oMath>
        <m:sSub>
          <m:sSubPr>
            <m:ctrlPr>
              <w:rPr>
                <w:rFonts w:ascii="Cambria Math" w:hAnsi="Cambria Math"/>
              </w:rPr>
            </m:ctrlPr>
          </m:sSubPr>
          <m:e>
            <m:r>
              <m:rPr>
                <m:nor/>
              </m:rPr>
              <m:t>ε</m:t>
            </m:r>
          </m:e>
          <m:sub>
            <m:r>
              <w:rPr>
                <w:rFonts w:ascii="Cambria Math" w:hAnsi="Cambria Math"/>
              </w:rPr>
              <m:t>i</m:t>
            </m:r>
          </m:sub>
        </m:sSub>
      </m:oMath>
      <w:r w:rsidRPr="00C50ECE">
        <w:t>) within each block of trials. These models considered four independent input variables. We regard the observed movement extent on the previous trial (i.e., </w:t>
      </w:r>
      <m:oMath>
        <m:sSub>
          <m:sSubPr>
            <m:ctrlPr>
              <w:rPr>
                <w:rFonts w:ascii="Cambria Math" w:hAnsi="Cambria Math"/>
              </w:rPr>
            </m:ctrlPr>
          </m:sSubPr>
          <m:e>
            <m:r>
              <m:rPr>
                <m:nor/>
              </m:rPr>
              <m:t>ε</m:t>
            </m:r>
          </m:e>
          <m:sub>
            <m:r>
              <w:rPr>
                <w:rFonts w:ascii="Cambria Math" w:hAnsi="Cambria Math"/>
              </w:rPr>
              <m:t>i-1</m:t>
            </m:r>
          </m:sub>
        </m:sSub>
      </m:oMath>
      <w:r w:rsidRPr="00C50ECE">
        <w:t>) as a proxy for implicit memory of reach performance (c.f., Thoroughman and Shadmehr </w:t>
      </w:r>
      <w:r w:rsidRPr="00BF7C68">
        <w:t>2000</w:t>
      </w:r>
      <w:r w:rsidRPr="00C50ECE">
        <w:t>; Scheidt et al. </w:t>
      </w:r>
      <w:r w:rsidRPr="00BF7C68">
        <w:t>2001</w:t>
      </w:r>
      <w:r w:rsidRPr="00C50ECE">
        <w:t>; Judkins and Scheidt </w:t>
      </w:r>
      <w:r w:rsidRPr="00BF7C68">
        <w:t>2014</w:t>
      </w:r>
      <w:r w:rsidRPr="00C50ECE">
        <w:t>). We regarded self-assessed movement extent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i-1</m:t>
            </m:r>
          </m:sub>
        </m:sSub>
      </m:oMath>
      <w:r w:rsidRPr="00C50ECE">
        <w:t>) as a proxy for an explicit (declarative) memory of reach performance. We also account for the impact of the robot's physical resistance on movement by including input terms reflecting the current trial's spring-like load (</w:t>
      </w:r>
      <m:oMath>
        <m:sSub>
          <m:sSubPr>
            <m:ctrlPr>
              <w:rPr>
                <w:rFonts w:ascii="Cambria Math" w:hAnsi="Cambria Math"/>
              </w:rPr>
            </m:ctrlPr>
          </m:sSubPr>
          <m:e>
            <m:r>
              <w:rPr>
                <w:rFonts w:ascii="Cambria Math" w:hAnsi="Cambria Math"/>
              </w:rPr>
              <m:t>k</m:t>
            </m:r>
          </m:e>
          <m:sub>
            <m:r>
              <w:rPr>
                <w:rFonts w:ascii="Cambria Math" w:hAnsi="Cambria Math"/>
              </w:rPr>
              <m:t>i</m:t>
            </m:r>
          </m:sub>
        </m:sSub>
      </m:oMath>
      <w:r w:rsidRPr="00C50ECE">
        <w:t>), as well as a memory of the robot's most recent load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(Scheidt et al. </w:t>
      </w:r>
      <w:r w:rsidRPr="00BF7C68">
        <w:t>2001</w:t>
      </w:r>
      <w:r w:rsidRPr="00C50ECE">
        <w:t>; Judkins and Scheidt </w:t>
      </w:r>
      <w:r w:rsidRPr="00BF7C68">
        <w:t>2014</w:t>
      </w:r>
      <w:r w:rsidRPr="00C50ECE">
        <w:t>). All variables were centered such that their respective means were subtracted from the time series prior to model fitting. The criteria for a term to enter the model was </w:t>
      </w:r>
      <w:r w:rsidRPr="00C50ECE">
        <w:rPr>
          <w:i/>
          <w:iCs/>
        </w:rPr>
        <w:t>p</w:t>
      </w:r>
      <w:r w:rsidRPr="00C50ECE">
        <w:t> ≤ 0.05. The criteria for a term to be removed from the model was </w:t>
      </w:r>
      <w:r w:rsidRPr="00C50ECE">
        <w:rPr>
          <w:i/>
          <w:iCs/>
        </w:rPr>
        <w:t>p</w:t>
      </w:r>
      <w:r w:rsidRPr="00C50ECE">
        <w:t> ≥ 0.10.</w:t>
      </w:r>
    </w:p>
    <w:p w14:paraId="0384F646" w14:textId="4F411391" w:rsidR="00C50ECE" w:rsidRPr="00C50ECE" w:rsidRDefault="00C50ECE" w:rsidP="00C50ECE">
      <w:r w:rsidRPr="00C50ECE">
        <w:t>Multilinear regression analyses can be sensitive to multicollinearity within the set of input variables. Even though we designed the sequence of loads </w:t>
      </w:r>
      <m:oMath>
        <m:sSub>
          <m:sSubPr>
            <m:ctrlPr>
              <w:rPr>
                <w:rFonts w:ascii="Cambria Math" w:hAnsi="Cambria Math"/>
              </w:rPr>
            </m:ctrlPr>
          </m:sSubPr>
          <m:e>
            <m:r>
              <w:rPr>
                <w:rFonts w:ascii="Cambria Math" w:hAnsi="Cambria Math"/>
              </w:rPr>
              <m:t>k</m:t>
            </m:r>
          </m:e>
          <m:sub>
            <m:r>
              <w:rPr>
                <w:rFonts w:ascii="Cambria Math" w:hAnsi="Cambria Math"/>
              </w:rPr>
              <m:t>i</m:t>
            </m:r>
          </m:sub>
        </m:sSub>
      </m:oMath>
      <w:r w:rsidRPr="00C50ECE">
        <w:t> to be minimally correlated with the sequence of prior trial loads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we expect structural multicollinearity to arise from mechanical interactions between the robotic spring-like loads and the inherent compliance of the subject’s arm. Subjects are expected to make shorter reaches when the robot renders a stiffer spring than when it renders a more compliant spring. Consequently, we expect the sequences of kinematic memories of actual reach and assessed error (i.e., </w:t>
      </w:r>
      <m:oMath>
        <m:sSub>
          <m:sSubPr>
            <m:ctrlPr>
              <w:rPr>
                <w:rFonts w:ascii="Cambria Math" w:hAnsi="Cambria Math"/>
              </w:rPr>
            </m:ctrlPr>
          </m:sSubPr>
          <m:e>
            <m:r>
              <m:rPr>
                <m:nor/>
              </m:rPr>
              <m:t>ε</m:t>
            </m:r>
          </m:e>
          <m:sub>
            <m:r>
              <w:rPr>
                <w:rFonts w:ascii="Cambria Math" w:hAnsi="Cambria Math"/>
              </w:rPr>
              <m:t>i-1</m:t>
            </m:r>
          </m:sub>
        </m:sSub>
      </m:oMath>
      <w:r w:rsidRPr="00C50ECE">
        <w:t> and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i-1</m:t>
            </m:r>
          </m:sub>
        </m:sSub>
      </m:oMath>
      <w:r w:rsidRPr="00C50ECE">
        <w:t>, respectively) to correlate strongly with the sequence of prior spring-like loads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To address this known source of collinearity, we derived a new set of input variables for use in our stepwise regression analyses. These include the original load sequences </w:t>
      </w:r>
      <m:oMath>
        <m:sSub>
          <m:sSubPr>
            <m:ctrlPr>
              <w:rPr>
                <w:rFonts w:ascii="Cambria Math" w:hAnsi="Cambria Math"/>
              </w:rPr>
            </m:ctrlPr>
          </m:sSubPr>
          <m:e>
            <m:r>
              <w:rPr>
                <w:rFonts w:ascii="Cambria Math" w:hAnsi="Cambria Math"/>
              </w:rPr>
              <m:t>k</m:t>
            </m:r>
          </m:e>
          <m:sub>
            <m:r>
              <w:rPr>
                <w:rFonts w:ascii="Cambria Math" w:hAnsi="Cambria Math"/>
              </w:rPr>
              <m:t>i</m:t>
            </m:r>
          </m:sub>
        </m:sSub>
      </m:oMath>
      <w:r w:rsidRPr="00C50ECE">
        <w:t> and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as well as two new “residual” sequences </w:t>
      </w:r>
      <m:oMath>
        <m:sSub>
          <m:sSubPr>
            <m:ctrlPr>
              <w:rPr>
                <w:rFonts w:ascii="Cambria Math" w:hAnsi="Cambria Math"/>
              </w:rPr>
            </m:ctrlPr>
          </m:sSubPr>
          <m:e>
            <m:r>
              <w:rPr>
                <w:rFonts w:ascii="Cambria Math" w:hAnsi="Cambria Math"/>
              </w:rPr>
              <m:t>e</m:t>
            </m:r>
          </m:e>
          <m:sub>
            <m:r>
              <w:rPr>
                <w:rFonts w:ascii="Cambria Math" w:hAnsi="Cambria Math"/>
              </w:rPr>
              <m:t>i-1</m:t>
            </m:r>
          </m:sub>
        </m:sSub>
      </m:oMath>
      <w:r w:rsidRPr="00C50ECE">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e</m:t>
                </m:r>
              </m:e>
              <m:lim>
                <m:r>
                  <w:rPr>
                    <w:rFonts w:ascii="Cambria Math" w:hAnsi="Cambria Math"/>
                  </w:rPr>
                  <m:t>^</m:t>
                </m:r>
              </m:lim>
            </m:limUpp>
          </m:e>
          <m:sub>
            <m:r>
              <w:rPr>
                <w:rFonts w:ascii="Cambria Math" w:hAnsi="Cambria Math"/>
              </w:rPr>
              <m:t>i-1</m:t>
            </m:r>
          </m:sub>
        </m:sSub>
        <m:r>
          <w:rPr>
            <w:rFonts w:ascii="Cambria Math"/>
          </w:rPr>
          <m:t xml:space="preserve"> </m:t>
        </m:r>
      </m:oMath>
      <w:r w:rsidRPr="00C50ECE">
        <w:t>that were derived from the original memory sequences </w:t>
      </w:r>
      <m:oMath>
        <m:sSub>
          <m:sSubPr>
            <m:ctrlPr>
              <w:rPr>
                <w:rFonts w:ascii="Cambria Math" w:hAnsi="Cambria Math"/>
              </w:rPr>
            </m:ctrlPr>
          </m:sSubPr>
          <m:e>
            <m:r>
              <m:rPr>
                <m:nor/>
              </m:rPr>
              <m:t>ε</m:t>
            </m:r>
          </m:e>
          <m:sub>
            <m:r>
              <w:rPr>
                <w:rFonts w:ascii="Cambria Math" w:hAnsi="Cambria Math"/>
              </w:rPr>
              <m:t>i-1</m:t>
            </m:r>
          </m:sub>
        </m:sSub>
      </m:oMath>
      <w:r w:rsidRPr="00C50ECE">
        <w:t> and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i-1</m:t>
            </m:r>
          </m:sub>
        </m:sSub>
      </m:oMath>
      <w:r w:rsidRPr="00C50ECE">
        <w:t> by subtracting out all linear dependence on the sequence of prior loads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By managing multicollinearity in this way, the stepwise regression analyses can yield insight into how much variability in reach performance depends on the robotic perturbations, and how much depends on the unique information contained within the sequences of implicit and explicit memory.</w:t>
      </w:r>
    </w:p>
    <w:p w14:paraId="1EE88F0F" w14:textId="4375D3C3" w:rsidR="00C50ECE" w:rsidRPr="00C50ECE" w:rsidRDefault="00C50ECE" w:rsidP="00C50ECE">
      <w:r w:rsidRPr="00C50ECE">
        <w:t>As a basis for comparison, we also considered a model of sensorimotor adaptation examined in several prior studies of horizontal planar reaching (Scheidt et al. </w:t>
      </w:r>
      <w:r w:rsidRPr="00BF7C68">
        <w:t>2001</w:t>
      </w:r>
      <w:r w:rsidRPr="00C50ECE">
        <w:t>; Judkins and Scheidt </w:t>
      </w:r>
      <w:r w:rsidRPr="00BF7C68">
        <w:t>2014</w:t>
      </w:r>
      <w:r w:rsidRPr="00C50ECE">
        <w:t>):</w:t>
      </w:r>
    </w:p>
    <w:p w14:paraId="4F92DCD0" w14:textId="2B5B16CF" w:rsidR="00C50ECE" w:rsidRPr="00C50ECE" w:rsidRDefault="00FA240C" w:rsidP="00C50ECE">
      <m:oMath>
        <m:sSub>
          <m:sSubPr>
            <m:ctrlPr>
              <w:rPr>
                <w:rFonts w:ascii="Cambria Math" w:hAnsi="Cambria Math"/>
                <w:i/>
              </w:rPr>
            </m:ctrlPr>
          </m:sSubPr>
          <m:e>
            <m:r>
              <w:rPr>
                <w:rFonts w:ascii="Cambria Math" w:hAnsi="Cambria Math"/>
              </w:rPr>
              <m:t>ε</m:t>
            </m:r>
          </m:e>
          <m:sub>
            <m:r>
              <w:rPr>
                <w:rFonts w:ascii="Cambria Math" w:hAnsi="Cambria Math"/>
              </w:rPr>
              <m:t>i</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ε</m:t>
            </m:r>
          </m:e>
          <m:sub>
            <m:r>
              <w:rPr>
                <w:rFonts w:ascii="Cambria Math" w:hAnsi="Cambria Math"/>
              </w:rPr>
              <m:t>i</m:t>
            </m:r>
            <m:r>
              <w:rPr>
                <w:rFonts w:ascii="Cambria Math" w:hAnsi="Cambria Math"/>
              </w:rPr>
              <m:t>-</m:t>
            </m:r>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0</m:t>
            </m:r>
          </m:sub>
        </m:sSub>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sSub>
          <m:sSubPr>
            <m:ctrlPr>
              <w:rPr>
                <w:rFonts w:ascii="Cambria Math" w:hAnsi="Cambria Math"/>
                <w:i/>
              </w:rPr>
            </m:ctrlPr>
          </m:sSubPr>
          <m:e>
            <m:r>
              <w:rPr>
                <w:rFonts w:ascii="Cambria Math" w:hAnsi="Cambria Math"/>
              </w:rPr>
              <m:t>k</m:t>
            </m:r>
          </m:e>
          <m:sub>
            <m:r>
              <w:rPr>
                <w:rFonts w:ascii="Cambria Math" w:hAnsi="Cambria Math"/>
              </w:rPr>
              <m:t>i</m:t>
            </m:r>
            <m:r>
              <w:rPr>
                <w:rFonts w:ascii="Cambria Math" w:hAnsi="Cambria Math"/>
              </w:rPr>
              <m:t>-</m:t>
            </m:r>
            <m:r>
              <w:rPr>
                <w:rFonts w:ascii="Cambria Math" w:hAnsi="Cambria Math"/>
              </w:rPr>
              <m:t>1</m:t>
            </m:r>
          </m:sub>
        </m:sSub>
      </m:oMath>
      <w:r w:rsidR="007007ED">
        <w:tab/>
      </w:r>
      <w:r w:rsidR="00C50ECE" w:rsidRPr="00C50ECE">
        <w:t>(1)</w:t>
      </w:r>
    </w:p>
    <w:p w14:paraId="502DE689" w14:textId="643DC59D" w:rsidR="00C50ECE" w:rsidRPr="00C50ECE" w:rsidRDefault="00C50ECE" w:rsidP="00C50ECE">
      <w:r w:rsidRPr="00C50ECE">
        <w:t>Here, the model coefficients (</w:t>
      </w:r>
      <m:oMath>
        <m:sSub>
          <m:sSubPr>
            <m:ctrlPr>
              <w:rPr>
                <w:rFonts w:ascii="Cambria Math" w:hAnsi="Cambria Math"/>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0</m:t>
            </m:r>
          </m:sub>
        </m:sSub>
        <m:r>
          <w:rPr>
            <w:rFonts w:ascii="Cambria Math" w:hAnsi="Cambria Math"/>
          </w:rPr>
          <m:t>,</m:t>
        </m:r>
        <m:r>
          <m:rPr>
            <m:nor/>
          </m:rPr>
          <m:t xml:space="preserve">and </m:t>
        </m:r>
        <m:sSub>
          <m:sSubPr>
            <m:ctrlPr>
              <w:rPr>
                <w:rFonts w:ascii="Cambria Math" w:hAnsi="Cambria Math"/>
              </w:rPr>
            </m:ctrlPr>
          </m:sSubPr>
          <m:e>
            <m:r>
              <w:rPr>
                <w:rFonts w:ascii="Cambria Math" w:hAnsi="Cambria Math"/>
              </w:rPr>
              <m:t>b</m:t>
            </m:r>
          </m:e>
          <m:sub>
            <m:r>
              <w:rPr>
                <w:rFonts w:ascii="Cambria Math" w:hAnsi="Cambria Math"/>
              </w:rPr>
              <m:t>1</m:t>
            </m:r>
          </m:sub>
        </m:sSub>
      </m:oMath>
      <w:r w:rsidRPr="00C50ECE">
        <w:t>) describe how reach performance is influenced by a memory of prior reach errors, and by the current and previous loads, respectively.</w:t>
      </w:r>
    </w:p>
    <w:p w14:paraId="0BF200D8" w14:textId="77777777" w:rsidR="00C50ECE" w:rsidRPr="00C50ECE" w:rsidRDefault="00C50ECE" w:rsidP="2A57D957">
      <w:pPr>
        <w:pStyle w:val="Heading2"/>
        <w:rPr>
          <w:rFonts w:ascii="Calibri" w:eastAsia="Meiryo" w:hAnsi="Calibri" w:cs="Arial"/>
        </w:rPr>
      </w:pPr>
      <w:r>
        <w:t>Statistical hypothesis testing</w:t>
      </w:r>
    </w:p>
    <w:p w14:paraId="5E172799" w14:textId="6AC0D698" w:rsidR="00C50ECE" w:rsidRPr="00C50ECE" w:rsidRDefault="00C50ECE" w:rsidP="00C50ECE">
      <w:r w:rsidRPr="00C50ECE">
        <w:t>This study addressed three questions. First, we asked whether engagement of the explicit memory system during the recall and reporting of recent reach performance would influence sensorimotor adaptation on subsequent reach attempts. To this end, we used one-way repeated measures ANOVA and Dunnett post hoc </w:t>
      </w:r>
      <w:r w:rsidRPr="00C50ECE">
        <w:rPr>
          <w:i/>
          <w:iCs/>
        </w:rPr>
        <w:t>t</w:t>
      </w:r>
      <w:r w:rsidRPr="00C50ECE">
        <w:t> test to compare (relative to the NV-NA control condition) the extent to which interposed self-assessments impact movement kinematics. Second, we asked whether memories of prior performances recalled during self-assessment accurately reflect peak movement extents performed on prior reaches, or whether explicit memories of performance may differ systematically from objective performance. To do so, we used linear regression analyses and planned </w:t>
      </w:r>
      <w:r w:rsidRPr="00C50ECE">
        <w:rPr>
          <w:i/>
          <w:iCs/>
        </w:rPr>
        <w:t>t</w:t>
      </w:r>
      <w:r w:rsidRPr="00C50ECE">
        <w:t> tests to evaluate slope and bias in the relationship between self-assessed and actual movement extents for both the proprioceptive and visual self-assessment conditions. Third, we wished to determine the extent to which information encoded by the explicit memory system contributes to sensorimotor adaptation in able-bodied individuals. We used stepwise regression to fit the {</w:t>
      </w:r>
      <m:oMath>
        <m:r>
          <m:rPr>
            <m:nor/>
          </m:rPr>
          <m:t>ε</m:t>
        </m:r>
        <m:r>
          <w:rPr>
            <w:rFonts w:ascii="Cambria Math" w:hAnsi="Cambria Math"/>
          </w:rPr>
          <m:t>,k,e,</m:t>
        </m:r>
        <m:limUpp>
          <m:limUppPr>
            <m:ctrlPr>
              <w:rPr>
                <w:rFonts w:ascii="Cambria Math" w:hAnsi="Cambria Math"/>
              </w:rPr>
            </m:ctrlPr>
          </m:limUppPr>
          <m:e>
            <m:r>
              <w:rPr>
                <w:rFonts w:ascii="Cambria Math" w:hAnsi="Cambria Math"/>
              </w:rPr>
              <m:t>e</m:t>
            </m:r>
          </m:e>
          <m:lim>
            <m:r>
              <w:rPr>
                <w:rFonts w:ascii="Cambria Math" w:hAnsi="Cambria Math"/>
              </w:rPr>
              <m:t>^</m:t>
            </m:r>
          </m:lim>
        </m:limUpp>
      </m:oMath>
      <w:r w:rsidRPr="00C50ECE">
        <w:t>} datasets in the NV-PA and NV-VA blocks to determine whether the additional information about explicit memories </w:t>
      </w:r>
      <m:oMath>
        <m:limUpp>
          <m:limUppPr>
            <m:ctrlPr>
              <w:rPr>
                <w:rFonts w:ascii="Cambria Math" w:hAnsi="Cambria Math"/>
              </w:rPr>
            </m:ctrlPr>
          </m:limUppPr>
          <m:e>
            <m:r>
              <w:rPr>
                <w:rFonts w:ascii="Cambria Math" w:hAnsi="Cambria Math"/>
              </w:rPr>
              <m:t>e</m:t>
            </m:r>
          </m:e>
          <m:lim>
            <m:r>
              <w:rPr>
                <w:rFonts w:ascii="Cambria Math" w:hAnsi="Cambria Math"/>
              </w:rPr>
              <m:t>^</m:t>
            </m:r>
          </m:lim>
        </m:limUpp>
      </m:oMath>
      <w:r w:rsidRPr="00C50ECE">
        <w:t> provided by visual and/or proprioceptive self-assessment would contribute meaningfully to reach performance on subsequent reaches. All data processing and model fitting were done in MATLAB 2019a (The MathWorks, Natick, Massachusetts). All statistical analyses were conducted using the SPSS statistics software package (IBM corp. Armonk, New York). Statistical significance was set at a family-wise error rate of </w:t>
      </w:r>
      <m:oMath>
        <m:r>
          <w:rPr>
            <w:rFonts w:ascii="Cambria Math" w:hAnsi="Cambria Math"/>
          </w:rPr>
          <m:t>α=0.05</m:t>
        </m:r>
      </m:oMath>
      <w:r w:rsidRPr="00C50ECE">
        <w:t>.</w:t>
      </w:r>
    </w:p>
    <w:p w14:paraId="3956FD36" w14:textId="77777777" w:rsidR="00C50ECE" w:rsidRPr="00C50ECE" w:rsidRDefault="00C50ECE" w:rsidP="2A57D957">
      <w:pPr>
        <w:pStyle w:val="Heading1"/>
        <w:rPr>
          <w:rFonts w:ascii="Calibri" w:eastAsia="Meiryo" w:hAnsi="Calibri" w:cs="Arial"/>
        </w:rPr>
      </w:pPr>
      <w:r>
        <w:t>Results</w:t>
      </w:r>
    </w:p>
    <w:p w14:paraId="593CD848" w14:textId="22FC7395" w:rsidR="00C50ECE" w:rsidRPr="00C50ECE" w:rsidRDefault="00C50ECE" w:rsidP="00C50ECE">
      <w:r>
        <w:t>All subjects completed all four blocks of trials. All subjects were attentive in the sense that they remained vigilant throughout the experiment and performed the experimental tasks as instructed by the investigator. Hand trajectories had similar kinematics across all four blocks, as shown in Fig. </w:t>
      </w:r>
      <w:r w:rsidRPr="00BF7C68">
        <w:t>2</w:t>
      </w:r>
      <w:r>
        <w:t> for a selected subject. As instructed, the subject reached briskly out-and-back to the approximate location of the remembered target. The subject did not pause at the time of peak movement extent, which averaged 239 ± 14 ms across all conditions and did not exceed 322 ms from the moment of movement onset in any trial. Reach error for this subject averaged 2.46 ± 1.47 cm across all conditions. Performance varied trial-by-trial because the robot rendered mechanical loads that varied trial-by-trial. Velocity profiles were bi-phasic and acceleration profiles were consistent with ballistic reaching (i.e., without evidence of mid-reach corrections). Thus, adjustments to motor plans predominantly occurred between trials rather than during them, supporting use of the event series adaptation model of Eq. </w:t>
      </w:r>
      <w:r w:rsidRPr="00BF7C68">
        <w:t>1</w:t>
      </w:r>
      <w:r>
        <w:t>. Note also that reach accuracy, precision, and timing substantially overlapped across all four experimental conditions, suggesting that any potential differences in adaptation model parameters did not result from conspicuous differences in the way this participant performed the reach task across testing conditions. The subject’s performance shown in Fig. </w:t>
      </w:r>
      <w:r w:rsidRPr="00BF7C68">
        <w:t>2</w:t>
      </w:r>
      <w:r>
        <w:t> was typical of the study cohort.</w:t>
      </w:r>
    </w:p>
    <w:p w14:paraId="001E466E" w14:textId="77777777" w:rsidR="00466DC3" w:rsidRDefault="00C50ECE" w:rsidP="00466DC3">
      <w:pPr>
        <w:pStyle w:val="NoSpacing"/>
      </w:pPr>
      <w:r>
        <w:rPr>
          <w:noProof/>
        </w:rPr>
        <w:drawing>
          <wp:inline distT="0" distB="0" distL="0" distR="0" wp14:anchorId="28AC7D30" wp14:editId="30B88D6E">
            <wp:extent cx="3657600" cy="2916936"/>
            <wp:effectExtent l="0" t="0" r="0" b="0"/>
            <wp:docPr id="5" name="Picture 5"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a:extLst>
                        <a:ext uri="{28A0092B-C50C-407E-A947-70E740481C1C}">
                          <a14:useLocalDpi xmlns:a14="http://schemas.microsoft.com/office/drawing/2010/main" val="0"/>
                        </a:ext>
                      </a:extLst>
                    </a:blip>
                    <a:stretch>
                      <a:fillRect/>
                    </a:stretch>
                  </pic:blipFill>
                  <pic:spPr>
                    <a:xfrm>
                      <a:off x="0" y="0"/>
                      <a:ext cx="3657600" cy="2916936"/>
                    </a:xfrm>
                    <a:prstGeom prst="rect">
                      <a:avLst/>
                    </a:prstGeom>
                  </pic:spPr>
                </pic:pic>
              </a:graphicData>
            </a:graphic>
          </wp:inline>
        </w:drawing>
      </w:r>
      <w:r w:rsidR="00466DC3" w:rsidRPr="00466DC3">
        <w:t xml:space="preserve"> </w:t>
      </w:r>
    </w:p>
    <w:p w14:paraId="49D2D201" w14:textId="3316789F" w:rsidR="00C50ECE" w:rsidRPr="00C50ECE" w:rsidRDefault="00466DC3" w:rsidP="00466DC3">
      <w:pPr>
        <w:pStyle w:val="NoSpacing"/>
      </w:pPr>
      <w:r w:rsidRPr="00C50ECE">
        <w:t>Fig. 2</w:t>
      </w:r>
      <w:r>
        <w:t xml:space="preserve"> </w:t>
      </w:r>
      <w:r w:rsidR="00C50ECE">
        <w:t>Overlaid reach trajectories in all conditions for a selected subject; each column corresponds to a single test condition. NV-NA: no vision, no assessment control condition; NV-PA: no vision, proprioceptive assessment; NV-VA: no vision, visual assessment; V-NA: concurrent vision, no assessment contrast condition. Top: displacement vs. time. The dashed horizontal line at 10 cm represents the target location. Middle: hand velocity. Bottom: hand acceleration. Thin gray lines: individual trials. Bolded lines: the average of all trials</w:t>
      </w:r>
    </w:p>
    <w:p w14:paraId="37CF5584" w14:textId="2E530BC8" w:rsidR="00C50ECE" w:rsidRPr="00C50ECE" w:rsidRDefault="00C50ECE" w:rsidP="2A57D957">
      <w:pPr>
        <w:rPr>
          <w:b/>
          <w:bCs/>
        </w:rPr>
      </w:pPr>
    </w:p>
    <w:p w14:paraId="28108B09" w14:textId="37DC431D" w:rsidR="00C50ECE" w:rsidRPr="00C50ECE" w:rsidRDefault="00C50ECE" w:rsidP="00C50ECE">
      <w:r w:rsidRPr="00C50ECE">
        <w:t>Within the study cohort, movement times averaged 256 ms across conditions, with an average standard deviation of 21 ms. Movement timing overlapped to a large extent across the four experimental blocks. The across-subject average </w:t>
      </w:r>
      <w:r w:rsidRPr="00C50ECE">
        <w:rPr>
          <w:i/>
          <w:iCs/>
        </w:rPr>
        <w:t>range</w:t>
      </w:r>
      <w:r w:rsidRPr="00C50ECE">
        <w:t> of durations </w:t>
      </w:r>
      <w:r w:rsidRPr="00C50ECE">
        <w:rPr>
          <w:i/>
          <w:iCs/>
        </w:rPr>
        <w:t>within</w:t>
      </w:r>
      <w:r w:rsidRPr="00C50ECE">
        <w:t> each of the four conditions was greater than 75 ± 28 ms (V-NA) but less than 106 ± 39 ms (NV-PA). By contrast, the difference in average movement durations averaged 45 ± 26 ms </w:t>
      </w:r>
      <w:r w:rsidRPr="00C50ECE">
        <w:rPr>
          <w:i/>
          <w:iCs/>
        </w:rPr>
        <w:t>across</w:t>
      </w:r>
      <w:r w:rsidRPr="00C50ECE">
        <w:t> conditions, a fraction of the range of movement times within each block of trials. Within the cohort, reach errors averaged 2.49 cm across conditions, with an average standard deviation of 1.92 cm. We observed small but systematic differences in the extent of hand displacement at target capture dependent on the presence or absence of concurrent feedback of cursor motion (Fig. </w:t>
      </w:r>
      <w:r w:rsidRPr="00BF7C68">
        <w:t>2</w:t>
      </w:r>
      <w:r w:rsidRPr="00C50ECE">
        <w:t>A; V-NA compared to other conditions). The across-subject average </w:t>
      </w:r>
      <w:r w:rsidRPr="00C50ECE">
        <w:rPr>
          <w:i/>
          <w:iCs/>
        </w:rPr>
        <w:t>range</w:t>
      </w:r>
      <w:r w:rsidRPr="00C50ECE">
        <w:t> of movement extents within each of the four conditions was greater than 5.2 ± 0.8 cm (V-NA) but less than 8.1 ± 3.4 cm (NV-PA). Large ranges are to be expected because the robot changes its resistance to movement from one trial to the next. By contrast, the </w:t>
      </w:r>
      <w:r w:rsidRPr="00C50ECE">
        <w:rPr>
          <w:i/>
          <w:iCs/>
        </w:rPr>
        <w:t>across</w:t>
      </w:r>
      <w:r w:rsidRPr="00C50ECE">
        <w:t> condition difference in average movement extent did not exceed 3.4 cm for any subject, again a fraction of the range within each block of trials. Thus, movement kinematics were consistent in the sense that movement durations and extents both overlapped substantially across the four conditions.</w:t>
      </w:r>
    </w:p>
    <w:p w14:paraId="1DB2A932" w14:textId="77777777" w:rsidR="00C50ECE" w:rsidRPr="00C50ECE" w:rsidRDefault="00C50ECE" w:rsidP="2A57D957">
      <w:pPr>
        <w:pStyle w:val="Heading2"/>
        <w:rPr>
          <w:rFonts w:ascii="Calibri" w:eastAsia="Meiryo" w:hAnsi="Calibri" w:cs="Arial"/>
        </w:rPr>
      </w:pPr>
      <w:r>
        <w:t>Impact of vision and self-assessment on sensorimotor adaptation—movement kinematics</w:t>
      </w:r>
    </w:p>
    <w:p w14:paraId="6A119D3B" w14:textId="5464F071" w:rsidR="00C50ECE" w:rsidRPr="00C50ECE" w:rsidRDefault="00C50ECE" w:rsidP="00C50ECE">
      <w:r>
        <w:t>We observed no interference between the reach and self-assessment tasks with regards to reach performance. One-way repeated measures ANOVA found a main effect of testing condition on the mean reach error at peak movement extent [</w:t>
      </w:r>
      <w:r w:rsidRPr="2A57D957">
        <w:rPr>
          <w:i/>
          <w:iCs/>
        </w:rPr>
        <w:t>F</w:t>
      </w:r>
      <w:r w:rsidRPr="2A57D957">
        <w:rPr>
          <w:vertAlign w:val="subscript"/>
        </w:rPr>
        <w:t>(3,57)</w:t>
      </w:r>
      <w:r>
        <w:t> = 19.04, </w:t>
      </w:r>
      <w:r w:rsidRPr="2A57D957">
        <w:rPr>
          <w:i/>
          <w:iCs/>
        </w:rPr>
        <w:t>p</w:t>
      </w:r>
      <w:r>
        <w:t> &lt; 0.0005; Fig. </w:t>
      </w:r>
      <w:r w:rsidRPr="00BF7C68">
        <w:t>3</w:t>
      </w:r>
      <w:r>
        <w:t>A] and on the variability of reach extent [</w:t>
      </w:r>
      <w:r w:rsidRPr="2A57D957">
        <w:rPr>
          <w:i/>
          <w:iCs/>
        </w:rPr>
        <w:t>F</w:t>
      </w:r>
      <w:r w:rsidRPr="2A57D957">
        <w:rPr>
          <w:vertAlign w:val="subscript"/>
        </w:rPr>
        <w:t>(3,57)</w:t>
      </w:r>
      <w:r>
        <w:t> = 10.50, </w:t>
      </w:r>
      <w:r w:rsidRPr="2A57D957">
        <w:rPr>
          <w:i/>
          <w:iCs/>
        </w:rPr>
        <w:t>p</w:t>
      </w:r>
      <w:r>
        <w:t> &lt; 0.0005; Fig. </w:t>
      </w:r>
      <w:r w:rsidRPr="00BF7C68">
        <w:t>3</w:t>
      </w:r>
      <w:r>
        <w:t>B]. These effects were due predominantly to the presence of visual feedback of cursor motion during reaching; Dunnett’s post hoc </w:t>
      </w:r>
      <w:r w:rsidRPr="2A57D957">
        <w:rPr>
          <w:i/>
          <w:iCs/>
        </w:rPr>
        <w:t>t</w:t>
      </w:r>
      <w:r>
        <w:t>-tests confirmed that movements in the V-NA contrast condition were more accurate (</w:t>
      </w:r>
      <w:r w:rsidRPr="2A57D957">
        <w:rPr>
          <w:i/>
          <w:iCs/>
        </w:rPr>
        <w:t>T</w:t>
      </w:r>
      <w:r w:rsidRPr="2A57D957">
        <w:rPr>
          <w:vertAlign w:val="subscript"/>
        </w:rPr>
        <w:t>19</w:t>
      </w:r>
      <w:r>
        <w:t> = 5.51; </w:t>
      </w:r>
      <w:r w:rsidRPr="2A57D957">
        <w:rPr>
          <w:i/>
          <w:iCs/>
        </w:rPr>
        <w:t>p</w:t>
      </w:r>
      <w:r>
        <w:t> &lt; 0.0005) and less variable (</w:t>
      </w:r>
      <w:r w:rsidRPr="2A57D957">
        <w:rPr>
          <w:i/>
          <w:iCs/>
        </w:rPr>
        <w:t>T</w:t>
      </w:r>
      <w:r w:rsidRPr="2A57D957">
        <w:rPr>
          <w:vertAlign w:val="subscript"/>
        </w:rPr>
        <w:t>19</w:t>
      </w:r>
      <w:r>
        <w:t> = 3.73; </w:t>
      </w:r>
      <w:r w:rsidRPr="2A57D957">
        <w:rPr>
          <w:i/>
          <w:iCs/>
        </w:rPr>
        <w:t>p</w:t>
      </w:r>
      <w:r>
        <w:t> = 0.001) than those in the NV-NA control condition. By contrast, reach accuracy and precision in the two self-assessment blocks did not differ systematically from those in the NV-NA control condition (</w:t>
      </w:r>
      <w:r w:rsidRPr="2A57D957">
        <w:rPr>
          <w:i/>
          <w:iCs/>
        </w:rPr>
        <w:t>T</w:t>
      </w:r>
      <w:r w:rsidRPr="2A57D957">
        <w:rPr>
          <w:vertAlign w:val="subscript"/>
        </w:rPr>
        <w:t>19</w:t>
      </w:r>
      <w:r>
        <w:t> &lt; 1.42 and </w:t>
      </w:r>
      <w:r w:rsidRPr="2A57D957">
        <w:rPr>
          <w:i/>
          <w:iCs/>
        </w:rPr>
        <w:t>p</w:t>
      </w:r>
      <w:r>
        <w:t> &gt; 0.05 in all cases). Thus, providing a visual representation of the moving hand improved reach accuracy and precision relative to the NV-NA control condition, but interposing self-assessments between reaches neither improved nor degraded these performance measures.</w:t>
      </w:r>
    </w:p>
    <w:p w14:paraId="1A6B4E05" w14:textId="31047CD3" w:rsidR="00C50ECE" w:rsidRPr="00C50ECE" w:rsidRDefault="00C50ECE" w:rsidP="00614CDE">
      <w:pPr>
        <w:pStyle w:val="NoSpacing"/>
      </w:pPr>
      <w:r w:rsidRPr="00C50ECE">
        <w:rPr>
          <w:noProof/>
        </w:rPr>
        <w:drawing>
          <wp:inline distT="0" distB="0" distL="0" distR="0" wp14:anchorId="7C4B56FA" wp14:editId="740A7463">
            <wp:extent cx="3300984" cy="5486400"/>
            <wp:effectExtent l="0" t="0" r="0" b="0"/>
            <wp:docPr id="4" name="Picture 4"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0984" cy="5486400"/>
                    </a:xfrm>
                    <a:prstGeom prst="rect">
                      <a:avLst/>
                    </a:prstGeom>
                    <a:noFill/>
                    <a:ln>
                      <a:noFill/>
                    </a:ln>
                  </pic:spPr>
                </pic:pic>
              </a:graphicData>
            </a:graphic>
          </wp:inline>
        </w:drawing>
      </w:r>
    </w:p>
    <w:p w14:paraId="219CDEA6" w14:textId="61BA8AC8" w:rsidR="00C50ECE" w:rsidRPr="00C50ECE" w:rsidRDefault="00614CDE" w:rsidP="00614CDE">
      <w:pPr>
        <w:pStyle w:val="NoSpacing"/>
      </w:pPr>
      <w:r w:rsidRPr="00C50ECE">
        <w:rPr>
          <w:b/>
          <w:bCs/>
        </w:rPr>
        <w:t>Fig. 3</w:t>
      </w:r>
      <w:r>
        <w:t xml:space="preserve"> </w:t>
      </w:r>
      <w:r w:rsidR="00C50ECE" w:rsidRPr="00C50ECE">
        <w:t>Average reach performance across the study cohort for all the measured conditions: </w:t>
      </w:r>
      <w:r w:rsidR="00C50ECE" w:rsidRPr="00C50ECE">
        <w:rPr>
          <w:b/>
          <w:bCs/>
        </w:rPr>
        <w:t>A</w:t>
      </w:r>
      <w:r w:rsidR="00C50ECE" w:rsidRPr="00C50ECE">
        <w:t> mean reach error at peak movement extent. </w:t>
      </w:r>
      <w:r w:rsidR="00C50ECE" w:rsidRPr="00C50ECE">
        <w:rPr>
          <w:b/>
          <w:bCs/>
        </w:rPr>
        <w:t>B</w:t>
      </w:r>
      <w:r w:rsidR="00C50ECE" w:rsidRPr="00C50ECE">
        <w:t> Mean variability of reach at peak movement extent. Error bars: 1 standard error of the mean (SEM). Condition labels as for Fig. </w:t>
      </w:r>
      <w:r w:rsidR="00C50ECE" w:rsidRPr="00BF7C68">
        <w:t>2</w:t>
      </w:r>
      <w:r w:rsidR="00C50ECE" w:rsidRPr="00C50ECE">
        <w:t>. Testing conditions that differed systematically from the NV-NA control condition are indicated by an asterisk (</w:t>
      </w:r>
      <w:r w:rsidR="00C50ECE" w:rsidRPr="00C50ECE">
        <w:rPr>
          <w:i/>
          <w:iCs/>
        </w:rPr>
        <w:t>p</w:t>
      </w:r>
      <w:r w:rsidR="00C50ECE" w:rsidRPr="00C50ECE">
        <w:t> &lt; 0.05)</w:t>
      </w:r>
    </w:p>
    <w:p w14:paraId="1A164F10" w14:textId="3AE68EAA" w:rsidR="00C50ECE" w:rsidRPr="00C50ECE" w:rsidRDefault="00C50ECE" w:rsidP="2A57D957">
      <w:pPr>
        <w:rPr>
          <w:b/>
          <w:bCs/>
        </w:rPr>
      </w:pPr>
    </w:p>
    <w:p w14:paraId="64E3DA99" w14:textId="77777777" w:rsidR="00C50ECE" w:rsidRPr="00C50ECE" w:rsidRDefault="00C50ECE" w:rsidP="2A57D957">
      <w:pPr>
        <w:pStyle w:val="Heading2"/>
        <w:rPr>
          <w:rFonts w:ascii="Calibri" w:eastAsia="Meiryo" w:hAnsi="Calibri" w:cs="Arial"/>
        </w:rPr>
      </w:pPr>
      <w:r>
        <w:t>Fidelity of self-assessment</w:t>
      </w:r>
    </w:p>
    <w:p w14:paraId="14460BDB" w14:textId="1A8E4883" w:rsidR="00C50ECE" w:rsidRPr="00C50ECE" w:rsidRDefault="00C50ECE" w:rsidP="00C50ECE">
      <w:r>
        <w:t>To determine the extent to which memories recalled during the self-assessment tasks accurately reflected peak movement extents, we regressed the assessed movement extents (</w:t>
      </w:r>
      <m:oMath>
        <m:limUpp>
          <m:limUppPr>
            <m:ctrlPr>
              <w:rPr>
                <w:rFonts w:ascii="Cambria Math" w:hAnsi="Cambria Math"/>
              </w:rPr>
            </m:ctrlPr>
          </m:limUppPr>
          <m:e>
            <m:r>
              <m:rPr>
                <m:nor/>
              </m:rPr>
              <m:t>ε</m:t>
            </m:r>
          </m:e>
          <m:lim>
            <m:r>
              <w:rPr>
                <w:rFonts w:ascii="Cambria Math" w:hAnsi="Cambria Math"/>
              </w:rPr>
              <m:t>^</m:t>
            </m:r>
          </m:lim>
        </m:limUpp>
      </m:oMath>
      <w:r>
        <w:t>) upon the actual movement extents (</w:t>
      </w:r>
      <m:oMath>
        <m:r>
          <w:rPr>
            <w:rFonts w:ascii="Cambria Math" w:hAnsi="Cambria Math"/>
          </w:rPr>
          <m:t>ε</m:t>
        </m:r>
      </m:oMath>
      <w:r>
        <w:t>) for both the proprioceptive and visual self-assessment conditions (Fig. </w:t>
      </w:r>
      <w:r w:rsidRPr="00BF7C68">
        <w:t>4</w:t>
      </w:r>
      <w:r>
        <w:t>A, B, respectively). In both cases, best-fit lines to the individual subject datasets reveal significant underestimation of assessed movement extents, as well as compression of the assessed range of extents relative to the actual range of movement extents. These individual results were characteristic of the cohort data. To assess the magnitude of bias between self-assessed and actual movement extents, we used two-sided, one-sample </w:t>
      </w:r>
      <w:r w:rsidRPr="2A57D957">
        <w:rPr>
          <w:i/>
          <w:iCs/>
        </w:rPr>
        <w:t>t</w:t>
      </w:r>
      <w:r>
        <w:t> test to compare the y intercepts of the best fit lines from the individual subject data to a value of zero. In both self-assessment conditions, the subjects’ reported movement extents significantly underestimated the actual reach extents (PA: </w:t>
      </w:r>
      <w:r w:rsidRPr="2A57D957">
        <w:rPr>
          <w:i/>
          <w:iCs/>
        </w:rPr>
        <w:t>t</w:t>
      </w:r>
      <w:r w:rsidRPr="2A57D957">
        <w:rPr>
          <w:vertAlign w:val="subscript"/>
        </w:rPr>
        <w:t>19</w:t>
      </w:r>
      <w:r>
        <w:t> = 2.65; </w:t>
      </w:r>
      <w:r w:rsidRPr="2A57D957">
        <w:rPr>
          <w:i/>
          <w:iCs/>
        </w:rPr>
        <w:t>p</w:t>
      </w:r>
      <w:r>
        <w:t> = 0.016; VA: </w:t>
      </w:r>
      <w:r w:rsidRPr="2A57D957">
        <w:rPr>
          <w:i/>
          <w:iCs/>
        </w:rPr>
        <w:t>t</w:t>
      </w:r>
      <w:r w:rsidRPr="2A57D957">
        <w:rPr>
          <w:vertAlign w:val="subscript"/>
        </w:rPr>
        <w:t>19</w:t>
      </w:r>
      <w:r>
        <w:t> = 3.84; </w:t>
      </w:r>
      <w:r w:rsidRPr="2A57D957">
        <w:rPr>
          <w:i/>
          <w:iCs/>
        </w:rPr>
        <w:t>p</w:t>
      </w:r>
      <w:r>
        <w:t> = 0.001). To assess differences in the range of self-assessed and actual movement extents, we used two-sided, one-sample </w:t>
      </w:r>
      <w:r w:rsidRPr="2A57D957">
        <w:rPr>
          <w:i/>
          <w:iCs/>
        </w:rPr>
        <w:t>t</w:t>
      </w:r>
      <w:r>
        <w:t> test to compare (to a value of 1) the slopes of the best fit lines from the individual subject data. We found that the slope was significantly less than unity for both self-assessment conditions (PA: </w:t>
      </w:r>
      <w:r w:rsidRPr="2A57D957">
        <w:rPr>
          <w:i/>
          <w:iCs/>
        </w:rPr>
        <w:t>t</w:t>
      </w:r>
      <w:r w:rsidRPr="2A57D957">
        <w:rPr>
          <w:vertAlign w:val="subscript"/>
        </w:rPr>
        <w:t>19</w:t>
      </w:r>
      <w:r>
        <w:t> = 5.30; </w:t>
      </w:r>
      <w:r w:rsidRPr="2A57D957">
        <w:rPr>
          <w:i/>
          <w:iCs/>
        </w:rPr>
        <w:t>p</w:t>
      </w:r>
      <w:r>
        <w:t> &lt; 0.0005; VA: </w:t>
      </w:r>
      <w:r w:rsidRPr="2A57D957">
        <w:rPr>
          <w:i/>
          <w:iCs/>
        </w:rPr>
        <w:t>t</w:t>
      </w:r>
      <w:r w:rsidRPr="2A57D957">
        <w:rPr>
          <w:vertAlign w:val="subscript"/>
        </w:rPr>
        <w:t>19</w:t>
      </w:r>
      <w:r>
        <w:t> = 9.26; </w:t>
      </w:r>
      <w:r w:rsidRPr="2A57D957">
        <w:rPr>
          <w:i/>
          <w:iCs/>
        </w:rPr>
        <w:t>p</w:t>
      </w:r>
      <w:r>
        <w:t> &lt; 0.0005).</w:t>
      </w:r>
    </w:p>
    <w:p w14:paraId="1527DFC7" w14:textId="244F27F7" w:rsidR="00C50ECE" w:rsidRPr="00C50ECE" w:rsidRDefault="00C50ECE" w:rsidP="0051708D">
      <w:pPr>
        <w:pStyle w:val="NoSpacing"/>
      </w:pPr>
      <w:r w:rsidRPr="00C50ECE">
        <w:rPr>
          <w:noProof/>
        </w:rPr>
        <w:drawing>
          <wp:inline distT="0" distB="0" distL="0" distR="0" wp14:anchorId="7154AC07" wp14:editId="2C6184BE">
            <wp:extent cx="2112264" cy="5486400"/>
            <wp:effectExtent l="0" t="0" r="2540" b="0"/>
            <wp:docPr id="3" name="Picture 3"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12264" cy="5486400"/>
                    </a:xfrm>
                    <a:prstGeom prst="rect">
                      <a:avLst/>
                    </a:prstGeom>
                    <a:noFill/>
                    <a:ln>
                      <a:noFill/>
                    </a:ln>
                  </pic:spPr>
                </pic:pic>
              </a:graphicData>
            </a:graphic>
          </wp:inline>
        </w:drawing>
      </w:r>
    </w:p>
    <w:p w14:paraId="35C08C97" w14:textId="52B60819" w:rsidR="00C50ECE" w:rsidRPr="00C50ECE" w:rsidRDefault="0051708D" w:rsidP="0051708D">
      <w:pPr>
        <w:pStyle w:val="NoSpacing"/>
      </w:pPr>
      <w:r w:rsidRPr="00C50ECE">
        <w:rPr>
          <w:b/>
          <w:bCs/>
        </w:rPr>
        <w:t>Fig. 4</w:t>
      </w:r>
      <w:r>
        <w:t xml:space="preserve"> </w:t>
      </w:r>
      <w:r w:rsidR="00C50ECE" w:rsidRPr="00C50ECE">
        <w:t>Comparison of the 100 post-reach, self-reported movement extents to the actual movement extents in the </w:t>
      </w:r>
      <w:r w:rsidR="00C50ECE" w:rsidRPr="00C50ECE">
        <w:rPr>
          <w:b/>
          <w:bCs/>
        </w:rPr>
        <w:t>A</w:t>
      </w:r>
      <w:r w:rsidR="00C50ECE" w:rsidRPr="00C50ECE">
        <w:t> NV-PA and </w:t>
      </w:r>
      <w:r w:rsidR="00C50ECE" w:rsidRPr="00C50ECE">
        <w:rPr>
          <w:b/>
          <w:bCs/>
        </w:rPr>
        <w:t>B</w:t>
      </w:r>
      <w:r w:rsidR="00C50ECE" w:rsidRPr="00C50ECE">
        <w:t> NV-VA trial blocks for a selected subject. The thick solid line is the line of best fit to the data. A dashed line with unity slope is shown as a guide. </w:t>
      </w:r>
      <w:r w:rsidR="00C50ECE" w:rsidRPr="00C50ECE">
        <w:rPr>
          <w:b/>
          <w:bCs/>
        </w:rPr>
        <w:t>C</w:t>
      </w:r>
      <w:r w:rsidR="00C50ECE" w:rsidRPr="00C50ECE">
        <w:t> Cohort results: slope of the relationship between self-assessed and actual reach extents in the two self-assessment trial blocks: White bars: results from the NV-PA condition; Grey bars: results from the NV-VA condition. Here, asterisks (*) indicate conditions wherein the population statistics differed significantly from unity slope (</w:t>
      </w:r>
      <w:r w:rsidR="00C50ECE" w:rsidRPr="00C50ECE">
        <w:rPr>
          <w:i/>
          <w:iCs/>
        </w:rPr>
        <w:t>p</w:t>
      </w:r>
      <w:r w:rsidR="00C50ECE" w:rsidRPr="00C50ECE">
        <w:t> &lt; 0.05). </w:t>
      </w:r>
      <w:r w:rsidR="00C50ECE" w:rsidRPr="00C50ECE">
        <w:rPr>
          <w:b/>
          <w:bCs/>
        </w:rPr>
        <w:t>D</w:t>
      </w:r>
      <w:r w:rsidR="00C50ECE" w:rsidRPr="00C50ECE">
        <w:t> Cohort results for mean offset in the relationship between self-assessed and actual reach extents in the two self-assessment blocks. Here, hash signs (#) indicate conditions wherein the population statistics differed significantly from an offset of 0 (</w:t>
      </w:r>
      <w:r w:rsidR="00C50ECE" w:rsidRPr="00C50ECE">
        <w:rPr>
          <w:i/>
          <w:iCs/>
        </w:rPr>
        <w:t>p</w:t>
      </w:r>
      <w:r w:rsidR="00C50ECE" w:rsidRPr="00C50ECE">
        <w:t> &lt; 0.05)</w:t>
      </w:r>
    </w:p>
    <w:p w14:paraId="36DE58A5" w14:textId="7F36E0CC" w:rsidR="00C50ECE" w:rsidRPr="00C50ECE" w:rsidRDefault="00C50ECE" w:rsidP="2A57D957">
      <w:pPr>
        <w:rPr>
          <w:b/>
          <w:bCs/>
        </w:rPr>
      </w:pPr>
    </w:p>
    <w:p w14:paraId="0AFB78FA" w14:textId="77777777" w:rsidR="00C50ECE" w:rsidRPr="00C50ECE" w:rsidRDefault="00C50ECE" w:rsidP="00C50ECE">
      <w:r w:rsidRPr="00C50ECE">
        <w:t>To evaluate whether self-assessments of hand movement extent depended on the reporting mode (PA or VA), we compared the extent to which bias and slope values differed across the two self-assessment conditions. While paired </w:t>
      </w:r>
      <w:r w:rsidRPr="00C50ECE">
        <w:rPr>
          <w:i/>
          <w:iCs/>
        </w:rPr>
        <w:t>t</w:t>
      </w:r>
      <w:r w:rsidRPr="00C50ECE">
        <w:t> test found no significant difference in bias between the two self-assessment blocks (</w:t>
      </w:r>
      <w:r w:rsidRPr="00C50ECE">
        <w:rPr>
          <w:i/>
          <w:iCs/>
        </w:rPr>
        <w:t>t</w:t>
      </w:r>
      <w:r w:rsidRPr="00C50ECE">
        <w:rPr>
          <w:vertAlign w:val="subscript"/>
        </w:rPr>
        <w:t>19</w:t>
      </w:r>
      <w:r w:rsidRPr="00C50ECE">
        <w:t> = 0.81; </w:t>
      </w:r>
      <w:r w:rsidRPr="00C50ECE">
        <w:rPr>
          <w:i/>
          <w:iCs/>
        </w:rPr>
        <w:t>p</w:t>
      </w:r>
      <w:r w:rsidRPr="00C50ECE">
        <w:t> &lt; 0.430), the slope value in the PA block (0.64 ± 0.30) was significantly greater (and closer to the ideal value of 1.0) than slope values in the VA block (0.37 ± 0.29) (paired </w:t>
      </w:r>
      <w:r w:rsidRPr="00C50ECE">
        <w:rPr>
          <w:i/>
          <w:iCs/>
        </w:rPr>
        <w:t>t</w:t>
      </w:r>
      <w:r w:rsidRPr="00C50ECE">
        <w:t> test: </w:t>
      </w:r>
      <w:r w:rsidRPr="00C50ECE">
        <w:rPr>
          <w:i/>
          <w:iCs/>
        </w:rPr>
        <w:t>t</w:t>
      </w:r>
      <w:r w:rsidRPr="00C50ECE">
        <w:rPr>
          <w:vertAlign w:val="subscript"/>
        </w:rPr>
        <w:t>19</w:t>
      </w:r>
      <w:r w:rsidRPr="00C50ECE">
        <w:t> = 4.27; </w:t>
      </w:r>
      <w:r w:rsidRPr="00C50ECE">
        <w:rPr>
          <w:i/>
          <w:iCs/>
        </w:rPr>
        <w:t>p</w:t>
      </w:r>
      <w:r w:rsidRPr="00C50ECE">
        <w:t> &lt; 0.0005). Thus, the two modes of self-assessment differed from each other, with proprioceptive assessments (the within-modality reporting condition) yielding more accurate but nevertheless biased representations of actual movement extents than visual assessments (the cross-modality reporting condition).</w:t>
      </w:r>
    </w:p>
    <w:p w14:paraId="6C5CC9C9" w14:textId="77777777" w:rsidR="00C50ECE" w:rsidRPr="00C50ECE" w:rsidRDefault="00C50ECE" w:rsidP="00C50ECE">
      <w:r w:rsidRPr="00C50ECE">
        <w:t>Taken together, these results demonstrate that across our study cohort, declarative memories of the most recent movement extents differed systematically from the actual movement extents in both bias and range. Because explicit memories of prior performance differ from what actually happened, we next consider the possibility that these explicit memories contain unique information that influence how people adapt to perturbations of movement extent during goal-directed reaching.</w:t>
      </w:r>
    </w:p>
    <w:p w14:paraId="3EB62259" w14:textId="77777777" w:rsidR="00C50ECE" w:rsidRPr="00C50ECE" w:rsidRDefault="00C50ECE" w:rsidP="2A57D957">
      <w:pPr>
        <w:pStyle w:val="Heading2"/>
        <w:rPr>
          <w:rFonts w:ascii="Calibri" w:eastAsia="Meiryo" w:hAnsi="Calibri" w:cs="Arial"/>
        </w:rPr>
      </w:pPr>
      <w:r>
        <w:t>Contribution of implicit and explicit memories to sensorimotor adaptation of reach extent</w:t>
      </w:r>
    </w:p>
    <w:p w14:paraId="6C5093C2" w14:textId="7EB6A672" w:rsidR="00C50ECE" w:rsidRPr="00C50ECE" w:rsidRDefault="00C50ECE" w:rsidP="00C50ECE">
      <w:r>
        <w:t>To evaluate the extent to which implicit and explicit memories of recent reach performance contribute to sensorimotor adaptation of reach extent, we used a pair of stepwise linear regression analyses to fit a family of linear adaptation models to the series of reach errors (</w:t>
      </w:r>
      <m:oMath>
        <m:sSub>
          <m:sSubPr>
            <m:ctrlPr>
              <w:rPr>
                <w:rFonts w:ascii="Cambria Math" w:hAnsi="Cambria Math"/>
              </w:rPr>
            </m:ctrlPr>
          </m:sSubPr>
          <m:e>
            <m:r>
              <m:rPr>
                <m:nor/>
              </m:rPr>
              <m:t>ε</m:t>
            </m:r>
          </m:e>
          <m:sub>
            <m:r>
              <w:rPr>
                <w:rFonts w:ascii="Cambria Math" w:hAnsi="Cambria Math"/>
              </w:rPr>
              <m:t>i</m:t>
            </m:r>
          </m:sub>
        </m:sSub>
      </m:oMath>
      <w:r>
        <w:t>) within each self-assessment block of trials. These models included input terms that contain information about the original load sequence </w:t>
      </w:r>
      <m:oMath>
        <m:sSub>
          <m:sSubPr>
            <m:ctrlPr>
              <w:rPr>
                <w:rFonts w:ascii="Cambria Math" w:hAnsi="Cambria Math"/>
              </w:rPr>
            </m:ctrlPr>
          </m:sSubPr>
          <m:e>
            <m:r>
              <w:rPr>
                <w:rFonts w:ascii="Cambria Math" w:hAnsi="Cambria Math"/>
              </w:rPr>
              <m:t>k</m:t>
            </m:r>
          </m:e>
          <m:sub>
            <m:r>
              <w:rPr>
                <w:rFonts w:ascii="Cambria Math" w:hAnsi="Cambria Math"/>
              </w:rPr>
              <m:t>i</m:t>
            </m:r>
          </m:sub>
        </m:sSub>
      </m:oMath>
      <w:r>
        <w:t> and memory of the most recent load </w:t>
      </w:r>
      <m:oMath>
        <m:sSub>
          <m:sSubPr>
            <m:ctrlPr>
              <w:rPr>
                <w:rFonts w:ascii="Cambria Math" w:hAnsi="Cambria Math"/>
              </w:rPr>
            </m:ctrlPr>
          </m:sSubPr>
          <m:e>
            <m:r>
              <w:rPr>
                <w:rFonts w:ascii="Cambria Math" w:hAnsi="Cambria Math"/>
              </w:rPr>
              <m:t>k</m:t>
            </m:r>
          </m:e>
          <m:sub>
            <m:r>
              <w:rPr>
                <w:rFonts w:ascii="Cambria Math" w:hAnsi="Cambria Math"/>
              </w:rPr>
              <m:t>i-1</m:t>
            </m:r>
          </m:sub>
        </m:sSub>
      </m:oMath>
      <w:r>
        <w:t>. Also included were implicit and explicit memory terms (</w:t>
      </w:r>
      <m:oMath>
        <m:sSub>
          <m:sSubPr>
            <m:ctrlPr>
              <w:rPr>
                <w:rFonts w:ascii="Cambria Math" w:hAnsi="Cambria Math"/>
              </w:rPr>
            </m:ctrlPr>
          </m:sSubPr>
          <m:e>
            <m:r>
              <w:rPr>
                <w:rFonts w:ascii="Cambria Math" w:hAnsi="Cambria Math"/>
              </w:rPr>
              <m:t>e</m:t>
            </m:r>
          </m:e>
          <m:sub>
            <m:r>
              <w:rPr>
                <w:rFonts w:ascii="Cambria Math" w:hAnsi="Cambria Math"/>
              </w:rPr>
              <m:t>i-1</m:t>
            </m:r>
          </m:sub>
        </m:sSub>
      </m:oMath>
      <w:r>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e</m:t>
                </m:r>
              </m:e>
              <m:lim>
                <m:r>
                  <w:rPr>
                    <w:rFonts w:ascii="Cambria Math" w:hAnsi="Cambria Math"/>
                  </w:rPr>
                  <m:t>^</m:t>
                </m:r>
              </m:lim>
            </m:limUpp>
          </m:e>
          <m:sub>
            <m:r>
              <w:rPr>
                <w:rFonts w:ascii="Cambria Math" w:hAnsi="Cambria Math"/>
              </w:rPr>
              <m:t>i-1</m:t>
            </m:r>
          </m:sub>
        </m:sSub>
      </m:oMath>
      <w:r>
        <w:t>, respectively); recall that by construction, these terms contain novel information about past kinematic performance that is unrelated to the trial-by-trial changes in robotic load. For the proprioceptive self-assessment block (NV-PA; Table </w:t>
      </w:r>
      <w:r w:rsidRPr="00BF7C68">
        <w:t>1</w:t>
      </w:r>
      <w:r>
        <w:t>), the model structure that most parsimoniously explained the data included only those terms related to the robotic load, a memory of the previous trial's load, and an (implicit) memory of the previous trial's movement extent (i.e., </w:t>
      </w:r>
      <m:oMath>
        <m:sSub>
          <m:sSubPr>
            <m:ctrlPr>
              <w:rPr>
                <w:rFonts w:ascii="Cambria Math" w:hAnsi="Cambria Math"/>
              </w:rPr>
            </m:ctrlPr>
          </m:sSubPr>
          <m:e>
            <m:r>
              <m:rPr>
                <m:nor/>
              </m:rPr>
              <m:t>ε</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i-1</m:t>
            </m:r>
          </m:sub>
        </m:sSub>
      </m:oMath>
      <w:r>
        <w:t>). Whereas ~ 57% of the trial-by-trial variations in reach extent were predicted by concurrent variations in the robot's load, ~ 33% and ~ 4% of the variations in reach extent were predicted respectively by variations in the implicit memory of kinematic performance </w:t>
      </w:r>
      <m:oMath>
        <m:sSub>
          <m:sSubPr>
            <m:ctrlPr>
              <w:rPr>
                <w:rFonts w:ascii="Cambria Math" w:hAnsi="Cambria Math"/>
              </w:rPr>
            </m:ctrlPr>
          </m:sSubPr>
          <m:e>
            <m:r>
              <w:rPr>
                <w:rFonts w:ascii="Cambria Math" w:hAnsi="Cambria Math"/>
              </w:rPr>
              <m:t>e</m:t>
            </m:r>
          </m:e>
          <m:sub>
            <m:r>
              <w:rPr>
                <w:rFonts w:ascii="Cambria Math" w:hAnsi="Cambria Math"/>
              </w:rPr>
              <m:t>i-1</m:t>
            </m:r>
          </m:sub>
        </m:sSub>
      </m:oMath>
      <w:r>
        <w:t>, and by prior robotic load </w:t>
      </w:r>
      <m:oMath>
        <m:sSub>
          <m:sSubPr>
            <m:ctrlPr>
              <w:rPr>
                <w:rFonts w:ascii="Cambria Math" w:hAnsi="Cambria Math"/>
              </w:rPr>
            </m:ctrlPr>
          </m:sSubPr>
          <m:e>
            <m:r>
              <w:rPr>
                <w:rFonts w:ascii="Cambria Math" w:hAnsi="Cambria Math"/>
              </w:rPr>
              <m:t>k</m:t>
            </m:r>
          </m:e>
          <m:sub>
            <m:r>
              <w:rPr>
                <w:rFonts w:ascii="Cambria Math" w:hAnsi="Cambria Math"/>
              </w:rPr>
              <m:t>i-1</m:t>
            </m:r>
          </m:sub>
        </m:sSub>
      </m:oMath>
      <w:r>
        <w:t>. Adding the explicit memory term </w:t>
      </w:r>
      <m:oMath>
        <m:sSub>
          <m:sSubPr>
            <m:ctrlPr>
              <w:rPr>
                <w:rFonts w:ascii="Cambria Math" w:hAnsi="Cambria Math"/>
              </w:rPr>
            </m:ctrlPr>
          </m:sSubPr>
          <m:e>
            <m:limUpp>
              <m:limUppPr>
                <m:ctrlPr>
                  <w:rPr>
                    <w:rFonts w:ascii="Cambria Math" w:hAnsi="Cambria Math"/>
                  </w:rPr>
                </m:ctrlPr>
              </m:limUppPr>
              <m:e>
                <m:r>
                  <w:rPr>
                    <w:rFonts w:ascii="Cambria Math" w:hAnsi="Cambria Math"/>
                  </w:rPr>
                  <m:t>e</m:t>
                </m:r>
              </m:e>
              <m:lim>
                <m:r>
                  <w:rPr>
                    <w:rFonts w:ascii="Cambria Math" w:hAnsi="Cambria Math"/>
                  </w:rPr>
                  <m:t>^</m:t>
                </m:r>
              </m:lim>
            </m:limUpp>
          </m:e>
          <m:sub>
            <m:r>
              <w:rPr>
                <w:rFonts w:ascii="Cambria Math" w:hAnsi="Cambria Math"/>
              </w:rPr>
              <m:t>i-1</m:t>
            </m:r>
          </m:sub>
        </m:sSub>
      </m:oMath>
      <w:r>
        <w:t> improved the model's predictive ability (</w:t>
      </w:r>
      <w:r w:rsidRPr="2A57D957">
        <w:rPr>
          <w:i/>
          <w:iCs/>
        </w:rPr>
        <w:t>R</w:t>
      </w:r>
      <w:r w:rsidRPr="2A57D957">
        <w:rPr>
          <w:vertAlign w:val="superscript"/>
        </w:rPr>
        <w:t>2</w:t>
      </w:r>
      <w:r>
        <w:t>) by only 0.1%. This increment was neither significant nor meaningful. A similar outcome was obtained from the stepwise regression analysis applied to data from the visual self-assessment block (NV-VA; Table </w:t>
      </w:r>
      <w:r w:rsidRPr="00BF7C68">
        <w:t>2</w:t>
      </w:r>
      <w:r>
        <w:t>). In that case, ~ 69% of the trial-by-trial variations in reach extent were predicted by variations in the robot's load on the same trial, whereas ~ 17% and 9% of the variations in reach extent were predicted by variations in the implicit memory of kinematic performance </w:t>
      </w:r>
      <m:oMath>
        <m:sSub>
          <m:sSubPr>
            <m:ctrlPr>
              <w:rPr>
                <w:rFonts w:ascii="Cambria Math" w:hAnsi="Cambria Math"/>
              </w:rPr>
            </m:ctrlPr>
          </m:sSubPr>
          <m:e>
            <m:r>
              <w:rPr>
                <w:rFonts w:ascii="Cambria Math" w:hAnsi="Cambria Math"/>
              </w:rPr>
              <m:t>e</m:t>
            </m:r>
          </m:e>
          <m:sub>
            <m:r>
              <w:rPr>
                <w:rFonts w:ascii="Cambria Math" w:hAnsi="Cambria Math"/>
              </w:rPr>
              <m:t>i-1</m:t>
            </m:r>
          </m:sub>
        </m:sSub>
      </m:oMath>
      <w:r>
        <w:t> and prior robotic load </w:t>
      </w:r>
      <m:oMath>
        <m:sSub>
          <m:sSubPr>
            <m:ctrlPr>
              <w:rPr>
                <w:rFonts w:ascii="Cambria Math" w:hAnsi="Cambria Math"/>
              </w:rPr>
            </m:ctrlPr>
          </m:sSubPr>
          <m:e>
            <m:r>
              <w:rPr>
                <w:rFonts w:ascii="Cambria Math" w:hAnsi="Cambria Math"/>
              </w:rPr>
              <m:t>k</m:t>
            </m:r>
          </m:e>
          <m:sub>
            <m:r>
              <w:rPr>
                <w:rFonts w:ascii="Cambria Math" w:hAnsi="Cambria Math"/>
              </w:rPr>
              <m:t>i-1</m:t>
            </m:r>
          </m:sub>
        </m:sSub>
      </m:oMath>
      <w:r>
        <w:t>. Adding the explicit memory term </w:t>
      </w:r>
      <m:oMath>
        <m:sSub>
          <m:sSubPr>
            <m:ctrlPr>
              <w:rPr>
                <w:rFonts w:ascii="Cambria Math" w:hAnsi="Cambria Math"/>
              </w:rPr>
            </m:ctrlPr>
          </m:sSubPr>
          <m:e>
            <m:limUpp>
              <m:limUppPr>
                <m:ctrlPr>
                  <w:rPr>
                    <w:rFonts w:ascii="Cambria Math" w:hAnsi="Cambria Math"/>
                  </w:rPr>
                </m:ctrlPr>
              </m:limUppPr>
              <m:e>
                <m:r>
                  <w:rPr>
                    <w:rFonts w:ascii="Cambria Math" w:hAnsi="Cambria Math"/>
                  </w:rPr>
                  <m:t>e</m:t>
                </m:r>
              </m:e>
              <m:lim>
                <m:r>
                  <w:rPr>
                    <w:rFonts w:ascii="Cambria Math" w:hAnsi="Cambria Math"/>
                  </w:rPr>
                  <m:t>^</m:t>
                </m:r>
              </m:lim>
            </m:limUpp>
          </m:e>
          <m:sub>
            <m:r>
              <w:rPr>
                <w:rFonts w:ascii="Cambria Math" w:hAnsi="Cambria Math"/>
              </w:rPr>
              <m:t>i-1</m:t>
            </m:r>
          </m:sub>
        </m:sSub>
      </m:oMath>
      <w:r>
        <w:t> improved the model's predictive ability (</w:t>
      </w:r>
      <w:r w:rsidRPr="2A57D957">
        <w:rPr>
          <w:i/>
          <w:iCs/>
        </w:rPr>
        <w:t>R</w:t>
      </w:r>
      <w:r w:rsidRPr="2A57D957">
        <w:rPr>
          <w:vertAlign w:val="superscript"/>
        </w:rPr>
        <w:t>2</w:t>
      </w:r>
      <w:r>
        <w:t>) by only 0.2%. While this increment was marginally significant in the statistical sense (</w:t>
      </w:r>
      <w:r w:rsidRPr="2A57D957">
        <w:rPr>
          <w:i/>
          <w:iCs/>
        </w:rPr>
        <w:t>p</w:t>
      </w:r>
      <w:r>
        <w:t> = 0.045), the contribution of the explicit memory component </w:t>
      </w:r>
      <m:oMath>
        <m:sSub>
          <m:sSubPr>
            <m:ctrlPr>
              <w:rPr>
                <w:rFonts w:ascii="Cambria Math" w:hAnsi="Cambria Math"/>
              </w:rPr>
            </m:ctrlPr>
          </m:sSubPr>
          <m:e>
            <m:limUpp>
              <m:limUppPr>
                <m:ctrlPr>
                  <w:rPr>
                    <w:rFonts w:ascii="Cambria Math" w:hAnsi="Cambria Math"/>
                  </w:rPr>
                </m:ctrlPr>
              </m:limUppPr>
              <m:e>
                <m:r>
                  <w:rPr>
                    <w:rFonts w:ascii="Cambria Math" w:hAnsi="Cambria Math"/>
                  </w:rPr>
                  <m:t>e</m:t>
                </m:r>
              </m:e>
              <m:lim>
                <m:r>
                  <w:rPr>
                    <w:rFonts w:ascii="Cambria Math" w:hAnsi="Cambria Math"/>
                  </w:rPr>
                  <m:t>^</m:t>
                </m:r>
              </m:lim>
            </m:limUpp>
          </m:e>
          <m:sub>
            <m:r>
              <w:rPr>
                <w:rFonts w:ascii="Cambria Math" w:hAnsi="Cambria Math"/>
              </w:rPr>
              <m:t>i-1</m:t>
            </m:r>
          </m:sub>
        </m:sSub>
      </m:oMath>
      <w:r>
        <w:t> to overall model performance was nearly 2 orders of magnitude smaller than that of the implicit memory component </w:t>
      </w:r>
      <m:oMath>
        <m:sSub>
          <m:sSubPr>
            <m:ctrlPr>
              <w:rPr>
                <w:rFonts w:ascii="Cambria Math" w:hAnsi="Cambria Math"/>
              </w:rPr>
            </m:ctrlPr>
          </m:sSubPr>
          <m:e>
            <m:r>
              <w:rPr>
                <w:rFonts w:ascii="Cambria Math" w:hAnsi="Cambria Math"/>
              </w:rPr>
              <m:t>e</m:t>
            </m:r>
          </m:e>
          <m:sub>
            <m:r>
              <w:rPr>
                <w:rFonts w:ascii="Cambria Math" w:hAnsi="Cambria Math"/>
              </w:rPr>
              <m:t>i-1</m:t>
            </m:r>
          </m:sub>
        </m:sSub>
      </m:oMath>
      <w:r>
        <w:t>.</w:t>
      </w:r>
    </w:p>
    <w:p w14:paraId="6A417B1A" w14:textId="77777777" w:rsidR="00C50ECE" w:rsidRPr="00C50ECE" w:rsidRDefault="00C50ECE" w:rsidP="00C44D57">
      <w:pPr>
        <w:spacing w:after="0"/>
      </w:pPr>
      <w:r w:rsidRPr="2A57D957">
        <w:rPr>
          <w:b/>
          <w:bCs/>
        </w:rPr>
        <w:t>Table 1 Results of stepwise regression analysis—NV-PA condition</w:t>
      </w:r>
    </w:p>
    <w:tbl>
      <w:tblPr>
        <w:tblStyle w:val="TableGrid"/>
        <w:tblW w:w="5000" w:type="pct"/>
        <w:tblLook w:val="06A0" w:firstRow="1" w:lastRow="0" w:firstColumn="1" w:lastColumn="0" w:noHBand="1" w:noVBand="1"/>
      </w:tblPr>
      <w:tblGrid>
        <w:gridCol w:w="4530"/>
        <w:gridCol w:w="1146"/>
        <w:gridCol w:w="1146"/>
        <w:gridCol w:w="1500"/>
        <w:gridCol w:w="1748"/>
      </w:tblGrid>
      <w:tr w:rsidR="2A57D957" w14:paraId="6CFBCB58" w14:textId="77777777" w:rsidTr="00DF0D60">
        <w:tc>
          <w:tcPr>
            <w:tcW w:w="2249" w:type="pct"/>
          </w:tcPr>
          <w:p w14:paraId="65133013" w14:textId="6296E3AF" w:rsidR="2A57D957" w:rsidRDefault="00C67DA4" w:rsidP="2A57D957">
            <w:pPr>
              <w:rPr>
                <w:b/>
                <w:bCs/>
              </w:rPr>
            </w:pPr>
            <w:r>
              <w:rPr>
                <w:b/>
                <w:bCs/>
              </w:rPr>
              <w:t xml:space="preserve">Model structure </w:t>
            </w:r>
          </w:p>
        </w:tc>
        <w:tc>
          <w:tcPr>
            <w:tcW w:w="569" w:type="pct"/>
          </w:tcPr>
          <w:p w14:paraId="29CA46B0" w14:textId="3DD5AE80" w:rsidR="2A57D957" w:rsidRDefault="00FA240C" w:rsidP="2A57D957">
            <w:pPr>
              <w:rPr>
                <w:b/>
                <w:bCs/>
              </w:rPr>
            </w:pPr>
            <m:oMathPara>
              <m:oMath>
                <m:sSup>
                  <m:sSupPr>
                    <m:ctrlPr>
                      <w:rPr>
                        <w:rFonts w:ascii="Cambria Math" w:hAnsi="Cambria Math"/>
                        <w:b/>
                        <w:bCs/>
                        <w:i/>
                      </w:rPr>
                    </m:ctrlPr>
                  </m:sSupPr>
                  <m:e>
                    <m:r>
                      <m:rPr>
                        <m:sty m:val="bi"/>
                      </m:rPr>
                      <w:rPr>
                        <w:rFonts w:ascii="Cambria Math" w:hAnsi="Cambria Math"/>
                      </w:rPr>
                      <m:t>R</m:t>
                    </m:r>
                  </m:e>
                  <m:sup>
                    <m:r>
                      <m:rPr>
                        <m:sty m:val="bi"/>
                      </m:rPr>
                      <w:rPr>
                        <w:rFonts w:ascii="Cambria Math" w:hAnsi="Cambria Math"/>
                      </w:rPr>
                      <m:t>2</m:t>
                    </m:r>
                  </m:sup>
                </m:sSup>
              </m:oMath>
            </m:oMathPara>
          </w:p>
        </w:tc>
        <w:tc>
          <w:tcPr>
            <w:tcW w:w="569" w:type="pct"/>
          </w:tcPr>
          <w:p w14:paraId="5C0CFCCA" w14:textId="26D66E4C" w:rsidR="2A57D957" w:rsidRDefault="00D73B66" w:rsidP="2A57D957">
            <w:pPr>
              <w:rPr>
                <w:b/>
                <w:bCs/>
              </w:rPr>
            </w:pPr>
            <m:oMathPara>
              <m:oMath>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R</m:t>
                    </m:r>
                  </m:e>
                  <m:sup>
                    <m:r>
                      <m:rPr>
                        <m:sty m:val="bi"/>
                      </m:rPr>
                      <w:rPr>
                        <w:rFonts w:ascii="Cambria Math" w:hAnsi="Cambria Math"/>
                      </w:rPr>
                      <m:t>2</m:t>
                    </m:r>
                  </m:sup>
                </m:sSup>
              </m:oMath>
            </m:oMathPara>
          </w:p>
        </w:tc>
        <w:tc>
          <w:tcPr>
            <w:tcW w:w="745" w:type="pct"/>
          </w:tcPr>
          <w:p w14:paraId="55968C49" w14:textId="70CC9E2B" w:rsidR="2A57D957" w:rsidRDefault="00D73B66" w:rsidP="2A57D957">
            <w:pPr>
              <w:rPr>
                <w:b/>
                <w:bCs/>
              </w:rPr>
            </w:pPr>
            <m:oMathPara>
              <m:oMath>
                <m:r>
                  <m:rPr>
                    <m:sty m:val="bi"/>
                  </m:rPr>
                  <w:rPr>
                    <w:rFonts w:ascii="Cambria Math" w:hAnsi="Cambria Math"/>
                  </w:rPr>
                  <m:t>∆F</m:t>
                </m:r>
              </m:oMath>
            </m:oMathPara>
          </w:p>
        </w:tc>
        <w:tc>
          <w:tcPr>
            <w:tcW w:w="868" w:type="pct"/>
          </w:tcPr>
          <w:p w14:paraId="5FF2C3AD" w14:textId="02441CAD" w:rsidR="2A57D957" w:rsidRDefault="00D73B66" w:rsidP="2A57D957">
            <w:pPr>
              <w:rPr>
                <w:b/>
                <w:bCs/>
              </w:rPr>
            </w:pPr>
            <w:r>
              <w:rPr>
                <w:b/>
                <w:bCs/>
              </w:rPr>
              <w:t xml:space="preserve">Sig. of </w:t>
            </w:r>
            <m:oMath>
              <m:r>
                <m:rPr>
                  <m:sty m:val="bi"/>
                </m:rPr>
                <w:rPr>
                  <w:rFonts w:ascii="Cambria Math" w:hAnsi="Cambria Math"/>
                </w:rPr>
                <m:t>∆F</m:t>
              </m:r>
            </m:oMath>
          </w:p>
        </w:tc>
      </w:tr>
      <w:tr w:rsidR="2A57D957" w14:paraId="35A05DD5" w14:textId="77777777" w:rsidTr="00DF0D60">
        <w:tc>
          <w:tcPr>
            <w:tcW w:w="2249" w:type="pct"/>
          </w:tcPr>
          <w:p w14:paraId="35B77380" w14:textId="267A9902" w:rsidR="2A57D957" w:rsidRPr="001D6BFD" w:rsidRDefault="00FA240C" w:rsidP="2A57D957">
            <m:oMathPara>
              <m:oMathParaPr>
                <m:jc m:val="left"/>
              </m:oMathParaPr>
              <m:oMath>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oMath>
            </m:oMathPara>
          </w:p>
        </w:tc>
        <w:tc>
          <w:tcPr>
            <w:tcW w:w="569" w:type="pct"/>
          </w:tcPr>
          <w:p w14:paraId="1C88BAEE" w14:textId="7035D897" w:rsidR="2A57D957" w:rsidRPr="004E0077" w:rsidRDefault="00750BD9" w:rsidP="2A57D957">
            <w:r w:rsidRPr="004E0077">
              <w:t>0.568</w:t>
            </w:r>
          </w:p>
        </w:tc>
        <w:tc>
          <w:tcPr>
            <w:tcW w:w="569" w:type="pct"/>
          </w:tcPr>
          <w:p w14:paraId="0B1EEE45" w14:textId="6123C19D" w:rsidR="2A57D957" w:rsidRPr="004E0077" w:rsidRDefault="00750BD9" w:rsidP="2A57D957">
            <w:r w:rsidRPr="004E0077">
              <w:t>0.568</w:t>
            </w:r>
          </w:p>
        </w:tc>
        <w:tc>
          <w:tcPr>
            <w:tcW w:w="745" w:type="pct"/>
          </w:tcPr>
          <w:p w14:paraId="6A3056FB" w14:textId="5D855A11" w:rsidR="2A57D957" w:rsidRPr="004E0077" w:rsidRDefault="00750BD9" w:rsidP="2A57D957">
            <w:r w:rsidRPr="004E0077">
              <w:t>129.027</w:t>
            </w:r>
          </w:p>
        </w:tc>
        <w:tc>
          <w:tcPr>
            <w:tcW w:w="868" w:type="pct"/>
          </w:tcPr>
          <w:p w14:paraId="25D1348A" w14:textId="1E6B2480" w:rsidR="2A57D957" w:rsidRPr="004E0077" w:rsidRDefault="00750BD9" w:rsidP="2A57D957">
            <w:r w:rsidRPr="004E0077">
              <w:t>0.000</w:t>
            </w:r>
          </w:p>
        </w:tc>
      </w:tr>
      <w:tr w:rsidR="2A57D957" w14:paraId="1F16438D" w14:textId="77777777" w:rsidTr="00DF0D60">
        <w:tc>
          <w:tcPr>
            <w:tcW w:w="2249" w:type="pct"/>
          </w:tcPr>
          <w:p w14:paraId="3E5294E3" w14:textId="7CE70877" w:rsidR="2A57D957" w:rsidRPr="001D6BFD" w:rsidRDefault="00FA240C" w:rsidP="2A57D957">
            <m:oMathPara>
              <m:oMathParaPr>
                <m:jc m:val="left"/>
              </m:oMathParaPr>
              <m:oMath>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r>
                      <w:rPr>
                        <w:rFonts w:ascii="Cambria Math" w:hAnsi="Cambria Math"/>
                      </w:rPr>
                      <m:t>-</m:t>
                    </m:r>
                    <m:r>
                      <w:rPr>
                        <w:rFonts w:ascii="Cambria Math" w:hAnsi="Cambria Math"/>
                      </w:rPr>
                      <m:t>1</m:t>
                    </m:r>
                  </m:sub>
                </m:sSub>
              </m:oMath>
            </m:oMathPara>
          </w:p>
        </w:tc>
        <w:tc>
          <w:tcPr>
            <w:tcW w:w="569" w:type="pct"/>
          </w:tcPr>
          <w:p w14:paraId="7510BBDD" w14:textId="32E2C082" w:rsidR="2A57D957" w:rsidRPr="004E0077" w:rsidRDefault="00D51177" w:rsidP="2A57D957">
            <w:r w:rsidRPr="004E0077">
              <w:t>0.897</w:t>
            </w:r>
          </w:p>
        </w:tc>
        <w:tc>
          <w:tcPr>
            <w:tcW w:w="569" w:type="pct"/>
          </w:tcPr>
          <w:p w14:paraId="7F735A68" w14:textId="2DDC32F3" w:rsidR="2A57D957" w:rsidRPr="004E0077" w:rsidRDefault="00D51177" w:rsidP="2A57D957">
            <w:r w:rsidRPr="004E0077">
              <w:t>0.329</w:t>
            </w:r>
          </w:p>
        </w:tc>
        <w:tc>
          <w:tcPr>
            <w:tcW w:w="745" w:type="pct"/>
          </w:tcPr>
          <w:p w14:paraId="45DD6F9F" w14:textId="1ABF4DCC" w:rsidR="2A57D957" w:rsidRPr="004E0077" w:rsidRDefault="00D51177" w:rsidP="2A57D957">
            <w:r w:rsidRPr="004E0077">
              <w:t>309</w:t>
            </w:r>
            <w:r w:rsidR="00A00902" w:rsidRPr="004E0077">
              <w:t>.885</w:t>
            </w:r>
          </w:p>
        </w:tc>
        <w:tc>
          <w:tcPr>
            <w:tcW w:w="868" w:type="pct"/>
          </w:tcPr>
          <w:p w14:paraId="434B92F4" w14:textId="1B6A1C08" w:rsidR="2A57D957" w:rsidRPr="004E0077" w:rsidRDefault="00A00902" w:rsidP="2A57D957">
            <w:r w:rsidRPr="004E0077">
              <w:t>0.000</w:t>
            </w:r>
          </w:p>
        </w:tc>
      </w:tr>
      <w:tr w:rsidR="2A57D957" w14:paraId="72A4BAB0" w14:textId="77777777" w:rsidTr="00DF0D60">
        <w:tc>
          <w:tcPr>
            <w:tcW w:w="2249" w:type="pct"/>
          </w:tcPr>
          <w:p w14:paraId="720450E9" w14:textId="046AE4B5" w:rsidR="2A57D957" w:rsidRPr="001D6BFD" w:rsidRDefault="00FA240C" w:rsidP="2A57D957">
            <m:oMathPara>
              <m:oMathParaPr>
                <m:jc m:val="left"/>
              </m:oMathParaPr>
              <m:oMath>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r>
                      <w:rPr>
                        <w:rFonts w:ascii="Cambria Math" w:hAnsi="Cambria Math"/>
                      </w:rPr>
                      <m:t>-</m:t>
                    </m:r>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r>
                      <w:rPr>
                        <w:rFonts w:ascii="Cambria Math" w:hAnsi="Cambria Math"/>
                      </w:rPr>
                      <m:t>-</m:t>
                    </m:r>
                    <m:r>
                      <w:rPr>
                        <w:rFonts w:ascii="Cambria Math" w:hAnsi="Cambria Math"/>
                      </w:rPr>
                      <m:t>1</m:t>
                    </m:r>
                  </m:sub>
                </m:sSub>
              </m:oMath>
            </m:oMathPara>
          </w:p>
        </w:tc>
        <w:tc>
          <w:tcPr>
            <w:tcW w:w="569" w:type="pct"/>
          </w:tcPr>
          <w:p w14:paraId="11158C41" w14:textId="124A91E9" w:rsidR="2A57D957" w:rsidRPr="004E0077" w:rsidRDefault="00C67DA4" w:rsidP="2A57D957">
            <w:r w:rsidRPr="004E0077">
              <w:t>0.934</w:t>
            </w:r>
          </w:p>
        </w:tc>
        <w:tc>
          <w:tcPr>
            <w:tcW w:w="569" w:type="pct"/>
          </w:tcPr>
          <w:p w14:paraId="0E4F8DDB" w14:textId="6877516C" w:rsidR="2A57D957" w:rsidRPr="004E0077" w:rsidRDefault="00C67DA4" w:rsidP="2A57D957">
            <w:r w:rsidRPr="004E0077">
              <w:t>0.037</w:t>
            </w:r>
          </w:p>
        </w:tc>
        <w:tc>
          <w:tcPr>
            <w:tcW w:w="745" w:type="pct"/>
          </w:tcPr>
          <w:p w14:paraId="447924B6" w14:textId="5F002DF3" w:rsidR="2A57D957" w:rsidRPr="004E0077" w:rsidRDefault="004E0077" w:rsidP="2A57D957">
            <w:r w:rsidRPr="004E0077">
              <w:t>53.769</w:t>
            </w:r>
          </w:p>
        </w:tc>
        <w:tc>
          <w:tcPr>
            <w:tcW w:w="868" w:type="pct"/>
          </w:tcPr>
          <w:p w14:paraId="58FC5B25" w14:textId="1AE8181C" w:rsidR="2A57D957" w:rsidRPr="004E0077" w:rsidRDefault="004E0077" w:rsidP="2A57D957">
            <w:r w:rsidRPr="004E0077">
              <w:t>0.000</w:t>
            </w:r>
          </w:p>
        </w:tc>
      </w:tr>
      <w:tr w:rsidR="2A57D957" w14:paraId="1E3E2EE7" w14:textId="77777777" w:rsidTr="00DF0D60">
        <w:tc>
          <w:tcPr>
            <w:tcW w:w="2249" w:type="pct"/>
          </w:tcPr>
          <w:p w14:paraId="470136B7" w14:textId="52791D5B" w:rsidR="2A57D957" w:rsidRPr="001D6BFD" w:rsidRDefault="004E0077" w:rsidP="2A57D957">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e</m:t>
                        </m:r>
                      </m:e>
                    </m:acc>
                  </m:e>
                  <m:sub>
                    <m:r>
                      <w:rPr>
                        <w:rFonts w:ascii="Cambria Math" w:hAnsi="Cambria Math"/>
                      </w:rPr>
                      <m:t>i-1</m:t>
                    </m:r>
                  </m:sub>
                </m:sSub>
              </m:oMath>
            </m:oMathPara>
          </w:p>
        </w:tc>
        <w:tc>
          <w:tcPr>
            <w:tcW w:w="569" w:type="pct"/>
          </w:tcPr>
          <w:p w14:paraId="6E444BE3" w14:textId="283ED11E" w:rsidR="2A57D957" w:rsidRPr="004E0077" w:rsidRDefault="004E0077" w:rsidP="2A57D957">
            <w:r w:rsidRPr="004E0077">
              <w:t>0.935</w:t>
            </w:r>
          </w:p>
        </w:tc>
        <w:tc>
          <w:tcPr>
            <w:tcW w:w="569" w:type="pct"/>
          </w:tcPr>
          <w:p w14:paraId="3D5BB528" w14:textId="315ABCEE" w:rsidR="2A57D957" w:rsidRPr="004E0077" w:rsidRDefault="004E0077" w:rsidP="2A57D957">
            <w:r w:rsidRPr="004E0077">
              <w:t>0.001</w:t>
            </w:r>
          </w:p>
        </w:tc>
        <w:tc>
          <w:tcPr>
            <w:tcW w:w="745" w:type="pct"/>
          </w:tcPr>
          <w:p w14:paraId="77CF4649" w14:textId="06080E3A" w:rsidR="2A57D957" w:rsidRPr="004E0077" w:rsidRDefault="004E0077" w:rsidP="2A57D957">
            <w:r w:rsidRPr="004E0077">
              <w:t>0.827</w:t>
            </w:r>
          </w:p>
        </w:tc>
        <w:tc>
          <w:tcPr>
            <w:tcW w:w="868" w:type="pct"/>
          </w:tcPr>
          <w:p w14:paraId="161E5EB9" w14:textId="6625BEE7" w:rsidR="2A57D957" w:rsidRPr="004E0077" w:rsidRDefault="004E0077" w:rsidP="2A57D957">
            <w:r w:rsidRPr="004E0077">
              <w:t>0.365</w:t>
            </w:r>
          </w:p>
        </w:tc>
      </w:tr>
    </w:tbl>
    <w:p w14:paraId="381BB49C" w14:textId="77777777" w:rsidR="00131015" w:rsidRPr="00131015" w:rsidRDefault="00131015" w:rsidP="00131015">
      <w:pPr>
        <w:shd w:val="clear" w:color="auto" w:fill="FCFCFC"/>
        <w:spacing w:before="100" w:beforeAutospacing="1" w:after="100" w:afterAutospacing="1" w:line="240" w:lineRule="auto"/>
        <w:rPr>
          <w:rFonts w:eastAsia="Times New Roman" w:cstheme="minorHAnsi"/>
        </w:rPr>
      </w:pPr>
      <w:r w:rsidRPr="00131015">
        <w:rPr>
          <w:rFonts w:eastAsia="Times New Roman" w:cstheme="minorHAnsi"/>
        </w:rPr>
        <w:t>Row 3 (*) corresponds to the most parsimonious model identified using stepwise regression analysis. Note: The last row in this table shows the impact of adding a term that included information unique to explicit memory of performance. This term did not contribute significantly (i.e., </w:t>
      </w:r>
      <w:r w:rsidRPr="00131015">
        <w:rPr>
          <w:rFonts w:eastAsia="Times New Roman" w:cstheme="minorHAnsi"/>
          <w:i/>
          <w:iCs/>
        </w:rPr>
        <w:t>p</w:t>
      </w:r>
      <w:r w:rsidRPr="00131015">
        <w:rPr>
          <w:rFonts w:eastAsia="Times New Roman" w:cstheme="minorHAnsi"/>
        </w:rPr>
        <w:t> &gt; 0.05) or meaningfully to the overall model performance R</w:t>
      </w:r>
      <w:r w:rsidRPr="00131015">
        <w:rPr>
          <w:rFonts w:eastAsia="Times New Roman" w:cstheme="minorHAnsi"/>
          <w:vertAlign w:val="superscript"/>
        </w:rPr>
        <w:t>2</w:t>
      </w:r>
    </w:p>
    <w:p w14:paraId="1E2553C9" w14:textId="7956F8A0" w:rsidR="00C50ECE" w:rsidRDefault="00C50ECE" w:rsidP="001D6BFD">
      <w:pPr>
        <w:spacing w:after="0"/>
      </w:pPr>
      <w:r w:rsidRPr="00C50ECE">
        <w:rPr>
          <w:b/>
          <w:bCs/>
        </w:rPr>
        <w:t>Table 2 Results of stepwise regression analysis—NV-VA condition</w:t>
      </w:r>
    </w:p>
    <w:tbl>
      <w:tblPr>
        <w:tblStyle w:val="TableGrid"/>
        <w:tblW w:w="10080" w:type="dxa"/>
        <w:tblLayout w:type="fixed"/>
        <w:tblLook w:val="06A0" w:firstRow="1" w:lastRow="0" w:firstColumn="1" w:lastColumn="0" w:noHBand="1" w:noVBand="1"/>
      </w:tblPr>
      <w:tblGrid>
        <w:gridCol w:w="3325"/>
        <w:gridCol w:w="1530"/>
        <w:gridCol w:w="1710"/>
        <w:gridCol w:w="1800"/>
        <w:gridCol w:w="1715"/>
      </w:tblGrid>
      <w:tr w:rsidR="002A59B1" w14:paraId="62D8BB4A" w14:textId="77777777" w:rsidTr="00085CC7">
        <w:tc>
          <w:tcPr>
            <w:tcW w:w="3325" w:type="dxa"/>
          </w:tcPr>
          <w:p w14:paraId="5DDCC340" w14:textId="77777777" w:rsidR="002A59B1" w:rsidRDefault="002A59B1" w:rsidP="00085CC7">
            <w:pPr>
              <w:rPr>
                <w:b/>
                <w:bCs/>
              </w:rPr>
            </w:pPr>
            <w:r>
              <w:rPr>
                <w:b/>
                <w:bCs/>
              </w:rPr>
              <w:t xml:space="preserve">Model structure </w:t>
            </w:r>
          </w:p>
        </w:tc>
        <w:tc>
          <w:tcPr>
            <w:tcW w:w="1530" w:type="dxa"/>
          </w:tcPr>
          <w:p w14:paraId="793B67D1" w14:textId="77777777" w:rsidR="002A59B1" w:rsidRDefault="00FA240C" w:rsidP="00085CC7">
            <w:pPr>
              <w:rPr>
                <w:b/>
                <w:bCs/>
              </w:rPr>
            </w:pPr>
            <m:oMathPara>
              <m:oMath>
                <m:sSup>
                  <m:sSupPr>
                    <m:ctrlPr>
                      <w:rPr>
                        <w:rFonts w:ascii="Cambria Math" w:hAnsi="Cambria Math"/>
                        <w:b/>
                        <w:bCs/>
                        <w:i/>
                      </w:rPr>
                    </m:ctrlPr>
                  </m:sSupPr>
                  <m:e>
                    <m:r>
                      <m:rPr>
                        <m:sty m:val="bi"/>
                      </m:rPr>
                      <w:rPr>
                        <w:rFonts w:ascii="Cambria Math" w:hAnsi="Cambria Math"/>
                      </w:rPr>
                      <m:t>R</m:t>
                    </m:r>
                  </m:e>
                  <m:sup>
                    <m:r>
                      <m:rPr>
                        <m:sty m:val="bi"/>
                      </m:rPr>
                      <w:rPr>
                        <w:rFonts w:ascii="Cambria Math" w:hAnsi="Cambria Math"/>
                      </w:rPr>
                      <m:t>2</m:t>
                    </m:r>
                  </m:sup>
                </m:sSup>
              </m:oMath>
            </m:oMathPara>
          </w:p>
        </w:tc>
        <w:tc>
          <w:tcPr>
            <w:tcW w:w="1710" w:type="dxa"/>
          </w:tcPr>
          <w:p w14:paraId="770AC54B" w14:textId="77777777" w:rsidR="002A59B1" w:rsidRDefault="002A59B1" w:rsidP="00085CC7">
            <w:pPr>
              <w:rPr>
                <w:b/>
                <w:bCs/>
              </w:rPr>
            </w:pPr>
            <m:oMathPara>
              <m:oMath>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R</m:t>
                    </m:r>
                  </m:e>
                  <m:sup>
                    <m:r>
                      <m:rPr>
                        <m:sty m:val="bi"/>
                      </m:rPr>
                      <w:rPr>
                        <w:rFonts w:ascii="Cambria Math" w:hAnsi="Cambria Math"/>
                      </w:rPr>
                      <m:t>2</m:t>
                    </m:r>
                  </m:sup>
                </m:sSup>
              </m:oMath>
            </m:oMathPara>
          </w:p>
        </w:tc>
        <w:tc>
          <w:tcPr>
            <w:tcW w:w="1800" w:type="dxa"/>
          </w:tcPr>
          <w:p w14:paraId="733FBE90" w14:textId="77777777" w:rsidR="002A59B1" w:rsidRDefault="002A59B1" w:rsidP="00085CC7">
            <w:pPr>
              <w:rPr>
                <w:b/>
                <w:bCs/>
              </w:rPr>
            </w:pPr>
            <m:oMathPara>
              <m:oMath>
                <m:r>
                  <m:rPr>
                    <m:sty m:val="bi"/>
                  </m:rPr>
                  <w:rPr>
                    <w:rFonts w:ascii="Cambria Math" w:hAnsi="Cambria Math"/>
                  </w:rPr>
                  <m:t>∆F</m:t>
                </m:r>
              </m:oMath>
            </m:oMathPara>
          </w:p>
        </w:tc>
        <w:tc>
          <w:tcPr>
            <w:tcW w:w="1715" w:type="dxa"/>
          </w:tcPr>
          <w:p w14:paraId="6F7E7EF0" w14:textId="77777777" w:rsidR="002A59B1" w:rsidRDefault="002A59B1" w:rsidP="00085CC7">
            <w:pPr>
              <w:rPr>
                <w:b/>
                <w:bCs/>
              </w:rPr>
            </w:pPr>
            <w:r>
              <w:rPr>
                <w:b/>
                <w:bCs/>
              </w:rPr>
              <w:t xml:space="preserve">Sig. of </w:t>
            </w:r>
            <m:oMath>
              <m:r>
                <m:rPr>
                  <m:sty m:val="bi"/>
                </m:rPr>
                <w:rPr>
                  <w:rFonts w:ascii="Cambria Math" w:hAnsi="Cambria Math"/>
                </w:rPr>
                <m:t>∆F</m:t>
              </m:r>
            </m:oMath>
          </w:p>
        </w:tc>
      </w:tr>
      <w:tr w:rsidR="002A59B1" w:rsidRPr="004E0077" w14:paraId="53F40598" w14:textId="77777777" w:rsidTr="00085CC7">
        <w:tc>
          <w:tcPr>
            <w:tcW w:w="3325" w:type="dxa"/>
          </w:tcPr>
          <w:p w14:paraId="2F95FAB3" w14:textId="77777777" w:rsidR="002A59B1" w:rsidRPr="001D6BFD" w:rsidRDefault="00FA240C" w:rsidP="00085CC7">
            <m:oMathPara>
              <m:oMathParaPr>
                <m:jc m:val="left"/>
              </m:oMathParaPr>
              <m:oMath>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oMath>
            </m:oMathPara>
          </w:p>
        </w:tc>
        <w:tc>
          <w:tcPr>
            <w:tcW w:w="1530" w:type="dxa"/>
          </w:tcPr>
          <w:p w14:paraId="27BF5F53" w14:textId="76568D3A" w:rsidR="002A59B1" w:rsidRPr="004E0077" w:rsidRDefault="002A59B1" w:rsidP="00085CC7">
            <w:r w:rsidRPr="004E0077">
              <w:t>0.</w:t>
            </w:r>
            <w:r w:rsidR="003564D6">
              <w:t>690</w:t>
            </w:r>
          </w:p>
        </w:tc>
        <w:tc>
          <w:tcPr>
            <w:tcW w:w="1710" w:type="dxa"/>
          </w:tcPr>
          <w:p w14:paraId="73B8B2C3" w14:textId="05776228" w:rsidR="002A59B1" w:rsidRPr="004E0077" w:rsidRDefault="003564D6" w:rsidP="00085CC7">
            <w:r>
              <w:t>0.690</w:t>
            </w:r>
          </w:p>
        </w:tc>
        <w:tc>
          <w:tcPr>
            <w:tcW w:w="1800" w:type="dxa"/>
          </w:tcPr>
          <w:p w14:paraId="0FAEEB36" w14:textId="2E5AC2A5" w:rsidR="002A59B1" w:rsidRPr="004E0077" w:rsidRDefault="003564D6" w:rsidP="00085CC7">
            <w:r>
              <w:t>218.105</w:t>
            </w:r>
          </w:p>
        </w:tc>
        <w:tc>
          <w:tcPr>
            <w:tcW w:w="1715" w:type="dxa"/>
          </w:tcPr>
          <w:p w14:paraId="44824092" w14:textId="56CDF25A" w:rsidR="002A59B1" w:rsidRPr="004E0077" w:rsidRDefault="003564D6" w:rsidP="00085CC7">
            <w:r>
              <w:t>0.000</w:t>
            </w:r>
          </w:p>
        </w:tc>
      </w:tr>
      <w:tr w:rsidR="002A59B1" w:rsidRPr="004E0077" w14:paraId="7DF9AE61" w14:textId="77777777" w:rsidTr="00085CC7">
        <w:tc>
          <w:tcPr>
            <w:tcW w:w="3325" w:type="dxa"/>
          </w:tcPr>
          <w:p w14:paraId="538768EA" w14:textId="77777777" w:rsidR="002A59B1" w:rsidRPr="001D6BFD" w:rsidRDefault="00FA240C" w:rsidP="00085CC7">
            <m:oMathPara>
              <m:oMathParaPr>
                <m:jc m:val="left"/>
              </m:oMathParaPr>
              <m:oMath>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r>
                      <w:rPr>
                        <w:rFonts w:ascii="Cambria Math" w:hAnsi="Cambria Math"/>
                      </w:rPr>
                      <m:t>-</m:t>
                    </m:r>
                    <m:r>
                      <w:rPr>
                        <w:rFonts w:ascii="Cambria Math" w:hAnsi="Cambria Math"/>
                      </w:rPr>
                      <m:t>1</m:t>
                    </m:r>
                  </m:sub>
                </m:sSub>
              </m:oMath>
            </m:oMathPara>
          </w:p>
        </w:tc>
        <w:tc>
          <w:tcPr>
            <w:tcW w:w="1530" w:type="dxa"/>
          </w:tcPr>
          <w:p w14:paraId="0CD0CAE7" w14:textId="2C3AFAE9" w:rsidR="002A59B1" w:rsidRPr="004E0077" w:rsidRDefault="003564D6" w:rsidP="00085CC7">
            <w:r>
              <w:t>0.855</w:t>
            </w:r>
          </w:p>
        </w:tc>
        <w:tc>
          <w:tcPr>
            <w:tcW w:w="1710" w:type="dxa"/>
          </w:tcPr>
          <w:p w14:paraId="4104B6FE" w14:textId="0A40FAF0" w:rsidR="002A59B1" w:rsidRPr="004E0077" w:rsidRDefault="003564D6" w:rsidP="00085CC7">
            <w:r>
              <w:t>0.165</w:t>
            </w:r>
          </w:p>
        </w:tc>
        <w:tc>
          <w:tcPr>
            <w:tcW w:w="1800" w:type="dxa"/>
          </w:tcPr>
          <w:p w14:paraId="6CECF527" w14:textId="04B92394" w:rsidR="002A59B1" w:rsidRPr="004E0077" w:rsidRDefault="003564D6" w:rsidP="00085CC7">
            <w:r>
              <w:t>110.685</w:t>
            </w:r>
          </w:p>
        </w:tc>
        <w:tc>
          <w:tcPr>
            <w:tcW w:w="1715" w:type="dxa"/>
          </w:tcPr>
          <w:p w14:paraId="5985D2ED" w14:textId="119CB3C5" w:rsidR="002A59B1" w:rsidRPr="004E0077" w:rsidRDefault="003564D6" w:rsidP="00085CC7">
            <w:r>
              <w:t>0.000</w:t>
            </w:r>
          </w:p>
        </w:tc>
      </w:tr>
      <w:tr w:rsidR="002A59B1" w:rsidRPr="004E0077" w14:paraId="2D9C4C2C" w14:textId="77777777" w:rsidTr="00085CC7">
        <w:tc>
          <w:tcPr>
            <w:tcW w:w="3325" w:type="dxa"/>
          </w:tcPr>
          <w:p w14:paraId="6EA3A8BC" w14:textId="77777777" w:rsidR="002A59B1" w:rsidRPr="001D6BFD" w:rsidRDefault="00FA240C" w:rsidP="00085CC7">
            <m:oMathPara>
              <m:oMathParaPr>
                <m:jc m:val="left"/>
              </m:oMathParaPr>
              <m:oMath>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r>
                      <w:rPr>
                        <w:rFonts w:ascii="Cambria Math" w:hAnsi="Cambria Math"/>
                      </w:rPr>
                      <m:t>-</m:t>
                    </m:r>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m:t>
                    </m:r>
                    <m:r>
                      <w:rPr>
                        <w:rFonts w:ascii="Cambria Math" w:hAnsi="Cambria Math"/>
                      </w:rPr>
                      <m:t>-</m:t>
                    </m:r>
                    <m:r>
                      <w:rPr>
                        <w:rFonts w:ascii="Cambria Math" w:hAnsi="Cambria Math"/>
                      </w:rPr>
                      <m:t>1</m:t>
                    </m:r>
                  </m:sub>
                </m:sSub>
              </m:oMath>
            </m:oMathPara>
          </w:p>
        </w:tc>
        <w:tc>
          <w:tcPr>
            <w:tcW w:w="1530" w:type="dxa"/>
          </w:tcPr>
          <w:p w14:paraId="178D2AE9" w14:textId="1151D5EC" w:rsidR="002A59B1" w:rsidRPr="004E0077" w:rsidRDefault="003564D6" w:rsidP="00085CC7">
            <w:r>
              <w:t>0.948</w:t>
            </w:r>
          </w:p>
        </w:tc>
        <w:tc>
          <w:tcPr>
            <w:tcW w:w="1710" w:type="dxa"/>
          </w:tcPr>
          <w:p w14:paraId="1DB3F4CE" w14:textId="7A543E32" w:rsidR="002A59B1" w:rsidRPr="004E0077" w:rsidRDefault="003564D6" w:rsidP="00085CC7">
            <w:r>
              <w:t>0.092</w:t>
            </w:r>
          </w:p>
        </w:tc>
        <w:tc>
          <w:tcPr>
            <w:tcW w:w="1800" w:type="dxa"/>
          </w:tcPr>
          <w:p w14:paraId="1BC3333E" w14:textId="6B147F03" w:rsidR="002A59B1" w:rsidRPr="004E0077" w:rsidRDefault="003564D6" w:rsidP="00085CC7">
            <w:r>
              <w:t>169.657</w:t>
            </w:r>
          </w:p>
        </w:tc>
        <w:tc>
          <w:tcPr>
            <w:tcW w:w="1715" w:type="dxa"/>
          </w:tcPr>
          <w:p w14:paraId="2A91920A" w14:textId="04431258" w:rsidR="002A59B1" w:rsidRPr="004E0077" w:rsidRDefault="003564D6" w:rsidP="00085CC7">
            <w:r>
              <w:t>0.000</w:t>
            </w:r>
          </w:p>
        </w:tc>
      </w:tr>
      <w:tr w:rsidR="002A59B1" w:rsidRPr="004E0077" w14:paraId="44929F07" w14:textId="77777777" w:rsidTr="00085CC7">
        <w:tc>
          <w:tcPr>
            <w:tcW w:w="3325" w:type="dxa"/>
          </w:tcPr>
          <w:p w14:paraId="6022F2D9" w14:textId="77777777" w:rsidR="002A59B1" w:rsidRPr="001D6BFD" w:rsidRDefault="002A59B1" w:rsidP="00085CC7">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e</m:t>
                        </m:r>
                      </m:e>
                    </m:acc>
                  </m:e>
                  <m:sub>
                    <m:r>
                      <w:rPr>
                        <w:rFonts w:ascii="Cambria Math" w:hAnsi="Cambria Math"/>
                      </w:rPr>
                      <m:t>i-1</m:t>
                    </m:r>
                  </m:sub>
                </m:sSub>
              </m:oMath>
            </m:oMathPara>
          </w:p>
        </w:tc>
        <w:tc>
          <w:tcPr>
            <w:tcW w:w="1530" w:type="dxa"/>
          </w:tcPr>
          <w:p w14:paraId="37CB57E2" w14:textId="7881D480" w:rsidR="002A59B1" w:rsidRPr="004E0077" w:rsidRDefault="003564D6" w:rsidP="00085CC7">
            <w:r>
              <w:t>0.950</w:t>
            </w:r>
          </w:p>
        </w:tc>
        <w:tc>
          <w:tcPr>
            <w:tcW w:w="1710" w:type="dxa"/>
          </w:tcPr>
          <w:p w14:paraId="0EF745E8" w14:textId="354C3B42" w:rsidR="002A59B1" w:rsidRPr="004E0077" w:rsidRDefault="003564D6" w:rsidP="00085CC7">
            <w:r>
              <w:t>0.002</w:t>
            </w:r>
          </w:p>
        </w:tc>
        <w:tc>
          <w:tcPr>
            <w:tcW w:w="1800" w:type="dxa"/>
          </w:tcPr>
          <w:p w14:paraId="3F418FBA" w14:textId="1869849E" w:rsidR="002A59B1" w:rsidRPr="004E0077" w:rsidRDefault="003564D6" w:rsidP="00085CC7">
            <w:r>
              <w:t>4.116</w:t>
            </w:r>
          </w:p>
        </w:tc>
        <w:tc>
          <w:tcPr>
            <w:tcW w:w="1715" w:type="dxa"/>
          </w:tcPr>
          <w:p w14:paraId="5133A01F" w14:textId="67A53DD6" w:rsidR="002A59B1" w:rsidRPr="004E0077" w:rsidRDefault="003564D6" w:rsidP="00085CC7">
            <w:r>
              <w:t>0.045</w:t>
            </w:r>
          </w:p>
        </w:tc>
      </w:tr>
    </w:tbl>
    <w:p w14:paraId="0C8AEB03" w14:textId="77777777" w:rsidR="00375803" w:rsidRPr="00375803" w:rsidRDefault="00375803" w:rsidP="00375803">
      <w:pPr>
        <w:shd w:val="clear" w:color="auto" w:fill="FCFCFC"/>
        <w:spacing w:before="100" w:beforeAutospacing="1" w:after="100" w:afterAutospacing="1" w:line="240" w:lineRule="auto"/>
        <w:rPr>
          <w:rFonts w:eastAsia="Times New Roman" w:cstheme="minorHAnsi"/>
          <w:color w:val="333333"/>
        </w:rPr>
      </w:pPr>
      <w:r w:rsidRPr="00375803">
        <w:rPr>
          <w:rFonts w:eastAsia="Times New Roman" w:cstheme="minorHAnsi"/>
        </w:rPr>
        <w:t>Row 4 corresponds to the best model identified using stepwise regression analysis. However, adding a term that included information unique to explicit memory of performance yielded only marginally significant performance improvement (i.e., </w:t>
      </w:r>
      <w:r w:rsidRPr="00375803">
        <w:rPr>
          <w:rFonts w:eastAsia="Times New Roman" w:cstheme="minorHAnsi"/>
          <w:i/>
          <w:iCs/>
        </w:rPr>
        <w:t>p</w:t>
      </w:r>
      <w:r w:rsidRPr="00375803">
        <w:rPr>
          <w:rFonts w:eastAsia="Times New Roman" w:cstheme="minorHAnsi"/>
        </w:rPr>
        <w:t> = 0.045) such that this term did not contribute meaningfully to the overall model performance </w:t>
      </w:r>
      <w:r w:rsidRPr="00375803">
        <w:rPr>
          <w:rFonts w:eastAsia="Times New Roman" w:cstheme="minorHAnsi"/>
          <w:i/>
          <w:iCs/>
        </w:rPr>
        <w:t>R</w:t>
      </w:r>
      <w:r w:rsidRPr="00375803">
        <w:rPr>
          <w:rFonts w:eastAsia="Times New Roman" w:cstheme="minorHAnsi"/>
          <w:vertAlign w:val="superscript"/>
        </w:rPr>
        <w:t>2</w:t>
      </w:r>
      <w:r w:rsidRPr="00375803">
        <w:rPr>
          <w:rFonts w:eastAsia="Times New Roman" w:cstheme="minorHAnsi"/>
        </w:rPr>
        <w:t>. Thus, Row 3 (*) is considered the most parsimonious model</w:t>
      </w:r>
    </w:p>
    <w:p w14:paraId="190C03FD" w14:textId="2F6C5312" w:rsidR="00C50ECE" w:rsidRPr="00C50ECE" w:rsidRDefault="00C50ECE" w:rsidP="00C50ECE">
      <w:r w:rsidRPr="00C50ECE">
        <w:t>We obtained similar results when we repeated the stepwise analyses using the 'raw' kinematic performance memories </w:t>
      </w:r>
      <m:oMath>
        <m:sSub>
          <m:sSubPr>
            <m:ctrlPr>
              <w:rPr>
                <w:rFonts w:ascii="Cambria Math" w:hAnsi="Cambria Math"/>
              </w:rPr>
            </m:ctrlPr>
          </m:sSubPr>
          <m:e>
            <m:r>
              <m:rPr>
                <m:nor/>
              </m:rPr>
              <m:t>ε</m:t>
            </m:r>
          </m:e>
          <m:sub>
            <m:r>
              <w:rPr>
                <w:rFonts w:ascii="Cambria Math" w:hAnsi="Cambria Math"/>
              </w:rPr>
              <m:t>i-1</m:t>
            </m:r>
          </m:sub>
        </m:sSub>
      </m:oMath>
      <w:r w:rsidRPr="00C50ECE">
        <w:t> and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i-1</m:t>
            </m:r>
          </m:sub>
        </m:sSub>
      </m:oMath>
      <w:r w:rsidRPr="00C50ECE">
        <w:t> as inputs rather than the sequences </w:t>
      </w:r>
      <m:oMath>
        <m:sSub>
          <m:sSubPr>
            <m:ctrlPr>
              <w:rPr>
                <w:rFonts w:ascii="Cambria Math" w:hAnsi="Cambria Math"/>
              </w:rPr>
            </m:ctrlPr>
          </m:sSubPr>
          <m:e>
            <m:r>
              <w:rPr>
                <w:rFonts w:ascii="Cambria Math" w:hAnsi="Cambria Math"/>
              </w:rPr>
              <m:t>e</m:t>
            </m:r>
          </m:e>
          <m:sub>
            <m:r>
              <w:rPr>
                <w:rFonts w:ascii="Cambria Math" w:hAnsi="Cambria Math"/>
              </w:rPr>
              <m:t>i-1</m:t>
            </m:r>
          </m:sub>
        </m:sSub>
      </m:oMath>
      <w:r w:rsidRPr="00C50ECE">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e</m:t>
                </m:r>
              </m:e>
              <m:lim>
                <m:r>
                  <w:rPr>
                    <w:rFonts w:ascii="Cambria Math" w:hAnsi="Cambria Math"/>
                  </w:rPr>
                  <m:t>^</m:t>
                </m:r>
              </m:lim>
            </m:limUpp>
          </m:e>
          <m:sub>
            <m:r>
              <w:rPr>
                <w:rFonts w:ascii="Cambria Math" w:hAnsi="Cambria Math"/>
              </w:rPr>
              <m:t>i-1</m:t>
            </m:r>
          </m:sub>
        </m:sSub>
      </m:oMath>
      <w:r w:rsidRPr="00C50ECE">
        <w:t>, which were adjusted to remove multicollinearity with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(details not presented). Finally, we obtained identical results in analyses that also corrected for collinearity between </w:t>
      </w:r>
      <m:oMath>
        <m:sSub>
          <m:sSubPr>
            <m:ctrlPr>
              <w:rPr>
                <w:rFonts w:ascii="Cambria Math" w:hAnsi="Cambria Math"/>
              </w:rPr>
            </m:ctrlPr>
          </m:sSubPr>
          <m:e>
            <m:r>
              <m:rPr>
                <m:nor/>
              </m:rPr>
              <m:t>ε</m:t>
            </m:r>
          </m:e>
          <m:sub>
            <m:r>
              <w:rPr>
                <w:rFonts w:ascii="Cambria Math" w:hAnsi="Cambria Math"/>
              </w:rPr>
              <m:t>i-1</m:t>
            </m:r>
          </m:sub>
        </m:sSub>
      </m:oMath>
      <w:r w:rsidRPr="00C50ECE">
        <w:t> and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i-1</m:t>
            </m:r>
          </m:sub>
        </m:sSub>
      </m:oMath>
      <w:r w:rsidRPr="00C50ECE">
        <w:t>, as was shown in Fig. </w:t>
      </w:r>
      <w:r w:rsidRPr="00BF7C68">
        <w:t>4</w:t>
      </w:r>
      <w:r w:rsidRPr="00C50ECE">
        <w:t>A, B. In all cases, the contribution of the explicit memory component to overall model performance was negligible compared to that of the implicit memory component. The parsimonious model structure, identified in the self-assessment blocks, is consistent with the results of prior modeling of memory-based motor adaptation during horizontal planar reaching (i.e., Eq. </w:t>
      </w:r>
      <w:r w:rsidRPr="00BF7C68">
        <w:t>1</w:t>
      </w:r>
      <w:r w:rsidRPr="00C50ECE">
        <w:t>; Scheidt et al. </w:t>
      </w:r>
      <w:r w:rsidRPr="00BF7C68">
        <w:t>2001</w:t>
      </w:r>
      <w:r w:rsidRPr="00C50ECE">
        <w:t>; Takahashi et al. 2001; Judkins and Scheidt </w:t>
      </w:r>
      <w:r w:rsidRPr="00BF7C68">
        <w:t>2014</w:t>
      </w:r>
      <w:r w:rsidRPr="00C50ECE">
        <w:t>). In each case, the only terms that contribute meaningfully when adapting to rapidly changing mechanical environments are those related to the robotic load, memory of the previous trial's load, and implicit memory of the previous trial's movement extent.</w:t>
      </w:r>
    </w:p>
    <w:p w14:paraId="7D01BCB3" w14:textId="7B1DB780" w:rsidR="00C50ECE" w:rsidRDefault="00C50ECE" w:rsidP="00C50ECE">
      <w:r w:rsidRPr="00C50ECE">
        <w:t>To test this conclusion, we performed a head-to-head comparison of two models based on Eq. </w:t>
      </w:r>
      <w:r w:rsidRPr="00BF7C68">
        <w:t>1</w:t>
      </w:r>
      <w:r w:rsidRPr="00C50ECE">
        <w:t> that differed only in that one model additionally included an explicit memory term </w:t>
      </w:r>
      <m:oMath>
        <m:sSub>
          <m:sSubPr>
            <m:ctrlPr>
              <w:rPr>
                <w:rFonts w:ascii="Cambria Math" w:hAnsi="Cambria Math"/>
              </w:rPr>
            </m:ctrlPr>
          </m:sSubPr>
          <m:e>
            <m:limUpp>
              <m:limUppPr>
                <m:ctrlPr>
                  <w:rPr>
                    <w:rFonts w:ascii="Cambria Math" w:hAnsi="Cambria Math"/>
                  </w:rPr>
                </m:ctrlPr>
              </m:limUppPr>
              <m:e>
                <m:r>
                  <m:rPr>
                    <m:nor/>
                  </m:rPr>
                  <m:t>ε</m:t>
                </m:r>
              </m:e>
              <m:lim>
                <m:r>
                  <w:rPr>
                    <w:rFonts w:ascii="Cambria Math" w:hAnsi="Cambria Math"/>
                  </w:rPr>
                  <m:t>^</m:t>
                </m:r>
              </m:lim>
            </m:limUpp>
          </m:e>
          <m:sub>
            <m:r>
              <w:rPr>
                <w:rFonts w:ascii="Cambria Math" w:hAnsi="Cambria Math"/>
              </w:rPr>
              <m:t>i-1</m:t>
            </m:r>
          </m:sub>
        </m:sSub>
      </m:oMath>
      <w:r w:rsidRPr="00C50ECE">
        <w:t>. We used a cross-validation approach to compare the ability of the two models to capture the variability of the individual subject performances in the two self-assessment conditions. In each case, we separately fit the two models to one half of each participant’s dataset (the parameter identification dataset) and assessed each model’s ability to predict performance in the other half (the validation dataset). We used one-sided, paired </w:t>
      </w:r>
      <w:r w:rsidRPr="00C50ECE">
        <w:rPr>
          <w:i/>
          <w:iCs/>
        </w:rPr>
        <w:t>t</w:t>
      </w:r>
      <w:r w:rsidRPr="00C50ECE">
        <w:t> test to determine whether the amount of data variance accounted for (VAF) would increase in the augmented model vs. that of Eq. </w:t>
      </w:r>
      <w:r w:rsidRPr="00BF7C68">
        <w:t>1</w:t>
      </w:r>
      <w:r w:rsidRPr="00C50ECE">
        <w:t> due to the additional information about explicit memories provided by visual and/or proprioceptive self-assessment. In both self-assessment conditions, addition of an explicit memory term did not improve model performance (PA: </w:t>
      </w:r>
      <w:r w:rsidRPr="00C50ECE">
        <w:rPr>
          <w:i/>
          <w:iCs/>
        </w:rPr>
        <w:t>t</w:t>
      </w:r>
      <w:r w:rsidRPr="00C50ECE">
        <w:rPr>
          <w:vertAlign w:val="subscript"/>
        </w:rPr>
        <w:t>19</w:t>
      </w:r>
      <w:r w:rsidRPr="00C50ECE">
        <w:t> = -1.10; </w:t>
      </w:r>
      <w:r w:rsidRPr="00C50ECE">
        <w:rPr>
          <w:i/>
          <w:iCs/>
        </w:rPr>
        <w:t>p</w:t>
      </w:r>
      <w:r w:rsidRPr="00C50ECE">
        <w:t> = 0.857; VA: </w:t>
      </w:r>
      <w:r w:rsidRPr="00C50ECE">
        <w:rPr>
          <w:i/>
          <w:iCs/>
        </w:rPr>
        <w:t>t</w:t>
      </w:r>
      <w:r w:rsidRPr="00C50ECE">
        <w:rPr>
          <w:vertAlign w:val="subscript"/>
        </w:rPr>
        <w:t>19</w:t>
      </w:r>
      <w:r w:rsidRPr="00C50ECE">
        <w:t> = 0.833; </w:t>
      </w:r>
      <w:r w:rsidRPr="00C50ECE">
        <w:rPr>
          <w:i/>
          <w:iCs/>
        </w:rPr>
        <w:t>p</w:t>
      </w:r>
      <w:r w:rsidRPr="00C50ECE">
        <w:t> = 0.208) (Fig. </w:t>
      </w:r>
      <w:r w:rsidRPr="00BF7C68">
        <w:t>5</w:t>
      </w:r>
      <w:r w:rsidRPr="00C50ECE">
        <w:t>). Taken together, these results indicate that explicit memory systems do not contribute significantly to sensorimotor adaptation of movement extent during goal-directed reaching.</w:t>
      </w:r>
    </w:p>
    <w:p w14:paraId="13BD2F8C" w14:textId="4B60F403" w:rsidR="00C50ECE" w:rsidRPr="00C50ECE" w:rsidRDefault="00C50ECE" w:rsidP="00E01B51">
      <w:pPr>
        <w:pStyle w:val="NoSpacing"/>
      </w:pPr>
      <w:r w:rsidRPr="00C50ECE">
        <w:rPr>
          <w:noProof/>
        </w:rPr>
        <w:drawing>
          <wp:inline distT="0" distB="0" distL="0" distR="0" wp14:anchorId="58588872" wp14:editId="04747087">
            <wp:extent cx="3657600" cy="3154680"/>
            <wp:effectExtent l="0" t="0" r="0" b="7620"/>
            <wp:docPr id="2" name="Picture 2"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3154680"/>
                    </a:xfrm>
                    <a:prstGeom prst="rect">
                      <a:avLst/>
                    </a:prstGeom>
                    <a:noFill/>
                    <a:ln>
                      <a:noFill/>
                    </a:ln>
                  </pic:spPr>
                </pic:pic>
              </a:graphicData>
            </a:graphic>
          </wp:inline>
        </w:drawing>
      </w:r>
    </w:p>
    <w:p w14:paraId="5BD5BFE9" w14:textId="053FC8D9" w:rsidR="00C50ECE" w:rsidRPr="00C50ECE" w:rsidRDefault="00E01B51" w:rsidP="00E01B51">
      <w:pPr>
        <w:pStyle w:val="NoSpacing"/>
      </w:pPr>
      <w:r w:rsidRPr="00C50ECE">
        <w:rPr>
          <w:b/>
          <w:bCs/>
        </w:rPr>
        <w:t>Fig. 5</w:t>
      </w:r>
      <w:r>
        <w:t xml:space="preserve"> </w:t>
      </w:r>
      <w:r w:rsidR="00C50ECE" w:rsidRPr="00C50ECE">
        <w:t>Results of the cross-validation analysis. Data variance accounted for (VAF) by the two adaptation models described in the main text. The two models were separately fit to one half of each participant’s dataset in both the NV-PA and NV-VA trial blocks. The models were then assessed for their ability to predict the data in the other half of the datasets. White bars: the model of Eq. </w:t>
      </w:r>
      <w:r w:rsidR="00C50ECE" w:rsidRPr="00BF7C68">
        <w:t>1</w:t>
      </w:r>
      <w:r w:rsidR="00C50ECE" w:rsidRPr="00C50ECE">
        <w:t>, which includes only implicit sensorimotor memories; Grey bars: the augmented model, which additionally includes the explicit (declarative, self-assessed) sensorimotor memories</w:t>
      </w:r>
    </w:p>
    <w:p w14:paraId="3230345F" w14:textId="0975E6DE" w:rsidR="00C50ECE" w:rsidRPr="00C50ECE" w:rsidRDefault="00C50ECE" w:rsidP="00C50ECE"/>
    <w:p w14:paraId="7E55FB79" w14:textId="77777777" w:rsidR="00C50ECE" w:rsidRPr="00C50ECE" w:rsidRDefault="00C50ECE" w:rsidP="00186996">
      <w:pPr>
        <w:pStyle w:val="Heading2"/>
      </w:pPr>
      <w:r w:rsidRPr="00C50ECE">
        <w:t>Impact of vision and self-assessment on sensorimotor adaptation—model coefficients</w:t>
      </w:r>
    </w:p>
    <w:p w14:paraId="439D3E6D" w14:textId="1152D75A" w:rsidR="00C50ECE" w:rsidRDefault="00C50ECE" w:rsidP="00C50ECE">
      <w:r w:rsidRPr="00C50ECE">
        <w:t>We examined how the different testing conditions might impact the extent to which implicit memories contribute to sensorimotor adaptation to changing environmental loads. Justified by the stepwise regression analyses, we fit the model of Eq. </w:t>
      </w:r>
      <w:r w:rsidRPr="00BF7C68">
        <w:t>1</w:t>
      </w:r>
      <w:r w:rsidRPr="00C50ECE">
        <w:t> to each subject’s time series of reach error (</w:t>
      </w:r>
      <m:oMath>
        <m:sSub>
          <m:sSubPr>
            <m:ctrlPr>
              <w:rPr>
                <w:rFonts w:ascii="Cambria Math" w:hAnsi="Cambria Math"/>
              </w:rPr>
            </m:ctrlPr>
          </m:sSubPr>
          <m:e>
            <m:r>
              <m:rPr>
                <m:nor/>
              </m:rPr>
              <m:t>ε</m:t>
            </m:r>
          </m:e>
          <m:sub>
            <m:r>
              <w:rPr>
                <w:rFonts w:ascii="Cambria Math" w:hAnsi="Cambria Math"/>
              </w:rPr>
              <m:t>i</m:t>
            </m:r>
          </m:sub>
        </m:sSub>
      </m:oMath>
      <w:r w:rsidRPr="00C50ECE">
        <w:t>) and spring stiffness (</w:t>
      </w:r>
      <m:oMath>
        <m:sSub>
          <m:sSubPr>
            <m:ctrlPr>
              <w:rPr>
                <w:rFonts w:ascii="Cambria Math" w:hAnsi="Cambria Math"/>
              </w:rPr>
            </m:ctrlPr>
          </m:sSubPr>
          <m:e>
            <m:r>
              <w:rPr>
                <w:rFonts w:ascii="Cambria Math" w:hAnsi="Cambria Math"/>
              </w:rPr>
              <m:t>k</m:t>
            </m:r>
          </m:e>
          <m:sub>
            <m:r>
              <w:rPr>
                <w:rFonts w:ascii="Cambria Math" w:hAnsi="Cambria Math"/>
              </w:rPr>
              <m:t>i</m:t>
            </m:r>
          </m:sub>
        </m:sSub>
      </m:oMath>
      <w:r w:rsidRPr="00C50ECE">
        <w:t>) values within each of the four trial blocks. We compared the resulting model coefficients (</w:t>
      </w:r>
      <w:bookmarkStart w:id="2" w:name="_Hlk103583653"/>
      <m:oMath>
        <m:sSub>
          <m:sSubPr>
            <m:ctrlPr>
              <w:rPr>
                <w:rFonts w:ascii="Cambria Math" w:hAnsi="Cambria Math"/>
              </w:rPr>
            </m:ctrlPr>
          </m:sSubPr>
          <m:e>
            <m:r>
              <w:rPr>
                <w:rFonts w:ascii="Cambria Math" w:hAnsi="Cambria Math"/>
              </w:rPr>
              <m:t>b</m:t>
            </m:r>
          </m:e>
          <m:sub>
            <m:r>
              <w:rPr>
                <w:rFonts w:ascii="Cambria Math" w:hAnsi="Cambria Math"/>
              </w:rPr>
              <m:t>0</m:t>
            </m:r>
          </m:sub>
        </m:sSub>
      </m:oMath>
      <w:bookmarkEnd w:id="2"/>
      <w:r w:rsidRPr="00C50ECE">
        <w:t>, </w:t>
      </w:r>
      <m:oMath>
        <m:sSub>
          <m:sSubPr>
            <m:ctrlPr>
              <w:rPr>
                <w:rFonts w:ascii="Cambria Math" w:hAnsi="Cambria Math"/>
              </w:rPr>
            </m:ctrlPr>
          </m:sSubPr>
          <m:e>
            <m:r>
              <w:rPr>
                <w:rFonts w:ascii="Cambria Math" w:hAnsi="Cambria Math"/>
              </w:rPr>
              <m:t>b</m:t>
            </m:r>
          </m:e>
          <m:sub>
            <m:r>
              <w:rPr>
                <w:rFonts w:ascii="Cambria Math" w:hAnsi="Cambria Math"/>
              </w:rPr>
              <m:t>1</m:t>
            </m:r>
          </m:sub>
        </m:sSub>
      </m:oMath>
      <w:r w:rsidRPr="00C50ECE">
        <w:t>, and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C50ECE">
        <w:t>) within the test and contrast conditions to those in the control condition to determine the relative impact of interposed self-assessments on the identified sensorimotor information filters (Fig. </w:t>
      </w:r>
      <w:r w:rsidRPr="00BF7C68">
        <w:t>6</w:t>
      </w:r>
      <w:r w:rsidRPr="00C50ECE">
        <w:t>A–C). One-way repeated measures ANOVA found a main effect of testing condition on each of the model parameters [</w:t>
      </w:r>
      <w:r w:rsidRPr="00C50ECE">
        <w:rPr>
          <w:i/>
          <w:iCs/>
        </w:rPr>
        <w:t>F</w:t>
      </w:r>
      <w:r w:rsidRPr="00C50ECE">
        <w:rPr>
          <w:vertAlign w:val="subscript"/>
        </w:rPr>
        <w:t>(3,57)</w:t>
      </w:r>
      <w:r w:rsidRPr="00C50ECE">
        <w:t> ≥ 6.04, </w:t>
      </w:r>
      <w:r w:rsidRPr="00C50ECE">
        <w:rPr>
          <w:i/>
          <w:iCs/>
        </w:rPr>
        <w:t>p</w:t>
      </w:r>
      <w:r w:rsidRPr="00C50ECE">
        <w:t> ≤ 0.001 in each case]. Similar to what was reported for reach accuracy and precision in Fig. </w:t>
      </w:r>
      <w:r w:rsidRPr="00BF7C68">
        <w:t>3</w:t>
      </w:r>
      <w:r w:rsidRPr="00C50ECE">
        <w:t>, the observed effects were due to the presence of visual feedback of cursor motion, not to the interposed self-assessments. Post-hoc </w:t>
      </w:r>
      <w:r w:rsidRPr="00C50ECE">
        <w:rPr>
          <w:i/>
          <w:iCs/>
        </w:rPr>
        <w:t>t</w:t>
      </w:r>
      <w:r w:rsidRPr="00C50ECE">
        <w:t> tests confirmed that </w:t>
      </w:r>
      <m:oMath>
        <m:sSub>
          <m:sSubPr>
            <m:ctrlPr>
              <w:rPr>
                <w:rFonts w:ascii="Cambria Math" w:hAnsi="Cambria Math"/>
              </w:rPr>
            </m:ctrlPr>
          </m:sSubPr>
          <m:e>
            <m:r>
              <w:rPr>
                <w:rFonts w:ascii="Cambria Math" w:hAnsi="Cambria Math"/>
              </w:rPr>
              <m:t>b</m:t>
            </m:r>
          </m:e>
          <m:sub>
            <m:r>
              <w:rPr>
                <w:rFonts w:ascii="Cambria Math" w:hAnsi="Cambria Math"/>
              </w:rPr>
              <m:t>0</m:t>
            </m:r>
          </m:sub>
        </m:sSub>
      </m:oMath>
      <w:r w:rsidRPr="00C50ECE">
        <w:t>, </w:t>
      </w:r>
      <m:oMath>
        <m:sSub>
          <m:sSubPr>
            <m:ctrlPr>
              <w:rPr>
                <w:rFonts w:ascii="Cambria Math" w:hAnsi="Cambria Math"/>
              </w:rPr>
            </m:ctrlPr>
          </m:sSubPr>
          <m:e>
            <m:r>
              <w:rPr>
                <w:rFonts w:ascii="Cambria Math" w:hAnsi="Cambria Math"/>
              </w:rPr>
              <m:t>b</m:t>
            </m:r>
          </m:e>
          <m:sub>
            <m:r>
              <w:rPr>
                <w:rFonts w:ascii="Cambria Math" w:hAnsi="Cambria Math"/>
              </w:rPr>
              <m:t>1</m:t>
            </m:r>
          </m:sub>
        </m:sSub>
      </m:oMath>
      <w:r w:rsidRPr="00C50ECE">
        <w:t>, and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C50ECE">
        <w:t> values in the V-NA contrast condition were smaller than those in the NV-NA control condition (</w:t>
      </w:r>
      <w:r w:rsidRPr="00C50ECE">
        <w:rPr>
          <w:i/>
          <w:iCs/>
        </w:rPr>
        <w:t>t</w:t>
      </w:r>
      <w:r w:rsidRPr="00C50ECE">
        <w:rPr>
          <w:vertAlign w:val="subscript"/>
        </w:rPr>
        <w:t>19</w:t>
      </w:r>
      <w:r w:rsidRPr="00C50ECE">
        <w:t> ≥ 2.94; </w:t>
      </w:r>
      <w:r w:rsidRPr="00C50ECE">
        <w:rPr>
          <w:i/>
          <w:iCs/>
        </w:rPr>
        <w:t>p</w:t>
      </w:r>
      <w:r w:rsidRPr="00C50ECE">
        <w:t> ≤ 0.009 in each case). By contrast, we observed no systematic impact of interposed self-assessment on these parameters. The </w:t>
      </w:r>
      <m:oMath>
        <m:sSub>
          <m:sSubPr>
            <m:ctrlPr>
              <w:rPr>
                <w:rFonts w:ascii="Cambria Math" w:hAnsi="Cambria Math"/>
              </w:rPr>
            </m:ctrlPr>
          </m:sSubPr>
          <m:e>
            <m:r>
              <w:rPr>
                <w:rFonts w:ascii="Cambria Math" w:hAnsi="Cambria Math"/>
              </w:rPr>
              <m:t>b</m:t>
            </m:r>
          </m:e>
          <m:sub>
            <m:r>
              <w:rPr>
                <w:rFonts w:ascii="Cambria Math" w:hAnsi="Cambria Math"/>
              </w:rPr>
              <m:t>0</m:t>
            </m:r>
          </m:sub>
        </m:sSub>
      </m:oMath>
      <w:r w:rsidRPr="00C50ECE">
        <w:t>, </w:t>
      </w:r>
      <m:oMath>
        <m:sSub>
          <m:sSubPr>
            <m:ctrlPr>
              <w:rPr>
                <w:rFonts w:ascii="Cambria Math" w:hAnsi="Cambria Math"/>
              </w:rPr>
            </m:ctrlPr>
          </m:sSubPr>
          <m:e>
            <m:r>
              <w:rPr>
                <w:rFonts w:ascii="Cambria Math" w:hAnsi="Cambria Math"/>
              </w:rPr>
              <m:t>b</m:t>
            </m:r>
          </m:e>
          <m:sub>
            <m:r>
              <w:rPr>
                <w:rFonts w:ascii="Cambria Math" w:hAnsi="Cambria Math"/>
              </w:rPr>
              <m:t>1</m:t>
            </m:r>
          </m:sub>
        </m:sSub>
      </m:oMath>
      <w:r w:rsidRPr="00C50ECE">
        <w:t>, and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C50ECE">
        <w:t> values in the two self-assessment blocks did not differ systematically from those in the NV-NA control condition (</w:t>
      </w:r>
      <w:r w:rsidRPr="00C50ECE">
        <w:rPr>
          <w:i/>
          <w:iCs/>
        </w:rPr>
        <w:t>t</w:t>
      </w:r>
      <w:r w:rsidRPr="00C50ECE">
        <w:rPr>
          <w:vertAlign w:val="subscript"/>
        </w:rPr>
        <w:t>19</w:t>
      </w:r>
      <w:r w:rsidRPr="00C50ECE">
        <w:t> ≤ 1.33; </w:t>
      </w:r>
      <w:r w:rsidRPr="00C50ECE">
        <w:rPr>
          <w:i/>
          <w:iCs/>
        </w:rPr>
        <w:t>p</w:t>
      </w:r>
      <w:r w:rsidRPr="00C50ECE">
        <w:t> ≥ 0.20 in all cases). Of particular interest for this study is model parameter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C50ECE">
        <w:t>, which determines how implicit memories of prior reach errors influence subsequent reach performance. While providing a visual representation of the moving hand significantly impacted how sensorimotor memories are used to adapt reaches from one trial to the next, interposing self-assessments between reaches did not have significant impact.</w:t>
      </w:r>
    </w:p>
    <w:p w14:paraId="3B1B0245" w14:textId="6001452F" w:rsidR="00C50ECE" w:rsidRPr="00C50ECE" w:rsidRDefault="00C50ECE" w:rsidP="00975E2F">
      <w:pPr>
        <w:pStyle w:val="NoSpacing"/>
      </w:pPr>
      <w:r w:rsidRPr="00C50ECE">
        <w:rPr>
          <w:noProof/>
        </w:rPr>
        <w:drawing>
          <wp:inline distT="0" distB="0" distL="0" distR="0" wp14:anchorId="577759A6" wp14:editId="5C162AD9">
            <wp:extent cx="2212848" cy="5486400"/>
            <wp:effectExtent l="0" t="0" r="0" b="0"/>
            <wp:docPr id="1" name="Picture 1" descr="figure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12848" cy="5486400"/>
                    </a:xfrm>
                    <a:prstGeom prst="rect">
                      <a:avLst/>
                    </a:prstGeom>
                    <a:noFill/>
                    <a:ln>
                      <a:noFill/>
                    </a:ln>
                  </pic:spPr>
                </pic:pic>
              </a:graphicData>
            </a:graphic>
          </wp:inline>
        </w:drawing>
      </w:r>
    </w:p>
    <w:p w14:paraId="1632F09B" w14:textId="68B223F1" w:rsidR="00C50ECE" w:rsidRPr="00C50ECE" w:rsidRDefault="00975E2F" w:rsidP="00975E2F">
      <w:pPr>
        <w:pStyle w:val="NoSpacing"/>
      </w:pPr>
      <w:r w:rsidRPr="00C50ECE">
        <w:rPr>
          <w:b/>
          <w:bCs/>
        </w:rPr>
        <w:t>Fig. 6</w:t>
      </w:r>
      <w:r>
        <w:t xml:space="preserve"> </w:t>
      </w:r>
      <w:r w:rsidR="00C50ECE" w:rsidRPr="00C50ECE">
        <w:t>Adaptation model coefficients (Eq. </w:t>
      </w:r>
      <w:r w:rsidR="00C50ECE" w:rsidRPr="00BF7C68">
        <w:t>1</w:t>
      </w:r>
      <w:r w:rsidR="00C50ECE" w:rsidRPr="00C50ECE">
        <w:t>) across all four testing conditions for the study cohort. </w:t>
      </w:r>
      <w:r w:rsidR="00C50ECE" w:rsidRPr="00C50ECE">
        <w:rPr>
          <w:b/>
          <w:bCs/>
        </w:rPr>
        <w:t>A</w:t>
      </w:r>
      <w:r w:rsidR="00C50ECE" w:rsidRPr="00C50ECE">
        <w:t> Model coefficient </w:t>
      </w:r>
      <w:r w:rsidR="00C50ECE" w:rsidRPr="00C50ECE">
        <w:rPr>
          <w:i/>
          <w:iCs/>
        </w:rPr>
        <w:t>b</w:t>
      </w:r>
      <w:r w:rsidR="00C50ECE" w:rsidRPr="00C50ECE">
        <w:rPr>
          <w:i/>
          <w:iCs/>
          <w:vertAlign w:val="subscript"/>
        </w:rPr>
        <w:t>0</w:t>
      </w:r>
      <w:r w:rsidR="00C50ECE" w:rsidRPr="00C50ECE">
        <w:t> vs. testing condition. Condition labels as for Fig. </w:t>
      </w:r>
      <w:r w:rsidR="00C50ECE" w:rsidRPr="00BF7C68">
        <w:t>2</w:t>
      </w:r>
      <w:r w:rsidR="00C50ECE" w:rsidRPr="00C50ECE">
        <w:t>. Error bars: ± 1 SEM. </w:t>
      </w:r>
      <w:r w:rsidR="00C50ECE" w:rsidRPr="00C50ECE">
        <w:rPr>
          <w:b/>
          <w:bCs/>
        </w:rPr>
        <w:t>B</w:t>
      </w:r>
      <w:r w:rsidR="00C50ECE" w:rsidRPr="00C50ECE">
        <w:t> Model coefficient </w:t>
      </w:r>
      <w:r w:rsidR="00C50ECE" w:rsidRPr="00C50ECE">
        <w:rPr>
          <w:i/>
          <w:iCs/>
        </w:rPr>
        <w:t>b</w:t>
      </w:r>
      <w:r w:rsidR="00C50ECE" w:rsidRPr="00C50ECE">
        <w:rPr>
          <w:i/>
          <w:iCs/>
          <w:vertAlign w:val="subscript"/>
        </w:rPr>
        <w:t>1</w:t>
      </w:r>
      <w:r w:rsidR="00C50ECE" w:rsidRPr="00C50ECE">
        <w:t> vs. testing condition. </w:t>
      </w:r>
      <w:r w:rsidR="00C50ECE" w:rsidRPr="00C50ECE">
        <w:rPr>
          <w:b/>
          <w:bCs/>
        </w:rPr>
        <w:t>C</w:t>
      </w:r>
      <w:r w:rsidR="00C50ECE" w:rsidRPr="00C50ECE">
        <w:t> Model coefficient </w:t>
      </w:r>
      <w:r w:rsidR="00C50ECE" w:rsidRPr="00C50ECE">
        <w:rPr>
          <w:i/>
          <w:iCs/>
        </w:rPr>
        <w:t>a</w:t>
      </w:r>
      <w:r w:rsidR="00C50ECE" w:rsidRPr="00C50ECE">
        <w:rPr>
          <w:i/>
          <w:iCs/>
          <w:vertAlign w:val="subscript"/>
        </w:rPr>
        <w:t>1</w:t>
      </w:r>
      <w:r w:rsidR="00C50ECE" w:rsidRPr="00C50ECE">
        <w:t> (arbitrary units) vs. testing condition. Testing conditions that differed systematically from the NV-NA control condition are indicated by an asterisk (</w:t>
      </w:r>
      <w:r w:rsidR="00C50ECE" w:rsidRPr="00C50ECE">
        <w:rPr>
          <w:i/>
          <w:iCs/>
        </w:rPr>
        <w:t>p</w:t>
      </w:r>
      <w:r w:rsidR="00C50ECE" w:rsidRPr="00C50ECE">
        <w:t> &lt; 0.05)</w:t>
      </w:r>
    </w:p>
    <w:p w14:paraId="3B452521" w14:textId="7076A7DA" w:rsidR="00C50ECE" w:rsidRPr="00C50ECE" w:rsidRDefault="00C50ECE" w:rsidP="00C50ECE"/>
    <w:p w14:paraId="66AE2D04" w14:textId="77777777" w:rsidR="00C50ECE" w:rsidRPr="00C50ECE" w:rsidRDefault="00C50ECE" w:rsidP="1BDEEBCC">
      <w:pPr>
        <w:pStyle w:val="Heading1"/>
        <w:rPr>
          <w:rFonts w:ascii="Calibri" w:eastAsia="Meiryo" w:hAnsi="Calibri" w:cs="Arial"/>
        </w:rPr>
      </w:pPr>
      <w:r w:rsidRPr="00C50ECE">
        <w:t>Discussion</w:t>
      </w:r>
    </w:p>
    <w:p w14:paraId="4301DDFA" w14:textId="77777777" w:rsidR="00C50ECE" w:rsidRPr="00C50ECE" w:rsidRDefault="00C50ECE" w:rsidP="00C50ECE">
      <w:r w:rsidRPr="00C50ECE">
        <w:t>We tested how implicit and explicit memories of recent reach performance contribute to sensorimotor adaptation of movement extent during goal-directed reaching. To gain insight into the subject’s explicit memories of reach performance, we sometimes required subjects to recall and report the hand’s location at the moment of peak movement extent. These self-assessments were performed either visually (by adjusting the location of a visual indicator) or proprioceptively (by repositioning the hand). We assessed the effects of these self-assessments on a control (non-visual feedback) condition, and compared the findings to those obtained in a contrast condition where visual feedback of cursor motion was provided. We then assessed the effects of interposed self-assessment on trial-by-trial motor adaptation under the different reporting conditions.</w:t>
      </w:r>
    </w:p>
    <w:p w14:paraId="39AD8C66" w14:textId="6D884110" w:rsidR="00C50ECE" w:rsidRPr="00C50ECE" w:rsidRDefault="00C50ECE" w:rsidP="00C50ECE">
      <w:r w:rsidRPr="00C50ECE">
        <w:t>Within the study cohort, movement trajectories were similar across the testing conditions (Fig. </w:t>
      </w:r>
      <w:r w:rsidRPr="00BF7C68">
        <w:t>2</w:t>
      </w:r>
      <w:r w:rsidRPr="00C50ECE">
        <w:t>). Relative to the no-assessment control condition, interposing self-assessments between successive reaches neither improved nor degraded reach accuracy or precision (Fig. </w:t>
      </w:r>
      <w:r w:rsidRPr="00BF7C68">
        <w:t>3</w:t>
      </w:r>
      <w:r w:rsidRPr="00C50ECE">
        <w:t>), nor did it alter the relative contributions of implicit memories of prior performance features to sensorimotor adaptation (Fig. </w:t>
      </w:r>
      <w:r w:rsidRPr="00BF7C68">
        <w:t>6</w:t>
      </w:r>
      <w:r w:rsidRPr="00C50ECE">
        <w:t>). By contrast, and consistent with prior research (Judkins and Scheidt </w:t>
      </w:r>
      <w:r w:rsidRPr="00BF7C68">
        <w:t>2014</w:t>
      </w:r>
      <w:r w:rsidRPr="00C50ECE">
        <w:t>), providing concurrent visual feedback of cursor motion allowed subjects to move more accurately and precisely (Fig. </w:t>
      </w:r>
      <w:r w:rsidRPr="00BF7C68">
        <w:t>3</w:t>
      </w:r>
      <w:r w:rsidRPr="00C50ECE">
        <w:t>) and they did so using sensorimotor memories differently relative to the control condition (Fig. </w:t>
      </w:r>
      <w:r w:rsidRPr="00BF7C68">
        <w:t>6</w:t>
      </w:r>
      <w:r w:rsidRPr="00C50ECE">
        <w:t>). While our test of how people use memories is sensitive to differences in sensory feedback during movement, we found no discernible effect of interposed self-assessments. Thus, interposing self-assessments between successive reaches provided access to explicit memories of reach performance without significantly impacting how implicit memories are used to adapt to changing environmental loads.</w:t>
      </w:r>
    </w:p>
    <w:p w14:paraId="51EFF0F5" w14:textId="761773C9" w:rsidR="00C50ECE" w:rsidRPr="00C50ECE" w:rsidRDefault="00C50ECE" w:rsidP="00C50ECE">
      <w:r w:rsidRPr="00C50ECE">
        <w:t>We next tested whether implicit and explicit memories draw upon a common representation of reach performance during repetitive goal-directed reaching. We considered actual and recalled errors as proxies for implicit and explicit memories, respectively. Consistent with prior literature supporting the idea that implicit and explicit memory systems are distinct (Corkin </w:t>
      </w:r>
      <w:r w:rsidRPr="00BF7C68">
        <w:t>1984</w:t>
      </w:r>
      <w:r w:rsidRPr="00C50ECE">
        <w:t>; Keisler and Shadmehr </w:t>
      </w:r>
      <w:r w:rsidRPr="00BF7C68">
        <w:t>2010</w:t>
      </w:r>
      <w:r w:rsidRPr="00C50ECE">
        <w:t>; Eichenbaum </w:t>
      </w:r>
      <w:r w:rsidRPr="00BF7C68">
        <w:t>2013</w:t>
      </w:r>
      <w:r w:rsidRPr="00C50ECE">
        <w:t>; Taylor et al. </w:t>
      </w:r>
      <w:r w:rsidRPr="00BF7C68">
        <w:t>2014</w:t>
      </w:r>
      <w:r w:rsidRPr="00C50ECE">
        <w:t>; McDougle et al. </w:t>
      </w:r>
      <w:r w:rsidRPr="00BF7C68">
        <w:t>2015</w:t>
      </w:r>
      <w:r w:rsidRPr="00C50ECE">
        <w:t>) we found marked differences between actual and reported movement extents in terms of the offset (bias) and range (slope) of the linear relation between these two variables (Fig. </w:t>
      </w:r>
      <w:r w:rsidRPr="00BF7C68">
        <w:t>4</w:t>
      </w:r>
      <w:r w:rsidRPr="00C50ECE">
        <w:t>). While this was true for both the visual and proprioceptive self-assessment testing blocks, explicit recall and reporting was better using manual (proprioceptive) reporting vs. visual reporting in the sense that the slope of the relationship between actual and reported movement extents was closer to the ideal value of 1.0 using manual reporting. These results support the conclusion that implicit and explicit recall of movement extent draw upon distinct memories of reach performance.</w:t>
      </w:r>
    </w:p>
    <w:p w14:paraId="7CFBC0EA" w14:textId="00CEE8D7" w:rsidR="00C50ECE" w:rsidRPr="00C50ECE" w:rsidRDefault="00C50ECE" w:rsidP="00C50ECE">
      <w:r w:rsidRPr="00C50ECE">
        <w:t>Finally, we evaluated the extent to which implicit and explicit memories of recent reach performance contribute to sensorimotor adaptation of movement extent. Stepwise regression analysis found that adding an explicit memory term added negligibly to the ability of a simpler model (Eq. </w:t>
      </w:r>
      <w:r w:rsidRPr="00BF7C68">
        <w:t>1</w:t>
      </w:r>
      <w:r w:rsidRPr="00C50ECE">
        <w:t>) to predict reach performance when adapting to rapidly changing mechanical environments; the contribution of the explicit memory component to overall model performance was nearly 2 orders of magnitude smaller than that of the implicit memory component. We also used a cross-validation approach to compare the ability of models with and without an explicit memory term to capture the variability of the individual subject performances in the two self-assessment conditions. Contrary to the expectation that a model including both explicit and implicit memory terms would outperform a model that includes only implicit memories, the model with the explicit memory term fared no better than the simpler model of Eq. </w:t>
      </w:r>
      <w:r w:rsidRPr="00BF7C68">
        <w:t>1</w:t>
      </w:r>
      <w:r w:rsidRPr="00C50ECE">
        <w:t> (Fig. </w:t>
      </w:r>
      <w:r w:rsidRPr="00BF7C68">
        <w:t>5</w:t>
      </w:r>
      <w:r w:rsidRPr="00C50ECE">
        <w:t>). Taken together, our results indicate that sensorimotor adaptation of reach extent recruits predominantly implicit sensorimotor memories; explicit memories do not contribute meaningfully.</w:t>
      </w:r>
    </w:p>
    <w:p w14:paraId="6124D002" w14:textId="77777777" w:rsidR="00C50ECE" w:rsidRPr="00C50ECE" w:rsidRDefault="00C50ECE" w:rsidP="1BDEEBCC">
      <w:pPr>
        <w:pStyle w:val="Heading2"/>
        <w:rPr>
          <w:rFonts w:ascii="Calibri" w:eastAsia="Meiryo" w:hAnsi="Calibri" w:cs="Arial"/>
        </w:rPr>
      </w:pPr>
      <w:r w:rsidRPr="00C50ECE">
        <w:t>Separate implicit and explicit memory systems</w:t>
      </w:r>
    </w:p>
    <w:p w14:paraId="5C4CD86F" w14:textId="592B783C" w:rsidR="00C50ECE" w:rsidRPr="00C50ECE" w:rsidRDefault="00C50ECE" w:rsidP="00C50ECE">
      <w:r w:rsidRPr="00C50ECE">
        <w:t>Studies of amnesic patients, including patient H.M., indicate that there exist distinct memory systems serving short-term and procedural memories necessary for implicit perceptual and motor skill acquisition (Corkin </w:t>
      </w:r>
      <w:r w:rsidRPr="00BF7C68">
        <w:t>1984</w:t>
      </w:r>
      <w:r w:rsidRPr="00C50ECE">
        <w:t>), and those serving declarative/episodic memories required for the explicit and conscious recollection of prior events (Eichenbaum </w:t>
      </w:r>
      <w:r w:rsidRPr="00BF7C68">
        <w:t>2013</w:t>
      </w:r>
      <w:r w:rsidRPr="00C50ECE">
        <w:t>). When neurologically intact subjects are exposed to a novel visuomotor perturbation during reaching, implicit and explicit processes can both contribute to the adaptive response (Mazzoni and Krakauer </w:t>
      </w:r>
      <w:r w:rsidRPr="00BF7C68">
        <w:t>2006</w:t>
      </w:r>
      <w:r w:rsidRPr="00C50ECE">
        <w:t>; Taylor et al. </w:t>
      </w:r>
      <w:r w:rsidRPr="00BF7C68">
        <w:t>2014</w:t>
      </w:r>
      <w:r w:rsidRPr="00C50ECE">
        <w:t>; McDougle et al. </w:t>
      </w:r>
      <w:r w:rsidRPr="00BF7C68">
        <w:t>2015</w:t>
      </w:r>
      <w:r w:rsidRPr="00C50ECE">
        <w:t>). While these systems are distinct (c.f., Redding et al. </w:t>
      </w:r>
      <w:r w:rsidRPr="00BF7C68">
        <w:t>2005</w:t>
      </w:r>
      <w:r w:rsidRPr="00C50ECE">
        <w:t>), they can interact in unexpected ways. In one study, Mazzoni and Krakauer (</w:t>
      </w:r>
      <w:r w:rsidRPr="00BF7C68">
        <w:t>2006</w:t>
      </w:r>
      <w:r w:rsidRPr="00C50ECE">
        <w:t>) asked two groups of subjects to use wrist movements to move a cursor to visual targets spaced 45° apart around a central starting position in the 2D plane of a computer screen. On some trials, a visuomotor rotation was experimentally imposed such that the cursor moved 45° counterclockwise (CCW) about the center of the starting location. One group was instructed to strategically counter-rotate their wrist motions to compensate for the imposed rotation by aiming for the neighboring clockwise target. Whereas instructed strategic re-aiming was initially effective in cancelling the imposed rotation, subjects unexpectedly made increasingly large directional errors as they continued to make movements. Later, when these subjects were informed that the visuomotor rotation would be switched off, they nevertheless made persistent aftereffects demonstrating that implicit learning of the rotation had occurred despite application of the explicit counter-rotation strategy. The authors concluded that implicit adaptation continues even when participants are provided an effective explicit strategy to perform a movement.</w:t>
      </w:r>
    </w:p>
    <w:p w14:paraId="0B17EFE5" w14:textId="05D75BE3" w:rsidR="00C50ECE" w:rsidRPr="00C50ECE" w:rsidRDefault="00C50ECE" w:rsidP="00C50ECE">
      <w:r w:rsidRPr="00C50ECE">
        <w:t>In another study, Taylor and colleagues assayed the contributions of explicit strategic re-aiming and implicit sensorimotor adaptation to an imposed visuomotor rotation by asking subjects to verbally report the direction of their intended aim prior to each reach (Taylor et al. </w:t>
      </w:r>
      <w:r w:rsidRPr="00BF7C68">
        <w:t>2014</w:t>
      </w:r>
      <w:r w:rsidRPr="00C50ECE">
        <w:t>). Subjects made center-out reaches to each of eight visually displayed targets in the horizontal plane using a digitizing tablet and pen. After first making several center-out reaches to each target, a 45° CCW visuomotor rotation was imposed on the motion of a cursor. During these rotation trials, half of the subjects were asked to report their intended aim prior to each reach using a ring of numbered landmarks displayed just above the plane of hand motion. To calculate the magnitude of implicit adaptation on any given trial, the investigators subtracted the intended aim (verbally reported) from the observed heading angle of the hand. The remaining subjects served as controls and were not required to report the intended aim. Target capture errors asymptotically approached zero well within the block of 300 trials. Although the angle of aim averaged ~ 30° early in the rotation block, it fell to ~ 15° by the end of the block. Accordingly, the remaining ~ 30° of compensation was assumed to be due to implicit learning. Taken together, the results provide compelling evidence for both implicit and explicit contributions to learning in a visuomotor adaptation task. Explicit re-aiming played a more dominant role early in exposure and implicit learning played a more dominant role later. Mixed contributions of implicit and explicit processes have also been reported in studies of force field adaptation (Keisler and Shadmehr </w:t>
      </w:r>
      <w:r w:rsidRPr="00BF7C68">
        <w:t>2010</w:t>
      </w:r>
      <w:r w:rsidRPr="00C50ECE">
        <w:t>).</w:t>
      </w:r>
    </w:p>
    <w:p w14:paraId="305AE84D" w14:textId="77777777" w:rsidR="00C50ECE" w:rsidRPr="00C50ECE" w:rsidRDefault="00C50ECE" w:rsidP="00C50ECE">
      <w:r w:rsidRPr="00C50ECE">
        <w:t>Considering these prior works, the results of our study are surprising. Whereas people evidently re-aim subsequent reaching movements to compensate for directional errors recalled from previous movement attempts in visuomotor rotation studies, we found here that explicit memories contribute negligibly to the adaptive compensation for reach extent errors caused by unpredictable forces opposing movement. At least two main differences between the studies may have motivated the different findings.</w:t>
      </w:r>
    </w:p>
    <w:p w14:paraId="2A8EB016" w14:textId="21A3D9AD" w:rsidR="00C50ECE" w:rsidRPr="00C50ECE" w:rsidRDefault="00C50ECE" w:rsidP="00C50ECE">
      <w:r w:rsidRPr="00C50ECE">
        <w:t>The first difference relates to the type of movement perturbations subjects had to overcome and to the type of performance feedback provided during the experiments. In the studies by Taylor and colleagues (Taylor et al. </w:t>
      </w:r>
      <w:r w:rsidRPr="00BF7C68">
        <w:t>2014</w:t>
      </w:r>
      <w:r w:rsidRPr="00C50ECE">
        <w:t>; McDougle et al. </w:t>
      </w:r>
      <w:r w:rsidRPr="00BF7C68">
        <w:t>2015</w:t>
      </w:r>
      <w:r w:rsidRPr="00C50ECE">
        <w:t>), subjects were required to compensate for an imposed visuomotor rotation and were provided visual feedback of the hand's heading direction during and/or after movement. No special efforts were made to eliminate or otherwise confound somatosensory sensation. By contrast, subjects in our study were required to compensate for environmental forces that impacted movement extent and the movements themselves were physically constrained to lie along the straight line connecting the starting position and the goal, thus eliminating direction errors. Feedback of movement extent was limited to intrinsic proprioceptive sensations in the relevant self-assessment blocks of our study. It is possible that the different outcomes reflect fundamental differences in the way the brain plans and controls movement direction and movement extent. Careful studies of movement accuracy, variability, and reaction time support the hypothesis that the direction and extent of reaching and pointing movements are specified via separate cognitive channels (Bock and Eckmiller </w:t>
      </w:r>
      <w:r w:rsidRPr="00BF7C68">
        <w:t>1986</w:t>
      </w:r>
      <w:r w:rsidRPr="00C50ECE">
        <w:t>; Bock </w:t>
      </w:r>
      <w:r w:rsidRPr="00BF7C68">
        <w:t>1992</w:t>
      </w:r>
      <w:r w:rsidRPr="00C50ECE">
        <w:t>; Gordon et al. 1994a; Ghez et al. </w:t>
      </w:r>
      <w:r w:rsidRPr="00BF7C68">
        <w:t>1997</w:t>
      </w:r>
      <w:r w:rsidRPr="00C50ECE">
        <w:t>; Bhat and Sanes </w:t>
      </w:r>
      <w:r w:rsidRPr="00BF7C68">
        <w:t>1998</w:t>
      </w:r>
      <w:r w:rsidRPr="00C50ECE">
        <w:t>; Vindras and Viviani </w:t>
      </w:r>
      <w:r w:rsidRPr="00BF7C68">
        <w:t>1998</w:t>
      </w:r>
      <w:r w:rsidRPr="00C50ECE">
        <w:t>; Krakauer et al. </w:t>
      </w:r>
      <w:r w:rsidRPr="00BF7C68">
        <w:t>2000</w:t>
      </w:r>
      <w:r w:rsidRPr="00C50ECE">
        <w:t>; Sainburg et al. </w:t>
      </w:r>
      <w:r w:rsidRPr="00BF7C68">
        <w:t>2003</w:t>
      </w:r>
      <w:r w:rsidRPr="00C50ECE">
        <w:t>). While these channels might operate in parallel to some degree, requiring subjects to re-aim a movement appears to delay and prolong extent specification in a way that depends on whether or not the desired movement is predictable or unpredictable and on the amount of time allowed for planning (Ghez et al. </w:t>
      </w:r>
      <w:r w:rsidRPr="00BF7C68">
        <w:t>1997</w:t>
      </w:r>
      <w:r w:rsidRPr="00C50ECE">
        <w:t>; Bhat and Sanes </w:t>
      </w:r>
      <w:r w:rsidRPr="00BF7C68">
        <w:t>1998</w:t>
      </w:r>
      <w:r w:rsidRPr="00C50ECE">
        <w:t>). Processes that compensate for a visuomotor rotation may engage mental computations that counter-rotate the intended hand movement through a series of intermediate movement directions (cf., Georgopoulos and Massey </w:t>
      </w:r>
      <w:r w:rsidRPr="00BF7C68">
        <w:t>1987</w:t>
      </w:r>
      <w:r w:rsidRPr="00C50ECE">
        <w:t>). By contrast, learning of a movement gain (Bock </w:t>
      </w:r>
      <w:r w:rsidRPr="00BF7C68">
        <w:t>1992</w:t>
      </w:r>
      <w:r w:rsidRPr="00C50ECE">
        <w:t>; Pine et al. </w:t>
      </w:r>
      <w:r w:rsidRPr="00BF7C68">
        <w:t>1996</w:t>
      </w:r>
      <w:r w:rsidRPr="00C50ECE">
        <w:t>) may involve the learning of a global scaling factor (i.e., </w:t>
      </w:r>
      <w:r w:rsidRPr="00C50ECE">
        <w:rPr>
          <w:i/>
          <w:iCs/>
        </w:rPr>
        <w:t>vigor</w:t>
      </w:r>
      <w:r w:rsidRPr="00C50ECE">
        <w:t>; c.f., Summerside et al. </w:t>
      </w:r>
      <w:r w:rsidRPr="00BF7C68">
        <w:t>2018</w:t>
      </w:r>
      <w:r w:rsidRPr="00C50ECE">
        <w:t>) that makes modest demands on short-term working memory (Pine et al. </w:t>
      </w:r>
      <w:r w:rsidRPr="00BF7C68">
        <w:t>1996</w:t>
      </w:r>
      <w:r w:rsidRPr="00C50ECE">
        <w:t>). We suggest that the mental rotations needed to compensate a visuomotor rotation may engage an explicit strategy of re-aiming, at least during initial exposure to the perturbation, whereas adapting movement extent may engage short-term working memory in a way that is not readily accessible to conscious recall and verbal description.</w:t>
      </w:r>
    </w:p>
    <w:p w14:paraId="3F05F4DD" w14:textId="52AC1844" w:rsidR="00C50ECE" w:rsidRPr="00C50ECE" w:rsidRDefault="00C50ECE" w:rsidP="00C50ECE">
      <w:r w:rsidRPr="00C50ECE">
        <w:t>The second difference pertains to the relative predictability of the perturbations imposed in the different studies. Whereas the earlier cited studies invoke a predictable visuomotor rotation (Mazzoni and Krakauer </w:t>
      </w:r>
      <w:r w:rsidRPr="00BF7C68">
        <w:t>2006</w:t>
      </w:r>
      <w:r w:rsidRPr="00C50ECE">
        <w:t>; Taylor et al. </w:t>
      </w:r>
      <w:r w:rsidRPr="00BF7C68">
        <w:t>2014</w:t>
      </w:r>
      <w:r w:rsidRPr="00C50ECE">
        <w:t>; McDougle et al. </w:t>
      </w:r>
      <w:r w:rsidRPr="00BF7C68">
        <w:t>2015</w:t>
      </w:r>
      <w:r w:rsidRPr="00C50ECE">
        <w:t>), here we required subjects to adapt to an unpredictable series of spring-like loads opposing motion. It seems reasonable that an explicit re-aiming strategy would accrue and be refined with repeated exposure to the same perturbation as in the visuomotor rotation studies. We suggest that strategic compensation was discouraged in our study because the unpredictable perturbations induced large and persistently variable errors. It seems highly unlikely that subjects would consciously choose—consistently and without guidance—a strategy of sensorimotor adaptation that draws upon memories of prior hand forces and movement extent errors in the specific combination described by Eq. </w:t>
      </w:r>
      <w:r w:rsidRPr="00BF7C68">
        <w:t>1</w:t>
      </w:r>
      <w:r w:rsidRPr="00C50ECE">
        <w:t>. This outcome was insensitive to whether subjects reported their recalled performance visually or proprioceptively, or not at all. When asked after completing the experiments, no subject in our study was able to verbalize any consistent strategy used to acquire the target from one trial to the next. Thus, our experimental approach engaged implicit adaptation to the practical exclusion of explicit strategic compensation.</w:t>
      </w:r>
    </w:p>
    <w:p w14:paraId="628F96F4" w14:textId="77777777" w:rsidR="00C50ECE" w:rsidRPr="00C50ECE" w:rsidRDefault="00C50ECE" w:rsidP="1BDEEBCC">
      <w:pPr>
        <w:pStyle w:val="Heading2"/>
        <w:rPr>
          <w:rFonts w:ascii="Calibri" w:eastAsia="Meiryo" w:hAnsi="Calibri" w:cs="Arial"/>
        </w:rPr>
      </w:pPr>
      <w:r w:rsidRPr="00C50ECE">
        <w:t>Intent matters: the functional independence of reaching and pointing</w:t>
      </w:r>
    </w:p>
    <w:p w14:paraId="399EF239" w14:textId="518E77B0" w:rsidR="00C50ECE" w:rsidRPr="00C50ECE" w:rsidRDefault="00C50ECE" w:rsidP="00C50ECE">
      <w:r w:rsidRPr="00C50ECE">
        <w:t>The proprioceptive self-assessment block required subjects to move their hand out-and-back to capture a target at the peak of the movement, and then to point at the remembered reversal location with the same, moving hand. Many previous studies have reported that sensorimotor adaptation of goal directed movements is a limited memory process wherein errors on the most recent movements influence plans for subsequent movements such that errors are reduced (Thoroughman and Shadmehr </w:t>
      </w:r>
      <w:r w:rsidRPr="00BF7C68">
        <w:t>2000</w:t>
      </w:r>
      <w:r w:rsidRPr="00C50ECE">
        <w:t>; Scheidt et al. </w:t>
      </w:r>
      <w:r w:rsidRPr="00BF7C68">
        <w:t>2001</w:t>
      </w:r>
      <w:r w:rsidRPr="00C50ECE">
        <w:t>; Smith et al. </w:t>
      </w:r>
      <w:r w:rsidRPr="00BF7C68">
        <w:t>2006</w:t>
      </w:r>
      <w:r w:rsidRPr="00C50ECE">
        <w:t>; Lee and Schweighofer </w:t>
      </w:r>
      <w:r w:rsidRPr="00BF7C68">
        <w:t>2009</w:t>
      </w:r>
      <w:r w:rsidRPr="00C50ECE">
        <w:t>). Interference between interleaved point-to-point and out-and-back target capture movements directed to the same target has previously been reported (Scheidt and Ghez </w:t>
      </w:r>
      <w:r w:rsidRPr="00BF7C68">
        <w:t>2007</w:t>
      </w:r>
      <w:r w:rsidRPr="00C50ECE">
        <w:t>). In that study, out-and-back target capture movements overshot the target when performed immediately after performing a point-to-point reach to the same spatial target. The authors argued that such errors were the result of violated expectations, in that stabilizing muscle co-contractions at the end of accurate point-to-point movements caused elevated joint viscoelasticity that was not present near the target during the out-and-back movements. Engaging the same plan to initiate both kinds of movements led to the observed overshoot of out-and-back movements performed after point-to-point reaches (Scheidt and Ghez </w:t>
      </w:r>
      <w:r w:rsidRPr="00BF7C68">
        <w:t>2007</w:t>
      </w:r>
      <w:r w:rsidRPr="00C50ECE">
        <w:t>; Scheidt et al. </w:t>
      </w:r>
      <w:r w:rsidRPr="00BF7C68">
        <w:t>2011</w:t>
      </w:r>
      <w:r w:rsidRPr="00C50ECE">
        <w:t>). One might reasonably expect therefore to observe interference between pointing movements and out-and-back target capture movements in the current study because proprioceptive self-assessment required hand movement to the same spatial location as the preceding out-and-back reach. Nevertheless, interposed pointing had no significant impact on reach performance and timing measures or on how participants used implicit memories to adjust subsequent out-and-back movements to compensate for changing loads in the current study. Reach performance and adaptation modeling in the NV-VA and NV-PA blocks were similar in all respects to those in the NV-NA block. By contrast, providing cursor feedback of ongoing movement changed not only reach performance, but also how memories were used from one trial to the next to compensate for unpredictable environmental loads. These last findings largely replicate those of Judkins and Scheidt (</w:t>
      </w:r>
      <w:r w:rsidRPr="00BF7C68">
        <w:t>2014</w:t>
      </w:r>
      <w:r w:rsidRPr="00C50ECE">
        <w:t>), who showed that providing ongoing visual feedback of endpoint movement improves the ability to reduce performance fluctuations caused by environmental loads that change rapidly from trial to trial.</w:t>
      </w:r>
    </w:p>
    <w:p w14:paraId="21BF378C" w14:textId="77777777" w:rsidR="00C50ECE" w:rsidRPr="00C50ECE" w:rsidRDefault="00C50ECE" w:rsidP="00C50ECE">
      <w:r w:rsidRPr="00C50ECE">
        <w:t>Our inability to find impact of self-assessment was not the result of insensitivity of our experimental approach to quantifying how memories contribute to sensorimotor adaptation. Rather, our results likely reflect important differences between the reaching and pointing tasks employed in the current study. The absence of an interaction between reaching and pointing was a general phenomenon because performances in both self-assessment blocks (NV-PA and NV-VA) did not differ from those in the NV-NA control condition, whereas performance in all three of those conditions differed markedly from performance in the V-NA contrast condition. We conclude therefore that reach attempts in the two self-assessment blocks drew exclusively upon memories from prior out-and-back reaches rather than on the prior pointing movements. One possible reason for this result is that there was no violation of expectations during pointing. Whether subjects indicated peak movement extent by moving a visual indicator via button presses or by moving the hand, there was no performance error during pointing—and no sensory prediction error—because the indicating endpoint ended up exactly where the subject decided it should go. In the absence of error, no updating of the motor plan for subsequent movement is expected.</w:t>
      </w:r>
    </w:p>
    <w:p w14:paraId="3FC2AA3C" w14:textId="77777777" w:rsidR="00C50ECE" w:rsidRPr="00C50ECE" w:rsidRDefault="00C50ECE" w:rsidP="1BDEEBCC">
      <w:pPr>
        <w:pStyle w:val="Heading2"/>
        <w:rPr>
          <w:rFonts w:ascii="Calibri" w:eastAsia="Meiryo" w:hAnsi="Calibri" w:cs="Arial"/>
        </w:rPr>
      </w:pPr>
      <w:r w:rsidRPr="00C50ECE">
        <w:t>Limitations and future directions</w:t>
      </w:r>
    </w:p>
    <w:p w14:paraId="2A09985D" w14:textId="63CCDF7D" w:rsidR="00C50ECE" w:rsidRPr="00C50ECE" w:rsidRDefault="00C50ECE" w:rsidP="00C50ECE">
      <w:r w:rsidRPr="00C50ECE">
        <w:t>Our study had at least two limitations. First, we narrowly focused on the contributions of explicit memory to the trial-by-trial adaptation of reach extent and did not broadly assess the extent to which the subject’s plan for the upcoming movement’s vigor might have been consciously available. Taking inspiration from the studies of Taylor and colleagues (Taylor et al. </w:t>
      </w:r>
      <w:r w:rsidRPr="00BF7C68">
        <w:t>2014</w:t>
      </w:r>
      <w:r w:rsidRPr="00C50ECE">
        <w:t>; McDougle et al. </w:t>
      </w:r>
      <w:r w:rsidRPr="00BF7C68">
        <w:t>2015</w:t>
      </w:r>
      <w:r w:rsidRPr="00C50ECE">
        <w:t>), a future study could require subjects not only to recall and report their movement errors on the prior trial as done in the current study, but also to report how much they plan to change the vigor with which they expect to make the next movement. This could be reported on a subjective scale where a value of 0 indicates no change, whereas increases and decreases would range from very slight (± 1) to the maximum possible (± 10). By doing so, it would be possible to determine the extent to which explicit memories derived from visual and proprioceptive self-assessments contribute differently to the explicit plan, and whether requiring subjects to articulate an explicit plan would change (i.e., interfere with) the nominal way in which subjects use implicit memories to update subsequent movements. Another limitation stems from the fact that we focused exclusively on memories of reach extent. Equation 1 also includes a memory term related to the strength of the most recent robotic resistance to movement. A future study could extend the results of the current study, for example, by asking subjects to recall and report the peak force experienced at the hand (i.e., </w:t>
      </w:r>
      <m:oMath>
        <m:sSub>
          <m:sSubPr>
            <m:ctrlPr>
              <w:rPr>
                <w:rFonts w:ascii="Cambria Math" w:hAnsi="Cambria Math"/>
              </w:rPr>
            </m:ctrlPr>
          </m:sSubPr>
          <m:e>
            <m:r>
              <w:rPr>
                <w:rFonts w:ascii="Cambria Math" w:hAnsi="Cambria Math"/>
              </w:rPr>
              <m:t>k</m:t>
            </m:r>
          </m:e>
          <m:sub>
            <m:r>
              <w:rPr>
                <w:rFonts w:ascii="Cambria Math" w:hAnsi="Cambria Math"/>
              </w:rPr>
              <m:t>i-1</m:t>
            </m:r>
          </m:sub>
        </m:sSub>
      </m:oMath>
      <w:r w:rsidRPr="00C50ECE">
        <w:t>) by manually replicating that peak force under isometric conditions between reach trials. It would then be possible to evaluate the extent to which explicit (self-reported) and implicit (experienced) memories of hand forces contribute to adaptation of reach extent.</w:t>
      </w:r>
    </w:p>
    <w:p w14:paraId="4D26F616" w14:textId="77777777" w:rsidR="00C50ECE" w:rsidRPr="00C50ECE" w:rsidRDefault="00C50ECE" w:rsidP="00C50ECE">
      <w:r w:rsidRPr="00C50ECE">
        <w:t>In conclusion, the experimental approach described here engaged implicit memories to compensate for reach extent errors, to the practical exclusion of explicit strategic compensation. Because interposed self-assessments provided access to explicit memories of reach performance without significantly impacting how implicit memories are used to adapt to changing environmental loads, a future neuroimaging study may be able to disentangle and visualize the different memory systems contributing to the conscious and subconscious responses to dynamically changing physical environments.</w:t>
      </w:r>
    </w:p>
    <w:p w14:paraId="6ABB7CB6" w14:textId="77777777" w:rsidR="00C50ECE" w:rsidRPr="00C50ECE" w:rsidRDefault="00C50ECE" w:rsidP="1BDEEBCC">
      <w:pPr>
        <w:pStyle w:val="Heading1"/>
        <w:rPr>
          <w:rFonts w:ascii="Calibri" w:eastAsia="Meiryo" w:hAnsi="Calibri" w:cs="Arial"/>
        </w:rPr>
      </w:pPr>
      <w:r w:rsidRPr="00C50ECE">
        <w:t>Availability of data and material</w:t>
      </w:r>
    </w:p>
    <w:p w14:paraId="35AC4056" w14:textId="77777777" w:rsidR="00C50ECE" w:rsidRPr="00C50ECE" w:rsidRDefault="00C50ECE" w:rsidP="00C50ECE">
      <w:r w:rsidRPr="00C50ECE">
        <w:t>De-identified data will be made available upon reasonable request.</w:t>
      </w:r>
    </w:p>
    <w:p w14:paraId="2C2D0480" w14:textId="77777777" w:rsidR="00C50ECE" w:rsidRPr="00C50ECE" w:rsidRDefault="00C50ECE" w:rsidP="1BDEEBCC">
      <w:pPr>
        <w:pStyle w:val="Heading1"/>
        <w:rPr>
          <w:rFonts w:ascii="Calibri" w:eastAsia="Meiryo" w:hAnsi="Calibri" w:cs="Arial"/>
        </w:rPr>
      </w:pPr>
      <w:r w:rsidRPr="00C50ECE">
        <w:t>References</w:t>
      </w:r>
    </w:p>
    <w:p w14:paraId="5612737F" w14:textId="58D76035" w:rsidR="00C50ECE" w:rsidRPr="00C50ECE" w:rsidRDefault="00C50ECE" w:rsidP="00BF7C68">
      <w:pPr>
        <w:pStyle w:val="NoSpacing"/>
        <w:ind w:left="720" w:hanging="720"/>
      </w:pPr>
      <w:r w:rsidRPr="00C50ECE">
        <w:t>Benson BL, Anguera JA, Seidler RD (2011) A spatial explicit strategy reduces error but interferes with sensorimotor adaptation. J Neurophysiol 105:2843–2851. </w:t>
      </w:r>
      <w:r w:rsidRPr="00BF7C68">
        <w:t>https://doi.org/10.1152/jn.00002.2011</w:t>
      </w:r>
    </w:p>
    <w:p w14:paraId="33989916" w14:textId="55661B29" w:rsidR="00C50ECE" w:rsidRPr="00C50ECE" w:rsidRDefault="00C50ECE" w:rsidP="00BF7C68">
      <w:pPr>
        <w:pStyle w:val="NoSpacing"/>
        <w:ind w:left="720" w:hanging="720"/>
        <w:rPr>
          <w:b/>
        </w:rPr>
      </w:pPr>
      <w:r w:rsidRPr="00C50ECE">
        <w:t>Bhat RB, Sanes JN (1998) Cognitive channels computing action distance and direction. J Neurosci 18:7566–7580. </w:t>
      </w:r>
      <w:r w:rsidRPr="00BF7C68">
        <w:t>https://doi.org/10.1523/jneurosci.18-18-07566.1998</w:t>
      </w:r>
    </w:p>
    <w:p w14:paraId="25AF8D30" w14:textId="36197461" w:rsidR="00C50ECE" w:rsidRPr="00C50ECE" w:rsidRDefault="00C50ECE" w:rsidP="00BF7C68">
      <w:pPr>
        <w:pStyle w:val="NoSpacing"/>
        <w:ind w:left="720" w:hanging="720"/>
        <w:rPr>
          <w:b/>
        </w:rPr>
      </w:pPr>
      <w:r w:rsidRPr="00C50ECE">
        <w:t>Bock O (1992) Adaptation of aimed arm movements to sensorimotor discordance: evidence for direction-independent gain control. Behav Brain Res 51:41–50. </w:t>
      </w:r>
      <w:r w:rsidRPr="00BF7C68">
        <w:t>https://doi.org/10.1016/S0166-4328(05)80310-9</w:t>
      </w:r>
    </w:p>
    <w:p w14:paraId="4A4A58E7" w14:textId="26B24F55" w:rsidR="00C50ECE" w:rsidRPr="00C50ECE" w:rsidRDefault="00C50ECE" w:rsidP="00BF7C68">
      <w:pPr>
        <w:pStyle w:val="NoSpacing"/>
        <w:ind w:left="720" w:hanging="720"/>
        <w:rPr>
          <w:b/>
        </w:rPr>
      </w:pPr>
      <w:r w:rsidRPr="00C50ECE">
        <w:t>Bock O (2012) Sensorimotor adaptation. In: Seel NM (ed) Encyclopedia of the sciences of learning. Springer, Boston . </w:t>
      </w:r>
      <w:r w:rsidRPr="00BF7C68">
        <w:t>https://doi.org/10.1007/978-1-4419-1428-6_548</w:t>
      </w:r>
    </w:p>
    <w:p w14:paraId="65D0DE00" w14:textId="1E930118" w:rsidR="00C50ECE" w:rsidRPr="00C50ECE" w:rsidRDefault="00C50ECE" w:rsidP="00BF7C68">
      <w:pPr>
        <w:pStyle w:val="NoSpacing"/>
        <w:ind w:left="720" w:hanging="720"/>
        <w:rPr>
          <w:b/>
        </w:rPr>
      </w:pPr>
      <w:r w:rsidRPr="00C50ECE">
        <w:t>Bock O, Eckmiller R (1986) Goal-directed arm movements in absence of visual guidance: evidence for amplitude rather than position control. Exp Brain Res 62:451–458. </w:t>
      </w:r>
      <w:r w:rsidRPr="00BF7C68">
        <w:t>https://doi.org/10.1007/BF00236023</w:t>
      </w:r>
    </w:p>
    <w:p w14:paraId="21DD5FA5" w14:textId="12289E9E" w:rsidR="00C50ECE" w:rsidRPr="00C50ECE" w:rsidRDefault="00C50ECE" w:rsidP="00BF7C68">
      <w:pPr>
        <w:pStyle w:val="NoSpacing"/>
        <w:ind w:left="720" w:hanging="720"/>
        <w:rPr>
          <w:b/>
        </w:rPr>
      </w:pPr>
      <w:r w:rsidRPr="00C50ECE">
        <w:t>Boyd LA, Winstein CJ (2003) Impact of explicit information on implicit motor-sequence learning following middle cerebral artery stroke. Phys Ther 83:976–989</w:t>
      </w:r>
    </w:p>
    <w:p w14:paraId="6FB30990" w14:textId="27E7A1B3" w:rsidR="00C50ECE" w:rsidRPr="00C50ECE" w:rsidRDefault="00C50ECE" w:rsidP="00BF7C68">
      <w:pPr>
        <w:pStyle w:val="NoSpacing"/>
        <w:ind w:left="720" w:hanging="720"/>
        <w:rPr>
          <w:b/>
        </w:rPr>
      </w:pPr>
      <w:r w:rsidRPr="00C50ECE">
        <w:t>Corkin S (1984) Lasting consequences of bilateral medial temporal lobectomy: clinical course and experimental findings in H.M. Semin Neurol 4:249–259</w:t>
      </w:r>
    </w:p>
    <w:p w14:paraId="2E8C6966" w14:textId="68CA8885" w:rsidR="00C50ECE" w:rsidRPr="00C50ECE" w:rsidRDefault="00C50ECE" w:rsidP="00BF7C68">
      <w:pPr>
        <w:pStyle w:val="NoSpacing"/>
        <w:ind w:left="720" w:hanging="720"/>
        <w:rPr>
          <w:b/>
        </w:rPr>
      </w:pPr>
      <w:r w:rsidRPr="00C50ECE">
        <w:t>Eichenbaum H (2013) What H.M. taught us. J Cogn Neurosci 25:14–21. </w:t>
      </w:r>
      <w:r w:rsidRPr="00BF7C68">
        <w:t>https://doi.org/10.1162/jocn_a_00285</w:t>
      </w:r>
    </w:p>
    <w:p w14:paraId="29C1C135" w14:textId="245602E3" w:rsidR="00C50ECE" w:rsidRPr="00C50ECE" w:rsidRDefault="00C50ECE" w:rsidP="00BF7C68">
      <w:pPr>
        <w:pStyle w:val="NoSpacing"/>
        <w:ind w:left="720" w:hanging="720"/>
        <w:rPr>
          <w:b/>
        </w:rPr>
      </w:pPr>
      <w:r w:rsidRPr="00C50ECE">
        <w:t>Frensch P (1998) One concept, multiple meanings: On how to define the concept of implicit learning. Sage Publications Inc, Thousand Oaks</w:t>
      </w:r>
    </w:p>
    <w:p w14:paraId="59442A93" w14:textId="4E0E5CF7" w:rsidR="00C50ECE" w:rsidRPr="00C50ECE" w:rsidRDefault="00C50ECE" w:rsidP="00BF7C68">
      <w:pPr>
        <w:pStyle w:val="NoSpacing"/>
        <w:ind w:left="720" w:hanging="720"/>
        <w:rPr>
          <w:b/>
        </w:rPr>
      </w:pPr>
      <w:r w:rsidRPr="00C50ECE">
        <w:t>Georgopoulos AP, Massey JT (1987) Cognitive spatial-motor processes. 1. The making of movements at various angles from a stimulus direction. Exp Brain Res 65:361–370. </w:t>
      </w:r>
      <w:r w:rsidRPr="00BF7C68">
        <w:t>https://doi.org/10.1007/BF00236309</w:t>
      </w:r>
    </w:p>
    <w:p w14:paraId="641EEE26" w14:textId="04375F6C" w:rsidR="00C50ECE" w:rsidRPr="00C50ECE" w:rsidRDefault="00C50ECE" w:rsidP="00BF7C68">
      <w:pPr>
        <w:pStyle w:val="NoSpacing"/>
        <w:ind w:left="720" w:hanging="720"/>
        <w:rPr>
          <w:b/>
        </w:rPr>
      </w:pPr>
      <w:r w:rsidRPr="00C50ECE">
        <w:t>Ghez C, Favilla M, Ghilardi MF et al (1997) Discrete and continuous planning of hand movements and isometric force trajectories. Exp Brain Res 115:217–233. </w:t>
      </w:r>
      <w:r w:rsidRPr="00BF7C68">
        <w:t>https://doi.org/10.1007/pl00005692</w:t>
      </w:r>
    </w:p>
    <w:p w14:paraId="3A1A93B8" w14:textId="5D881A3C" w:rsidR="00C50ECE" w:rsidRPr="00C50ECE" w:rsidRDefault="00C50ECE" w:rsidP="00BF7C68">
      <w:pPr>
        <w:pStyle w:val="NoSpacing"/>
        <w:ind w:left="720" w:hanging="720"/>
        <w:rPr>
          <w:b/>
        </w:rPr>
      </w:pPr>
      <w:r w:rsidRPr="00C50ECE">
        <w:t>Gordon J, Ghilardi MF, Ghez C (1994) Accuracy of planar reaching movements. I. Independence of direction and extent variability. Exp Brain Res 99:97–111. </w:t>
      </w:r>
      <w:r w:rsidRPr="00BF7C68">
        <w:t>https://doi.org/10.1007/BF00241415</w:t>
      </w:r>
    </w:p>
    <w:p w14:paraId="63904EC1" w14:textId="13138DDC" w:rsidR="00C50ECE" w:rsidRPr="00C50ECE" w:rsidRDefault="00C50ECE" w:rsidP="00BF7C68">
      <w:pPr>
        <w:pStyle w:val="NoSpacing"/>
        <w:ind w:left="720" w:hanging="720"/>
        <w:rPr>
          <w:b/>
        </w:rPr>
      </w:pPr>
      <w:r w:rsidRPr="00C50ECE">
        <w:t>Heuer H, Hegele M (2015) Explicit and implicit components of visuo-motor adaptation: an analysis of individual differences. Conscious Cogn 33:156–169. </w:t>
      </w:r>
      <w:r w:rsidRPr="00BF7C68">
        <w:t>https://doi.org/10.1016/j.concog.2014.12.013</w:t>
      </w:r>
    </w:p>
    <w:p w14:paraId="15008B7F" w14:textId="07D7531F" w:rsidR="00C50ECE" w:rsidRPr="00C50ECE" w:rsidRDefault="00C50ECE" w:rsidP="00BF7C68">
      <w:pPr>
        <w:pStyle w:val="NoSpacing"/>
        <w:ind w:left="720" w:hanging="720"/>
        <w:rPr>
          <w:b/>
        </w:rPr>
      </w:pPr>
      <w:r w:rsidRPr="00C50ECE">
        <w:t>Izawa J, Rane T, Donchin O, Shadmehr R (2008) Motor adaptation as a process of reoptimization. J Neurosci 28:2883–2891. </w:t>
      </w:r>
      <w:r w:rsidRPr="00BF7C68">
        <w:t>https://doi.org/10.1523/JNEUROSCI.5359-07.2008</w:t>
      </w:r>
    </w:p>
    <w:p w14:paraId="455C807E" w14:textId="0F3F5DE2" w:rsidR="00C50ECE" w:rsidRPr="00C50ECE" w:rsidRDefault="00C50ECE" w:rsidP="00BF7C68">
      <w:pPr>
        <w:pStyle w:val="NoSpacing"/>
        <w:ind w:left="720" w:hanging="720"/>
        <w:rPr>
          <w:b/>
        </w:rPr>
      </w:pPr>
      <w:r w:rsidRPr="00C50ECE">
        <w:t>Judkins T, Scheidt RA (2014) Visuo-proprioceptive interactions during adaptation of the human reach. J Neurophysiol 111:868–887. </w:t>
      </w:r>
      <w:r w:rsidRPr="00BF7C68">
        <w:t>https://doi.org/10.1152/jn.00314.2012</w:t>
      </w:r>
    </w:p>
    <w:p w14:paraId="68B0C8AF" w14:textId="247C2D0F" w:rsidR="00C50ECE" w:rsidRPr="00C50ECE" w:rsidRDefault="00C50ECE" w:rsidP="00BF7C68">
      <w:pPr>
        <w:pStyle w:val="NoSpacing"/>
        <w:ind w:left="720" w:hanging="720"/>
        <w:rPr>
          <w:b/>
        </w:rPr>
      </w:pPr>
      <w:r w:rsidRPr="00C50ECE">
        <w:t>Keisler A, Shadmehr R (2010) A shared resource between declarative memory and motor memory. J Neurosci 30:14817–14823. </w:t>
      </w:r>
      <w:r w:rsidRPr="00BF7C68">
        <w:t>https://doi.org/10.1523/JNEUROSCI.4160-10.2010</w:t>
      </w:r>
    </w:p>
    <w:p w14:paraId="35C629F6" w14:textId="72D79633" w:rsidR="00C50ECE" w:rsidRPr="00C50ECE" w:rsidRDefault="00C50ECE" w:rsidP="00BF7C68">
      <w:pPr>
        <w:pStyle w:val="NoSpacing"/>
        <w:ind w:left="720" w:hanging="720"/>
        <w:rPr>
          <w:b/>
        </w:rPr>
      </w:pPr>
      <w:r w:rsidRPr="00C50ECE">
        <w:t>Krakauer JW, Pine ZM, Ghilardi M-F, Ghez C (2000) Learning of visuomotor transformations for vectorial planning of reaching trajectories. J Neurosci 20:8916–8924</w:t>
      </w:r>
    </w:p>
    <w:p w14:paraId="7965CC35" w14:textId="5CAC9314" w:rsidR="00C50ECE" w:rsidRPr="00C50ECE" w:rsidRDefault="00C50ECE" w:rsidP="00BF7C68">
      <w:pPr>
        <w:pStyle w:val="NoSpacing"/>
        <w:ind w:left="720" w:hanging="720"/>
        <w:rPr>
          <w:b/>
        </w:rPr>
      </w:pPr>
      <w:r w:rsidRPr="00C50ECE">
        <w:t>Krakauer JW, Hadjiosif AM, Xu J et al (2019) Motor learning. Compr Physiol 9:613–663. </w:t>
      </w:r>
      <w:r w:rsidRPr="00BF7C68">
        <w:t>https://doi.org/10.1002/cphy.c170043</w:t>
      </w:r>
    </w:p>
    <w:p w14:paraId="387F450B" w14:textId="4CC4B2D2" w:rsidR="00C50ECE" w:rsidRPr="00C50ECE" w:rsidRDefault="00C50ECE" w:rsidP="00BF7C68">
      <w:pPr>
        <w:pStyle w:val="NoSpacing"/>
        <w:ind w:left="720" w:hanging="720"/>
        <w:rPr>
          <w:b/>
        </w:rPr>
      </w:pPr>
      <w:r w:rsidRPr="00C50ECE">
        <w:t>Lackner JR, Dizio P (1994) Rapid adaptation to Coriolis force perturbations of arm trajectory. J Neurophysiol 72:299–313. </w:t>
      </w:r>
      <w:r w:rsidRPr="00BF7C68">
        <w:t>https://doi.org/10.1152/jn.1994.72.1.299</w:t>
      </w:r>
    </w:p>
    <w:p w14:paraId="638DCEE3" w14:textId="6548CD0A" w:rsidR="00C50ECE" w:rsidRPr="00C50ECE" w:rsidRDefault="00C50ECE" w:rsidP="00BF7C68">
      <w:pPr>
        <w:pStyle w:val="NoSpacing"/>
        <w:ind w:left="720" w:hanging="720"/>
        <w:rPr>
          <w:b/>
        </w:rPr>
      </w:pPr>
      <w:r w:rsidRPr="00C50ECE">
        <w:t>Lee J-Y, Schweighofer N (2009) Dual adaptation supports a parallel architecture of motor memory. J Neurosci 29:10396–10404. </w:t>
      </w:r>
      <w:r w:rsidRPr="00BF7C68">
        <w:t>https://doi.org/10.1523/JNEUROSCI.1294-09.2009</w:t>
      </w:r>
    </w:p>
    <w:p w14:paraId="7ED036E0" w14:textId="705B9A50" w:rsidR="00C50ECE" w:rsidRPr="00C50ECE" w:rsidRDefault="00C50ECE" w:rsidP="00BF7C68">
      <w:pPr>
        <w:pStyle w:val="NoSpacing"/>
        <w:ind w:left="720" w:hanging="720"/>
        <w:rPr>
          <w:b/>
        </w:rPr>
      </w:pPr>
      <w:r w:rsidRPr="00C50ECE">
        <w:t>Liu X, Mosier KM, Mussa-Ivaldi FA, Casadio M, Scheidt RA (2011) Reorganization of finger coordination patterns during adaptation to rotation and scaling of a newly learned sensorimotor transformation. J Neurophysiol 105(1):454–473. </w:t>
      </w:r>
      <w:r w:rsidRPr="00BF7C68">
        <w:t>https://doi.org/10.1152/jn.00247.2010</w:t>
      </w:r>
    </w:p>
    <w:p w14:paraId="749658FF" w14:textId="13D00D7B" w:rsidR="00C50ECE" w:rsidRPr="00C50ECE" w:rsidRDefault="00C50ECE" w:rsidP="00BF7C68">
      <w:pPr>
        <w:pStyle w:val="NoSpacing"/>
        <w:ind w:left="720" w:hanging="720"/>
        <w:rPr>
          <w:b/>
        </w:rPr>
      </w:pPr>
      <w:r w:rsidRPr="00C50ECE">
        <w:t>Magescas F, Prablanc C (2006) Automatic drive of limb motor plasticity. J Cogn Neurosci 18:75–83. </w:t>
      </w:r>
      <w:r w:rsidRPr="00BF7C68">
        <w:t>https://doi.org/10.1162/089892906775250058</w:t>
      </w:r>
    </w:p>
    <w:p w14:paraId="43879133" w14:textId="592867D7" w:rsidR="00C50ECE" w:rsidRPr="00C50ECE" w:rsidRDefault="00C50ECE" w:rsidP="00BF7C68">
      <w:pPr>
        <w:pStyle w:val="NoSpacing"/>
        <w:ind w:left="720" w:hanging="720"/>
        <w:rPr>
          <w:b/>
        </w:rPr>
      </w:pPr>
      <w:r w:rsidRPr="00C50ECE">
        <w:t>Magill RA (2011) Motor learning and control: concpets and applications, 9th edn. McGraw-Hill, New York</w:t>
      </w:r>
    </w:p>
    <w:p w14:paraId="48599454" w14:textId="7A2D7A8E" w:rsidR="00C50ECE" w:rsidRPr="00C50ECE" w:rsidRDefault="00C50ECE" w:rsidP="00BF7C68">
      <w:pPr>
        <w:pStyle w:val="NoSpacing"/>
        <w:ind w:left="720" w:hanging="720"/>
        <w:rPr>
          <w:b/>
        </w:rPr>
      </w:pPr>
      <w:r w:rsidRPr="00C50ECE">
        <w:t>Mazzoni P, Krakauer JW (2006) An implicit plan overrides an explicit strategy during visuomotor adaptation. J Neurosci 26:3642–3645. </w:t>
      </w:r>
      <w:r w:rsidRPr="00BF7C68">
        <w:t>https://doi.org/10.1523/JNEUROSCI.5317-05.2006</w:t>
      </w:r>
    </w:p>
    <w:p w14:paraId="146C516F" w14:textId="0DEB3E3A" w:rsidR="00C50ECE" w:rsidRPr="00C50ECE" w:rsidRDefault="00C50ECE" w:rsidP="00BF7C68">
      <w:pPr>
        <w:pStyle w:val="NoSpacing"/>
        <w:ind w:left="720" w:hanging="720"/>
        <w:rPr>
          <w:b/>
        </w:rPr>
      </w:pPr>
      <w:r w:rsidRPr="00C50ECE">
        <w:t>McDougle SD, Bond KM, Taylor JA (2015) Explicit and implicit processes constitute the fast and slow processes of sensorimotor learning. J Neurosci 35:9568–9579. </w:t>
      </w:r>
      <w:r w:rsidRPr="00BF7C68">
        <w:t>https://doi.org/10.1523/jneurosci.5061-14.2015</w:t>
      </w:r>
    </w:p>
    <w:p w14:paraId="423282A6" w14:textId="085E21B4" w:rsidR="00C50ECE" w:rsidRPr="00C50ECE" w:rsidRDefault="00C50ECE" w:rsidP="00BF7C68">
      <w:pPr>
        <w:pStyle w:val="NoSpacing"/>
        <w:ind w:left="720" w:hanging="720"/>
        <w:rPr>
          <w:b/>
        </w:rPr>
      </w:pPr>
      <w:r w:rsidRPr="00C50ECE">
        <w:t>Pine ZM, Krakauer JW, Gordon J, Ghez C (1996) Learning of scaling factors and reference axes for reaching movements. NeuroReport 7:2357–2361. </w:t>
      </w:r>
      <w:r w:rsidRPr="00BF7C68">
        <w:t>https://doi.org/10.1097/00001756-199610020-00016</w:t>
      </w:r>
    </w:p>
    <w:p w14:paraId="53F9561F" w14:textId="6B43E64D" w:rsidR="00C50ECE" w:rsidRPr="00C50ECE" w:rsidRDefault="00C50ECE" w:rsidP="00BF7C68">
      <w:pPr>
        <w:pStyle w:val="NoSpacing"/>
        <w:ind w:left="720" w:hanging="720"/>
        <w:rPr>
          <w:b/>
        </w:rPr>
      </w:pPr>
      <w:r w:rsidRPr="00C50ECE">
        <w:t>Prablanc C, Michel C, Pisella L et al (2007) Enhancing visuomotor adaptation by reducing error signals: single-step (Aware) versus multiple-step (Unaware) exposure to wedge prisms. J Cogn Neurosci 19:341–350. </w:t>
      </w:r>
      <w:r w:rsidRPr="00BF7C68">
        <w:t>https://doi.org/10.1162/jocn.2007.19.2.341</w:t>
      </w:r>
    </w:p>
    <w:p w14:paraId="35B6898F" w14:textId="4685EA22" w:rsidR="00C50ECE" w:rsidRPr="00C50ECE" w:rsidRDefault="00C50ECE" w:rsidP="00BF7C68">
      <w:pPr>
        <w:pStyle w:val="NoSpacing"/>
        <w:ind w:left="720" w:hanging="720"/>
        <w:rPr>
          <w:b/>
        </w:rPr>
      </w:pPr>
      <w:r w:rsidRPr="00C50ECE">
        <w:t>Reber PJ, Squire LR (1994) Parallel brain systems for learning with and without awareness. Learn Mem 1:217–229. </w:t>
      </w:r>
      <w:r w:rsidRPr="00BF7C68">
        <w:t>https://doi.org/10.1101/lm.1.4.217</w:t>
      </w:r>
    </w:p>
    <w:p w14:paraId="32A55E4F" w14:textId="03511E7A" w:rsidR="00C50ECE" w:rsidRPr="00C50ECE" w:rsidRDefault="00C50ECE" w:rsidP="00BF7C68">
      <w:pPr>
        <w:pStyle w:val="NoSpacing"/>
        <w:ind w:left="720" w:hanging="720"/>
        <w:rPr>
          <w:b/>
        </w:rPr>
      </w:pPr>
      <w:r w:rsidRPr="00C50ECE">
        <w:t>Reber PJ, Squire LR (1998) Encapsulation of implicit and explicit memory in sequence learning. J Cogn Neurosci 10:248–263</w:t>
      </w:r>
    </w:p>
    <w:p w14:paraId="15A209E8" w14:textId="54F61A08" w:rsidR="00C50ECE" w:rsidRPr="00C50ECE" w:rsidRDefault="00C50ECE" w:rsidP="00BF7C68">
      <w:pPr>
        <w:pStyle w:val="NoSpacing"/>
        <w:ind w:left="720" w:hanging="720"/>
        <w:rPr>
          <w:b/>
        </w:rPr>
      </w:pPr>
      <w:r w:rsidRPr="00C50ECE">
        <w:t>Redding GM, Wallace B (1996) Adaptive spatial alignment and strategic perceptual-motor control. J Exp Psychol Hum Percept Perform 22:379–394</w:t>
      </w:r>
    </w:p>
    <w:p w14:paraId="5E7F6727" w14:textId="061E7A1C" w:rsidR="00C50ECE" w:rsidRPr="00C50ECE" w:rsidRDefault="00C50ECE" w:rsidP="00BF7C68">
      <w:pPr>
        <w:pStyle w:val="NoSpacing"/>
        <w:ind w:left="720" w:hanging="720"/>
        <w:rPr>
          <w:b/>
        </w:rPr>
      </w:pPr>
      <w:r w:rsidRPr="00C50ECE">
        <w:t>Redding GM, Rossetti Y, Wallace B (2005) Applications of prism adaptation: a tutorial in theory and method. Neurosci Biobehav Rev 29:431–444. </w:t>
      </w:r>
      <w:r w:rsidRPr="00BF7C68">
        <w:t>https://doi.org/10.1016/j.neubiorev.2004.12.004</w:t>
      </w:r>
    </w:p>
    <w:p w14:paraId="50F7CBAA" w14:textId="3312C62D" w:rsidR="00C50ECE" w:rsidRPr="00C50ECE" w:rsidRDefault="00C50ECE" w:rsidP="00BF7C68">
      <w:pPr>
        <w:pStyle w:val="NoSpacing"/>
        <w:ind w:left="720" w:hanging="720"/>
        <w:rPr>
          <w:b/>
        </w:rPr>
      </w:pPr>
      <w:r w:rsidRPr="00C50ECE">
        <w:t>Sainburg RL, Lateiner JE, Latash ML, Bagesteiro LB (2003) Effects of altering initial position on movement direction and extent. J Neurophysiol 89:401–415. </w:t>
      </w:r>
      <w:r w:rsidRPr="00BF7C68">
        <w:t>https://doi.org/10.1152/jn.00243.2002</w:t>
      </w:r>
    </w:p>
    <w:p w14:paraId="23E005F3" w14:textId="2D0E8C93" w:rsidR="00C50ECE" w:rsidRPr="00C50ECE" w:rsidRDefault="00C50ECE" w:rsidP="00BF7C68">
      <w:pPr>
        <w:pStyle w:val="NoSpacing"/>
        <w:ind w:left="720" w:hanging="720"/>
        <w:rPr>
          <w:b/>
        </w:rPr>
      </w:pPr>
      <w:r w:rsidRPr="00C50ECE">
        <w:t>Scheidt RA, Ghez C (2007) Separate adaptive mechanisms for controlling trajectory and final position in reaching. J Neurophysiol 98:3600–3613. </w:t>
      </w:r>
      <w:r w:rsidRPr="00BF7C68">
        <w:t>https://doi.org/10.1152/jn.00121.2007</w:t>
      </w:r>
    </w:p>
    <w:p w14:paraId="13B2A7F2" w14:textId="486D9D6B" w:rsidR="00C50ECE" w:rsidRPr="00C50ECE" w:rsidRDefault="00C50ECE" w:rsidP="00BF7C68">
      <w:pPr>
        <w:pStyle w:val="NoSpacing"/>
        <w:ind w:left="720" w:hanging="720"/>
        <w:rPr>
          <w:b/>
        </w:rPr>
      </w:pPr>
      <w:r w:rsidRPr="00C50ECE">
        <w:t>Scheidt RA, Reinkensmeyer DJ, Conditt MA et al (2000) Persistence of motor adaptation during constrained, multi-joint, arm movements. J Neurophysiol 84:853–862. </w:t>
      </w:r>
      <w:r w:rsidRPr="00BF7C68">
        <w:t>https://doi.org/10.1152/jn.2000.84.2.853</w:t>
      </w:r>
    </w:p>
    <w:p w14:paraId="3969E21C" w14:textId="4BB643C6" w:rsidR="00C50ECE" w:rsidRPr="00C50ECE" w:rsidRDefault="00C50ECE" w:rsidP="00BF7C68">
      <w:pPr>
        <w:pStyle w:val="NoSpacing"/>
        <w:ind w:left="720" w:hanging="720"/>
        <w:rPr>
          <w:b/>
        </w:rPr>
      </w:pPr>
      <w:r w:rsidRPr="00C50ECE">
        <w:t>Scheidt RA, Dingwell JB, Mussa-Ivaldi FA (2001) Learning to move amid uncertainty. J Neurophysiol 86:971–985. </w:t>
      </w:r>
      <w:r w:rsidRPr="00BF7C68">
        <w:t>https://doi.org/10.1152/jn.2001.86.2.971</w:t>
      </w:r>
    </w:p>
    <w:p w14:paraId="533752F7" w14:textId="376DFF15" w:rsidR="00C50ECE" w:rsidRPr="00C50ECE" w:rsidRDefault="00C50ECE" w:rsidP="00BF7C68">
      <w:pPr>
        <w:pStyle w:val="NoSpacing"/>
        <w:ind w:left="720" w:hanging="720"/>
        <w:rPr>
          <w:b/>
        </w:rPr>
      </w:pPr>
      <w:r w:rsidRPr="00C50ECE">
        <w:t>Scheidt RA, Ghez C, Asnani S (2011) Patterns of hypermetria and terminal cocontraction during point-to-point movements demonstrate independent action of trajectory and postural controllers. J Neurophysiol 106:2368–2382. </w:t>
      </w:r>
      <w:r w:rsidRPr="00BF7C68">
        <w:t>https://doi.org/10.1152/jn.00763.2010</w:t>
      </w:r>
    </w:p>
    <w:p w14:paraId="3D834F2C" w14:textId="39F8691C" w:rsidR="00C50ECE" w:rsidRPr="00C50ECE" w:rsidRDefault="00C50ECE" w:rsidP="00BF7C68">
      <w:pPr>
        <w:pStyle w:val="NoSpacing"/>
        <w:ind w:left="720" w:hanging="720"/>
        <w:rPr>
          <w:b/>
        </w:rPr>
      </w:pPr>
      <w:r w:rsidRPr="00C50ECE">
        <w:t>Scheidt RA, Zimbelman JL, Salowitz NMG, Suminski AJ, Mosier KM, Houk J et al (2012) Remembering forward: Neural correlates of memory and prediction in human motor adaptation. Neuroimage 59(1):582–600. </w:t>
      </w:r>
      <w:r w:rsidRPr="00BF7C68">
        <w:t>https://doi.org/10.1016/j.neuroimage.2011.07.072</w:t>
      </w:r>
    </w:p>
    <w:p w14:paraId="7F804613" w14:textId="5A4B2460" w:rsidR="00C50ECE" w:rsidRPr="00C50ECE" w:rsidRDefault="00C50ECE" w:rsidP="00BF7C68">
      <w:pPr>
        <w:pStyle w:val="NoSpacing"/>
        <w:ind w:left="720" w:hanging="720"/>
        <w:rPr>
          <w:b/>
        </w:rPr>
      </w:pPr>
      <w:r w:rsidRPr="00C50ECE">
        <w:t>Shadmehr R, Brashers-Krug T (1997) Functional stages in the formation of human long-term motor memory. J Neurosci 17:409–419. </w:t>
      </w:r>
      <w:r w:rsidRPr="00BF7C68">
        <w:t>https://doi.org/10.1523/jneurosci.17-01-00409.1997</w:t>
      </w:r>
    </w:p>
    <w:p w14:paraId="5395E6BE" w14:textId="4E28CF19" w:rsidR="00C50ECE" w:rsidRPr="00C50ECE" w:rsidRDefault="00C50ECE" w:rsidP="00BF7C68">
      <w:pPr>
        <w:pStyle w:val="NoSpacing"/>
        <w:ind w:left="720" w:hanging="720"/>
        <w:rPr>
          <w:b/>
        </w:rPr>
      </w:pPr>
      <w:r w:rsidRPr="00C50ECE">
        <w:t>Shadmehr R, Mussa-Ivaldi FA (1994) Adaptive representation of dynamics during learning of a motor task. J Neurosci 14:3208–3224. </w:t>
      </w:r>
      <w:r w:rsidRPr="00BF7C68">
        <w:t>https://doi.org/10.1523/JNEUROSCI.14-05-03208.1994</w:t>
      </w:r>
    </w:p>
    <w:p w14:paraId="04B363BB" w14:textId="1EE186F6" w:rsidR="00C50ECE" w:rsidRPr="00C50ECE" w:rsidRDefault="00C50ECE" w:rsidP="00BF7C68">
      <w:pPr>
        <w:pStyle w:val="NoSpacing"/>
        <w:ind w:left="720" w:hanging="720"/>
      </w:pPr>
      <w:r w:rsidRPr="00C50ECE">
        <w:t>Slick RA, Lantagne DD, Mrotek LA, et al (2017) Memory use during implicit learning varies across sensory feedback conditions, but is not impacted by interposed self-assessments. Soc Neurosci</w:t>
      </w:r>
    </w:p>
    <w:p w14:paraId="7105B9FF" w14:textId="505316A2" w:rsidR="00C50ECE" w:rsidRPr="00C50ECE" w:rsidRDefault="00C50ECE" w:rsidP="00BF7C68">
      <w:pPr>
        <w:pStyle w:val="NoSpacing"/>
        <w:ind w:left="720" w:hanging="720"/>
      </w:pPr>
      <w:r w:rsidRPr="00C50ECE">
        <w:t>Smith MA, Ghazizadeh A, Shadmehr R (2006) Interacting adaptive processes with different timescales underlie short-term motor learning. PLoS Biol 4:1035–1043. </w:t>
      </w:r>
      <w:r w:rsidRPr="00BF7C68">
        <w:t>https://doi.org/10.1063/1.2184639</w:t>
      </w:r>
    </w:p>
    <w:p w14:paraId="15158679" w14:textId="11812766" w:rsidR="00C50ECE" w:rsidRPr="00C50ECE" w:rsidRDefault="00C50ECE" w:rsidP="00BF7C68">
      <w:pPr>
        <w:pStyle w:val="NoSpacing"/>
        <w:ind w:left="720" w:hanging="720"/>
        <w:rPr>
          <w:b/>
        </w:rPr>
      </w:pPr>
      <w:r w:rsidRPr="00C50ECE">
        <w:t>Summerside EM, Shadmehr R, Ahmed AA (2018) Vigor of reaching movements: reward discounts the cost of effort. J Neurophysiol 119:2347–2357. </w:t>
      </w:r>
      <w:r w:rsidRPr="00BF7C68">
        <w:t>https://doi.org/10.1152/jn.00872.2017.-Making</w:t>
      </w:r>
    </w:p>
    <w:p w14:paraId="768C166E" w14:textId="3A6BD552" w:rsidR="00C50ECE" w:rsidRPr="00C50ECE" w:rsidRDefault="00C50ECE" w:rsidP="00BF7C68">
      <w:pPr>
        <w:pStyle w:val="NoSpacing"/>
        <w:ind w:left="720" w:hanging="720"/>
        <w:rPr>
          <w:b/>
        </w:rPr>
      </w:pPr>
      <w:r w:rsidRPr="00C50ECE">
        <w:t>Taylor JA, Ivry RB (2011) Flexible cognitive strategies during motor learning. PLoS Comput Biol 7:1–13. </w:t>
      </w:r>
      <w:r w:rsidRPr="00BF7C68">
        <w:t>https://doi.org/10.1371/journal.pcbi.1001096</w:t>
      </w:r>
    </w:p>
    <w:p w14:paraId="3EE834F4" w14:textId="4433F8C6" w:rsidR="00C50ECE" w:rsidRPr="00C50ECE" w:rsidRDefault="00C50ECE" w:rsidP="00BF7C68">
      <w:pPr>
        <w:pStyle w:val="NoSpacing"/>
        <w:ind w:left="720" w:hanging="720"/>
        <w:rPr>
          <w:b/>
        </w:rPr>
      </w:pPr>
      <w:r w:rsidRPr="00C50ECE">
        <w:t>Taylor JA, Krakauer JW, Ivry RB (2014) Explicit and implicit contributions to learning in a sensorimotor adaptation task. J Neurosci 34:3023–3032. </w:t>
      </w:r>
      <w:r w:rsidRPr="00BF7C68">
        <w:t>https://doi.org/10.1523/JNEUROSCI.3619-13.2014</w:t>
      </w:r>
    </w:p>
    <w:p w14:paraId="712A4EDA" w14:textId="7BA7AB14" w:rsidR="00C50ECE" w:rsidRPr="00C50ECE" w:rsidRDefault="00C50ECE" w:rsidP="00BF7C68">
      <w:pPr>
        <w:pStyle w:val="NoSpacing"/>
        <w:ind w:left="720" w:hanging="720"/>
        <w:rPr>
          <w:b/>
        </w:rPr>
      </w:pPr>
      <w:r w:rsidRPr="00C50ECE">
        <w:t>Thoroughman KA, Shadmehr R (2000) Learning of action through adaptive combination of motor primitives. Nature 407:742–747. </w:t>
      </w:r>
      <w:r w:rsidRPr="00BF7C68">
        <w:t>https://doi.org/10.1038/35037588</w:t>
      </w:r>
    </w:p>
    <w:p w14:paraId="087E07D7" w14:textId="08F5943E" w:rsidR="00C50ECE" w:rsidRPr="00C50ECE" w:rsidRDefault="00C50ECE" w:rsidP="00BF7C68">
      <w:pPr>
        <w:pStyle w:val="NoSpacing"/>
        <w:ind w:left="720" w:hanging="720"/>
        <w:rPr>
          <w:b/>
        </w:rPr>
      </w:pPr>
      <w:r w:rsidRPr="00C50ECE">
        <w:t>Vindras P, Viviani P (1998) Frames of reference and control parameters in visuomanual pointing. J Exp Psychol Hum Percept Perform 24:569–591. </w:t>
      </w:r>
      <w:r w:rsidRPr="00BF7C68">
        <w:t>https://doi.org/10.1037//0096-1523.24.2.569</w:t>
      </w:r>
    </w:p>
    <w:p w14:paraId="17496337" w14:textId="6A0D1F1B" w:rsidR="00C50ECE" w:rsidRPr="00C50ECE" w:rsidRDefault="00C50ECE" w:rsidP="00BF7C68">
      <w:pPr>
        <w:pStyle w:val="NoSpacing"/>
        <w:ind w:left="720" w:hanging="720"/>
        <w:rPr>
          <w:b/>
        </w:rPr>
      </w:pPr>
      <w:r w:rsidRPr="00C50ECE">
        <w:t>Wann JP, Ibrahim SF (1992) Does limb proprioception drift? Exp Brain Res 91:162–166. </w:t>
      </w:r>
      <w:r w:rsidRPr="00BF7C68">
        <w:t>https://doi.org/10.1007/BF00230024</w:t>
      </w:r>
    </w:p>
    <w:p w14:paraId="38717A1B" w14:textId="28C2FA21" w:rsidR="00C50ECE" w:rsidRDefault="00C50ECE" w:rsidP="00BF7C68">
      <w:pPr>
        <w:pStyle w:val="NoSpacing"/>
        <w:ind w:left="720" w:hanging="720"/>
      </w:pPr>
      <w:r w:rsidRPr="00C50ECE">
        <w:t>Werner S, Van Aken BC, Hulst T et al (2015) Awareness of sensorimotor adaptation to visual rotations of different size. PLoS ONE 10:1–18. </w:t>
      </w:r>
      <w:r w:rsidRPr="00BF7C68">
        <w:t>https://doi.org/10.1371/journal.pone.0123321</w:t>
      </w:r>
    </w:p>
    <w:p w14:paraId="1D95556F" w14:textId="77777777" w:rsidR="00C50ECE" w:rsidRPr="00C50ECE" w:rsidRDefault="00C50ECE" w:rsidP="00C50ECE"/>
    <w:sectPr w:rsidR="00C50ECE" w:rsidRPr="00C50EC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FD4982"/>
    <w:multiLevelType w:val="multilevel"/>
    <w:tmpl w:val="7D76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6315E6"/>
    <w:multiLevelType w:val="multilevel"/>
    <w:tmpl w:val="8B48E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F630F7"/>
    <w:multiLevelType w:val="hybridMultilevel"/>
    <w:tmpl w:val="3D7E8EC0"/>
    <w:lvl w:ilvl="0" w:tplc="D286162C">
      <w:start w:val="1"/>
      <w:numFmt w:val="bullet"/>
      <w:lvlText w:val=""/>
      <w:lvlJc w:val="left"/>
      <w:pPr>
        <w:ind w:left="720" w:hanging="360"/>
      </w:pPr>
      <w:rPr>
        <w:rFonts w:ascii="Symbol" w:hAnsi="Symbol" w:hint="default"/>
      </w:rPr>
    </w:lvl>
    <w:lvl w:ilvl="1" w:tplc="088897F4">
      <w:start w:val="1"/>
      <w:numFmt w:val="bullet"/>
      <w:lvlText w:val="o"/>
      <w:lvlJc w:val="left"/>
      <w:pPr>
        <w:ind w:left="1440" w:hanging="360"/>
      </w:pPr>
      <w:rPr>
        <w:rFonts w:ascii="Courier New" w:hAnsi="Courier New" w:hint="default"/>
      </w:rPr>
    </w:lvl>
    <w:lvl w:ilvl="2" w:tplc="D48814CA">
      <w:start w:val="1"/>
      <w:numFmt w:val="bullet"/>
      <w:lvlText w:val=""/>
      <w:lvlJc w:val="left"/>
      <w:pPr>
        <w:ind w:left="2160" w:hanging="360"/>
      </w:pPr>
      <w:rPr>
        <w:rFonts w:ascii="Wingdings" w:hAnsi="Wingdings" w:hint="default"/>
      </w:rPr>
    </w:lvl>
    <w:lvl w:ilvl="3" w:tplc="EABE3A52">
      <w:start w:val="1"/>
      <w:numFmt w:val="bullet"/>
      <w:lvlText w:val=""/>
      <w:lvlJc w:val="left"/>
      <w:pPr>
        <w:ind w:left="2880" w:hanging="360"/>
      </w:pPr>
      <w:rPr>
        <w:rFonts w:ascii="Symbol" w:hAnsi="Symbol" w:hint="default"/>
      </w:rPr>
    </w:lvl>
    <w:lvl w:ilvl="4" w:tplc="D0723B92">
      <w:start w:val="1"/>
      <w:numFmt w:val="bullet"/>
      <w:lvlText w:val="o"/>
      <w:lvlJc w:val="left"/>
      <w:pPr>
        <w:ind w:left="3600" w:hanging="360"/>
      </w:pPr>
      <w:rPr>
        <w:rFonts w:ascii="Courier New" w:hAnsi="Courier New" w:hint="default"/>
      </w:rPr>
    </w:lvl>
    <w:lvl w:ilvl="5" w:tplc="DEF016A2">
      <w:start w:val="1"/>
      <w:numFmt w:val="bullet"/>
      <w:lvlText w:val=""/>
      <w:lvlJc w:val="left"/>
      <w:pPr>
        <w:ind w:left="4320" w:hanging="360"/>
      </w:pPr>
      <w:rPr>
        <w:rFonts w:ascii="Wingdings" w:hAnsi="Wingdings" w:hint="default"/>
      </w:rPr>
    </w:lvl>
    <w:lvl w:ilvl="6" w:tplc="C2B06036">
      <w:start w:val="1"/>
      <w:numFmt w:val="bullet"/>
      <w:lvlText w:val=""/>
      <w:lvlJc w:val="left"/>
      <w:pPr>
        <w:ind w:left="5040" w:hanging="360"/>
      </w:pPr>
      <w:rPr>
        <w:rFonts w:ascii="Symbol" w:hAnsi="Symbol" w:hint="default"/>
      </w:rPr>
    </w:lvl>
    <w:lvl w:ilvl="7" w:tplc="64FA40A8">
      <w:start w:val="1"/>
      <w:numFmt w:val="bullet"/>
      <w:lvlText w:val="o"/>
      <w:lvlJc w:val="left"/>
      <w:pPr>
        <w:ind w:left="5760" w:hanging="360"/>
      </w:pPr>
      <w:rPr>
        <w:rFonts w:ascii="Courier New" w:hAnsi="Courier New" w:hint="default"/>
      </w:rPr>
    </w:lvl>
    <w:lvl w:ilvl="8" w:tplc="ED1866B8">
      <w:start w:val="1"/>
      <w:numFmt w:val="bullet"/>
      <w:lvlText w:val=""/>
      <w:lvlJc w:val="left"/>
      <w:pPr>
        <w:ind w:left="6480" w:hanging="360"/>
      </w:pPr>
      <w:rPr>
        <w:rFonts w:ascii="Wingdings" w:hAnsi="Wingdings" w:hint="default"/>
      </w:r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AB7A1D"/>
    <w:multiLevelType w:val="multilevel"/>
    <w:tmpl w:val="F16C4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2979728">
    <w:abstractNumId w:val="15"/>
  </w:num>
  <w:num w:numId="2" w16cid:durableId="2015912636">
    <w:abstractNumId w:val="0"/>
  </w:num>
  <w:num w:numId="3" w16cid:durableId="869148084">
    <w:abstractNumId w:val="2"/>
  </w:num>
  <w:num w:numId="4" w16cid:durableId="352847560">
    <w:abstractNumId w:val="18"/>
  </w:num>
  <w:num w:numId="5" w16cid:durableId="337848893">
    <w:abstractNumId w:val="4"/>
  </w:num>
  <w:num w:numId="6" w16cid:durableId="1903448030">
    <w:abstractNumId w:val="14"/>
  </w:num>
  <w:num w:numId="7" w16cid:durableId="380906694">
    <w:abstractNumId w:val="19"/>
  </w:num>
  <w:num w:numId="8" w16cid:durableId="697196837">
    <w:abstractNumId w:val="1"/>
  </w:num>
  <w:num w:numId="9" w16cid:durableId="1594508622">
    <w:abstractNumId w:val="13"/>
  </w:num>
  <w:num w:numId="10" w16cid:durableId="1212381681">
    <w:abstractNumId w:val="10"/>
  </w:num>
  <w:num w:numId="11" w16cid:durableId="1367095591">
    <w:abstractNumId w:val="3"/>
  </w:num>
  <w:num w:numId="12" w16cid:durableId="413746455">
    <w:abstractNumId w:val="16"/>
  </w:num>
  <w:num w:numId="13" w16cid:durableId="908492141">
    <w:abstractNumId w:val="20"/>
  </w:num>
  <w:num w:numId="14" w16cid:durableId="1103961436">
    <w:abstractNumId w:val="11"/>
  </w:num>
  <w:num w:numId="15" w16cid:durableId="600181465">
    <w:abstractNumId w:val="7"/>
  </w:num>
  <w:num w:numId="16" w16cid:durableId="1290279111">
    <w:abstractNumId w:val="17"/>
  </w:num>
  <w:num w:numId="17" w16cid:durableId="560480593">
    <w:abstractNumId w:val="8"/>
  </w:num>
  <w:num w:numId="18" w16cid:durableId="516893020">
    <w:abstractNumId w:val="5"/>
  </w:num>
  <w:num w:numId="19" w16cid:durableId="1101993787">
    <w:abstractNumId w:val="12"/>
  </w:num>
  <w:num w:numId="20" w16cid:durableId="1583836152">
    <w:abstractNumId w:val="6"/>
  </w:num>
  <w:num w:numId="21" w16cid:durableId="1987008919">
    <w:abstractNumId w:val="21"/>
  </w:num>
  <w:num w:numId="22" w16cid:durableId="11208755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Vr9aaFWjdP9tUHk14xZvY03tGA4ntt2q3CqCP2S07Pv0WpADYmb0kAACeHEEK5NhWyes98tYbLiAAI9tf5lYJw==" w:salt="bL5PajkkVGnDeqGRN47m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14"/>
    <w:rsid w:val="00092DFF"/>
    <w:rsid w:val="00093C1A"/>
    <w:rsid w:val="000976FB"/>
    <w:rsid w:val="00097FBC"/>
    <w:rsid w:val="000A0975"/>
    <w:rsid w:val="000A266C"/>
    <w:rsid w:val="000A2D8D"/>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048A"/>
    <w:rsid w:val="00101A98"/>
    <w:rsid w:val="00104CE6"/>
    <w:rsid w:val="00107EA8"/>
    <w:rsid w:val="00114114"/>
    <w:rsid w:val="00117F89"/>
    <w:rsid w:val="00120313"/>
    <w:rsid w:val="00121209"/>
    <w:rsid w:val="001233A5"/>
    <w:rsid w:val="00123BC0"/>
    <w:rsid w:val="00123E80"/>
    <w:rsid w:val="00126F90"/>
    <w:rsid w:val="0013073E"/>
    <w:rsid w:val="00131015"/>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6996"/>
    <w:rsid w:val="00196C7C"/>
    <w:rsid w:val="001A1C71"/>
    <w:rsid w:val="001A1DF4"/>
    <w:rsid w:val="001A34C4"/>
    <w:rsid w:val="001A4F94"/>
    <w:rsid w:val="001B6E76"/>
    <w:rsid w:val="001C3A3F"/>
    <w:rsid w:val="001C4407"/>
    <w:rsid w:val="001D1087"/>
    <w:rsid w:val="001D2448"/>
    <w:rsid w:val="001D3ADE"/>
    <w:rsid w:val="001D58D3"/>
    <w:rsid w:val="001D638B"/>
    <w:rsid w:val="001D6BFD"/>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59B1"/>
    <w:rsid w:val="002A6B8B"/>
    <w:rsid w:val="002A7C1F"/>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4D6"/>
    <w:rsid w:val="00360206"/>
    <w:rsid w:val="003624EE"/>
    <w:rsid w:val="003632E1"/>
    <w:rsid w:val="00363CD3"/>
    <w:rsid w:val="003656A9"/>
    <w:rsid w:val="00366852"/>
    <w:rsid w:val="003706EF"/>
    <w:rsid w:val="00370BE4"/>
    <w:rsid w:val="00371D56"/>
    <w:rsid w:val="00375803"/>
    <w:rsid w:val="0037755D"/>
    <w:rsid w:val="00381F0E"/>
    <w:rsid w:val="00384C6C"/>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465C9"/>
    <w:rsid w:val="00450DB8"/>
    <w:rsid w:val="00453D2C"/>
    <w:rsid w:val="00454851"/>
    <w:rsid w:val="00456070"/>
    <w:rsid w:val="00456B26"/>
    <w:rsid w:val="004570E7"/>
    <w:rsid w:val="00460A1D"/>
    <w:rsid w:val="004613DF"/>
    <w:rsid w:val="00461BB2"/>
    <w:rsid w:val="00463F96"/>
    <w:rsid w:val="004660BE"/>
    <w:rsid w:val="0046696C"/>
    <w:rsid w:val="00466DC3"/>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4F35"/>
    <w:rsid w:val="004B2226"/>
    <w:rsid w:val="004B6BED"/>
    <w:rsid w:val="004B77C2"/>
    <w:rsid w:val="004C0B3D"/>
    <w:rsid w:val="004C2D7B"/>
    <w:rsid w:val="004C45D2"/>
    <w:rsid w:val="004C5EEF"/>
    <w:rsid w:val="004D118A"/>
    <w:rsid w:val="004D1CB9"/>
    <w:rsid w:val="004D21C9"/>
    <w:rsid w:val="004E0077"/>
    <w:rsid w:val="004E34F8"/>
    <w:rsid w:val="004E3C84"/>
    <w:rsid w:val="004E528B"/>
    <w:rsid w:val="004E7D07"/>
    <w:rsid w:val="004F146C"/>
    <w:rsid w:val="004F1F3C"/>
    <w:rsid w:val="004F657B"/>
    <w:rsid w:val="0050408D"/>
    <w:rsid w:val="00504C6A"/>
    <w:rsid w:val="00510364"/>
    <w:rsid w:val="005116C9"/>
    <w:rsid w:val="00511BEE"/>
    <w:rsid w:val="00515B57"/>
    <w:rsid w:val="0051708D"/>
    <w:rsid w:val="005175E9"/>
    <w:rsid w:val="00517E50"/>
    <w:rsid w:val="00520368"/>
    <w:rsid w:val="0052658A"/>
    <w:rsid w:val="00533270"/>
    <w:rsid w:val="00540146"/>
    <w:rsid w:val="00543C22"/>
    <w:rsid w:val="0054405B"/>
    <w:rsid w:val="0054567F"/>
    <w:rsid w:val="00546B44"/>
    <w:rsid w:val="005531F8"/>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5FB"/>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CDE"/>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07ED"/>
    <w:rsid w:val="007065D3"/>
    <w:rsid w:val="007071B1"/>
    <w:rsid w:val="00707EC1"/>
    <w:rsid w:val="00710582"/>
    <w:rsid w:val="007121E6"/>
    <w:rsid w:val="00714EE9"/>
    <w:rsid w:val="00717D95"/>
    <w:rsid w:val="007246B0"/>
    <w:rsid w:val="007258CB"/>
    <w:rsid w:val="00730E29"/>
    <w:rsid w:val="00732FF6"/>
    <w:rsid w:val="00735393"/>
    <w:rsid w:val="00745E32"/>
    <w:rsid w:val="007466F7"/>
    <w:rsid w:val="00747ABA"/>
    <w:rsid w:val="00750BD9"/>
    <w:rsid w:val="00757D89"/>
    <w:rsid w:val="0076194B"/>
    <w:rsid w:val="00763676"/>
    <w:rsid w:val="00772776"/>
    <w:rsid w:val="00776E56"/>
    <w:rsid w:val="00781619"/>
    <w:rsid w:val="0079146B"/>
    <w:rsid w:val="00791DD5"/>
    <w:rsid w:val="00796875"/>
    <w:rsid w:val="0079756E"/>
    <w:rsid w:val="007A1233"/>
    <w:rsid w:val="007A258F"/>
    <w:rsid w:val="007A3B3A"/>
    <w:rsid w:val="007A550B"/>
    <w:rsid w:val="007B0BBA"/>
    <w:rsid w:val="007C16F7"/>
    <w:rsid w:val="007C679F"/>
    <w:rsid w:val="007D25DB"/>
    <w:rsid w:val="007D2799"/>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5BA5"/>
    <w:rsid w:val="00831028"/>
    <w:rsid w:val="008322E3"/>
    <w:rsid w:val="00834DF7"/>
    <w:rsid w:val="00836F01"/>
    <w:rsid w:val="008406F5"/>
    <w:rsid w:val="0084097E"/>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0276"/>
    <w:rsid w:val="008C3543"/>
    <w:rsid w:val="008D0690"/>
    <w:rsid w:val="008D0F0D"/>
    <w:rsid w:val="008D0FF2"/>
    <w:rsid w:val="008D14D6"/>
    <w:rsid w:val="008D1D7F"/>
    <w:rsid w:val="008D3526"/>
    <w:rsid w:val="008F0401"/>
    <w:rsid w:val="008F04C1"/>
    <w:rsid w:val="008F1776"/>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6DE0"/>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E2F"/>
    <w:rsid w:val="00977C0E"/>
    <w:rsid w:val="00977F1D"/>
    <w:rsid w:val="00982217"/>
    <w:rsid w:val="00984B39"/>
    <w:rsid w:val="00986A83"/>
    <w:rsid w:val="00990645"/>
    <w:rsid w:val="009A130B"/>
    <w:rsid w:val="009A2639"/>
    <w:rsid w:val="009A397F"/>
    <w:rsid w:val="009B4F83"/>
    <w:rsid w:val="009B6983"/>
    <w:rsid w:val="009C5450"/>
    <w:rsid w:val="009C54CC"/>
    <w:rsid w:val="009C5716"/>
    <w:rsid w:val="009D316A"/>
    <w:rsid w:val="009D3527"/>
    <w:rsid w:val="009D5368"/>
    <w:rsid w:val="009D54DF"/>
    <w:rsid w:val="009E56AC"/>
    <w:rsid w:val="009E56AF"/>
    <w:rsid w:val="009E678D"/>
    <w:rsid w:val="009F28E2"/>
    <w:rsid w:val="009F4BDF"/>
    <w:rsid w:val="009F60BA"/>
    <w:rsid w:val="009F7F44"/>
    <w:rsid w:val="00A00902"/>
    <w:rsid w:val="00A01B8D"/>
    <w:rsid w:val="00A034AE"/>
    <w:rsid w:val="00A035F5"/>
    <w:rsid w:val="00A06F30"/>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4A47"/>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16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6B6E"/>
    <w:rsid w:val="00B47D09"/>
    <w:rsid w:val="00B50108"/>
    <w:rsid w:val="00B525D3"/>
    <w:rsid w:val="00B527F4"/>
    <w:rsid w:val="00B55B5C"/>
    <w:rsid w:val="00B56290"/>
    <w:rsid w:val="00B57923"/>
    <w:rsid w:val="00B61B54"/>
    <w:rsid w:val="00B6351D"/>
    <w:rsid w:val="00B64203"/>
    <w:rsid w:val="00B6519E"/>
    <w:rsid w:val="00B66AF1"/>
    <w:rsid w:val="00B70245"/>
    <w:rsid w:val="00B703C2"/>
    <w:rsid w:val="00B74E41"/>
    <w:rsid w:val="00B766D4"/>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BF7C68"/>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4D57"/>
    <w:rsid w:val="00C47122"/>
    <w:rsid w:val="00C47959"/>
    <w:rsid w:val="00C47CEA"/>
    <w:rsid w:val="00C50ECE"/>
    <w:rsid w:val="00C515E0"/>
    <w:rsid w:val="00C531A3"/>
    <w:rsid w:val="00C57F24"/>
    <w:rsid w:val="00C63EA6"/>
    <w:rsid w:val="00C647A4"/>
    <w:rsid w:val="00C6619F"/>
    <w:rsid w:val="00C6624A"/>
    <w:rsid w:val="00C67DA4"/>
    <w:rsid w:val="00C742C3"/>
    <w:rsid w:val="00C75559"/>
    <w:rsid w:val="00C76D88"/>
    <w:rsid w:val="00C7785D"/>
    <w:rsid w:val="00C77A26"/>
    <w:rsid w:val="00C85BDD"/>
    <w:rsid w:val="00C86B81"/>
    <w:rsid w:val="00C870E9"/>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34D6"/>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177"/>
    <w:rsid w:val="00D52D25"/>
    <w:rsid w:val="00D65A57"/>
    <w:rsid w:val="00D66306"/>
    <w:rsid w:val="00D66B18"/>
    <w:rsid w:val="00D726DB"/>
    <w:rsid w:val="00D73164"/>
    <w:rsid w:val="00D73B66"/>
    <w:rsid w:val="00D77E53"/>
    <w:rsid w:val="00D8135F"/>
    <w:rsid w:val="00D81DD5"/>
    <w:rsid w:val="00D87BB8"/>
    <w:rsid w:val="00D90BD9"/>
    <w:rsid w:val="00D932C5"/>
    <w:rsid w:val="00D939A7"/>
    <w:rsid w:val="00D9581C"/>
    <w:rsid w:val="00D95DCB"/>
    <w:rsid w:val="00D96228"/>
    <w:rsid w:val="00DA0C59"/>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E5B3C"/>
    <w:rsid w:val="00DF0D60"/>
    <w:rsid w:val="00DF6125"/>
    <w:rsid w:val="00E01B51"/>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BFA"/>
    <w:rsid w:val="00E7043E"/>
    <w:rsid w:val="00E719AD"/>
    <w:rsid w:val="00E747D9"/>
    <w:rsid w:val="00E75D5D"/>
    <w:rsid w:val="00E766CA"/>
    <w:rsid w:val="00E81F85"/>
    <w:rsid w:val="00E8413D"/>
    <w:rsid w:val="00E84C2A"/>
    <w:rsid w:val="00E90CA1"/>
    <w:rsid w:val="00E91D25"/>
    <w:rsid w:val="00E95370"/>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6FCF"/>
    <w:rsid w:val="00FD0FFF"/>
    <w:rsid w:val="00FE2208"/>
    <w:rsid w:val="00FE2769"/>
    <w:rsid w:val="00FE2ED0"/>
    <w:rsid w:val="00FE3C8C"/>
    <w:rsid w:val="00FE430B"/>
    <w:rsid w:val="00FE46AF"/>
    <w:rsid w:val="00FE73C3"/>
    <w:rsid w:val="00FF1F94"/>
    <w:rsid w:val="00FF2B49"/>
    <w:rsid w:val="00FF3001"/>
    <w:rsid w:val="00FF5582"/>
    <w:rsid w:val="02940CFE"/>
    <w:rsid w:val="030FE21B"/>
    <w:rsid w:val="07FA54A9"/>
    <w:rsid w:val="0AECC78E"/>
    <w:rsid w:val="0FEB3DF5"/>
    <w:rsid w:val="1060F10C"/>
    <w:rsid w:val="18A74B0A"/>
    <w:rsid w:val="1BDEEBCC"/>
    <w:rsid w:val="27FB38CD"/>
    <w:rsid w:val="2997092E"/>
    <w:rsid w:val="29D31A95"/>
    <w:rsid w:val="2A57D957"/>
    <w:rsid w:val="2AA10343"/>
    <w:rsid w:val="2B6EEAF6"/>
    <w:rsid w:val="39051F8A"/>
    <w:rsid w:val="3A9DFEB0"/>
    <w:rsid w:val="3AA0EFEB"/>
    <w:rsid w:val="3DAD8B69"/>
    <w:rsid w:val="4267D42F"/>
    <w:rsid w:val="44E1CBF6"/>
    <w:rsid w:val="4A9E2246"/>
    <w:rsid w:val="5538C77F"/>
    <w:rsid w:val="5ABCFCE4"/>
    <w:rsid w:val="5AF80E0F"/>
    <w:rsid w:val="5C93DE70"/>
    <w:rsid w:val="5E2FAED1"/>
    <w:rsid w:val="614400E7"/>
    <w:rsid w:val="644AB6CD"/>
    <w:rsid w:val="6782578F"/>
    <w:rsid w:val="6C940206"/>
    <w:rsid w:val="6E2FD267"/>
    <w:rsid w:val="7325F6A1"/>
    <w:rsid w:val="75D376B4"/>
    <w:rsid w:val="76F06DEB"/>
    <w:rsid w:val="78C74F77"/>
    <w:rsid w:val="7AF9F26F"/>
    <w:rsid w:val="7F3E4793"/>
    <w:rsid w:val="7FCD6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tex">
    <w:name w:val="mathjax-tex"/>
    <w:basedOn w:val="DefaultParagraphFont"/>
    <w:rsid w:val="00C50ECE"/>
  </w:style>
  <w:style w:type="character" w:customStyle="1" w:styleId="mathjax">
    <w:name w:val="mathjax"/>
    <w:basedOn w:val="DefaultParagraphFont"/>
    <w:rsid w:val="00C50ECE"/>
  </w:style>
  <w:style w:type="character" w:customStyle="1" w:styleId="mrow">
    <w:name w:val="mrow"/>
    <w:basedOn w:val="DefaultParagraphFont"/>
    <w:rsid w:val="00C50ECE"/>
  </w:style>
  <w:style w:type="character" w:customStyle="1" w:styleId="msubsup">
    <w:name w:val="msubsup"/>
    <w:basedOn w:val="DefaultParagraphFont"/>
    <w:rsid w:val="00C50ECE"/>
  </w:style>
  <w:style w:type="character" w:customStyle="1" w:styleId="mi">
    <w:name w:val="mi"/>
    <w:basedOn w:val="DefaultParagraphFont"/>
    <w:rsid w:val="00C50ECE"/>
  </w:style>
  <w:style w:type="character" w:customStyle="1" w:styleId="texatom">
    <w:name w:val="texatom"/>
    <w:basedOn w:val="DefaultParagraphFont"/>
    <w:rsid w:val="00C50ECE"/>
  </w:style>
  <w:style w:type="character" w:customStyle="1" w:styleId="munderover">
    <w:name w:val="munderover"/>
    <w:basedOn w:val="DefaultParagraphFont"/>
    <w:rsid w:val="00C50ECE"/>
  </w:style>
  <w:style w:type="character" w:customStyle="1" w:styleId="mo">
    <w:name w:val="mo"/>
    <w:basedOn w:val="DefaultParagraphFont"/>
    <w:rsid w:val="00C50ECE"/>
  </w:style>
  <w:style w:type="character" w:customStyle="1" w:styleId="mn">
    <w:name w:val="mn"/>
    <w:basedOn w:val="DefaultParagraphFont"/>
    <w:rsid w:val="00C50ECE"/>
  </w:style>
  <w:style w:type="character" w:customStyle="1" w:styleId="mspace">
    <w:name w:val="mspace"/>
    <w:basedOn w:val="DefaultParagraphFont"/>
    <w:rsid w:val="00C50ECE"/>
  </w:style>
  <w:style w:type="character" w:customStyle="1" w:styleId="mtext">
    <w:name w:val="mtext"/>
    <w:basedOn w:val="DefaultParagraphFont"/>
    <w:rsid w:val="00C50ECE"/>
  </w:style>
  <w:style w:type="paragraph" w:customStyle="1" w:styleId="c-article-referencesitem">
    <w:name w:val="c-article-references__item"/>
    <w:basedOn w:val="Normal"/>
    <w:rsid w:val="00C50E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C50E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C50ECE"/>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766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063305">
      <w:bodyDiv w:val="1"/>
      <w:marLeft w:val="0"/>
      <w:marRight w:val="0"/>
      <w:marTop w:val="0"/>
      <w:marBottom w:val="0"/>
      <w:divBdr>
        <w:top w:val="none" w:sz="0" w:space="0" w:color="auto"/>
        <w:left w:val="none" w:sz="0" w:space="0" w:color="auto"/>
        <w:bottom w:val="none" w:sz="0" w:space="0" w:color="auto"/>
        <w:right w:val="none" w:sz="0" w:space="0" w:color="auto"/>
      </w:divBdr>
      <w:divsChild>
        <w:div w:id="1774279133">
          <w:marLeft w:val="0"/>
          <w:marRight w:val="0"/>
          <w:marTop w:val="0"/>
          <w:marBottom w:val="360"/>
          <w:divBdr>
            <w:top w:val="none" w:sz="0" w:space="0" w:color="auto"/>
            <w:left w:val="none" w:sz="0" w:space="0" w:color="auto"/>
            <w:bottom w:val="none" w:sz="0" w:space="0" w:color="auto"/>
            <w:right w:val="none" w:sz="0" w:space="0" w:color="auto"/>
          </w:divBdr>
          <w:divsChild>
            <w:div w:id="3306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576905">
      <w:bodyDiv w:val="1"/>
      <w:marLeft w:val="0"/>
      <w:marRight w:val="0"/>
      <w:marTop w:val="0"/>
      <w:marBottom w:val="0"/>
      <w:divBdr>
        <w:top w:val="none" w:sz="0" w:space="0" w:color="auto"/>
        <w:left w:val="none" w:sz="0" w:space="0" w:color="auto"/>
        <w:bottom w:val="none" w:sz="0" w:space="0" w:color="auto"/>
        <w:right w:val="none" w:sz="0" w:space="0" w:color="auto"/>
      </w:divBdr>
      <w:divsChild>
        <w:div w:id="608776552">
          <w:marLeft w:val="0"/>
          <w:marRight w:val="0"/>
          <w:marTop w:val="0"/>
          <w:marBottom w:val="0"/>
          <w:divBdr>
            <w:top w:val="none" w:sz="0" w:space="0" w:color="auto"/>
            <w:left w:val="none" w:sz="0" w:space="0" w:color="auto"/>
            <w:bottom w:val="none" w:sz="0" w:space="0" w:color="auto"/>
            <w:right w:val="none" w:sz="0" w:space="0" w:color="auto"/>
          </w:divBdr>
          <w:divsChild>
            <w:div w:id="1111320007">
              <w:marLeft w:val="0"/>
              <w:marRight w:val="0"/>
              <w:marTop w:val="0"/>
              <w:marBottom w:val="600"/>
              <w:divBdr>
                <w:top w:val="none" w:sz="0" w:space="0" w:color="auto"/>
                <w:left w:val="none" w:sz="0" w:space="0" w:color="auto"/>
                <w:bottom w:val="none" w:sz="0" w:space="0" w:color="auto"/>
                <w:right w:val="none" w:sz="0" w:space="0" w:color="auto"/>
              </w:divBdr>
            </w:div>
          </w:divsChild>
        </w:div>
        <w:div w:id="745423620">
          <w:marLeft w:val="0"/>
          <w:marRight w:val="0"/>
          <w:marTop w:val="0"/>
          <w:marBottom w:val="0"/>
          <w:divBdr>
            <w:top w:val="none" w:sz="0" w:space="0" w:color="auto"/>
            <w:left w:val="none" w:sz="0" w:space="0" w:color="auto"/>
            <w:bottom w:val="none" w:sz="0" w:space="0" w:color="auto"/>
            <w:right w:val="none" w:sz="0" w:space="0" w:color="auto"/>
          </w:divBdr>
          <w:divsChild>
            <w:div w:id="90123652">
              <w:marLeft w:val="0"/>
              <w:marRight w:val="0"/>
              <w:marTop w:val="0"/>
              <w:marBottom w:val="600"/>
              <w:divBdr>
                <w:top w:val="none" w:sz="0" w:space="0" w:color="auto"/>
                <w:left w:val="none" w:sz="0" w:space="0" w:color="auto"/>
                <w:bottom w:val="none" w:sz="0" w:space="0" w:color="auto"/>
                <w:right w:val="none" w:sz="0" w:space="0" w:color="auto"/>
              </w:divBdr>
            </w:div>
          </w:divsChild>
        </w:div>
        <w:div w:id="1897818484">
          <w:marLeft w:val="0"/>
          <w:marRight w:val="0"/>
          <w:marTop w:val="0"/>
          <w:marBottom w:val="0"/>
          <w:divBdr>
            <w:top w:val="none" w:sz="0" w:space="0" w:color="auto"/>
            <w:left w:val="none" w:sz="0" w:space="0" w:color="auto"/>
            <w:bottom w:val="none" w:sz="0" w:space="0" w:color="auto"/>
            <w:right w:val="none" w:sz="0" w:space="0" w:color="auto"/>
          </w:divBdr>
          <w:divsChild>
            <w:div w:id="399593297">
              <w:marLeft w:val="0"/>
              <w:marRight w:val="0"/>
              <w:marTop w:val="0"/>
              <w:marBottom w:val="600"/>
              <w:divBdr>
                <w:top w:val="none" w:sz="0" w:space="0" w:color="auto"/>
                <w:left w:val="none" w:sz="0" w:space="0" w:color="auto"/>
                <w:bottom w:val="none" w:sz="0" w:space="0" w:color="auto"/>
                <w:right w:val="none" w:sz="0" w:space="0" w:color="auto"/>
              </w:divBdr>
              <w:divsChild>
                <w:div w:id="43051753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344552333">
                      <w:marLeft w:val="0"/>
                      <w:marRight w:val="0"/>
                      <w:marTop w:val="0"/>
                      <w:marBottom w:val="240"/>
                      <w:divBdr>
                        <w:top w:val="none" w:sz="0" w:space="0" w:color="auto"/>
                        <w:left w:val="none" w:sz="0" w:space="0" w:color="auto"/>
                        <w:bottom w:val="none" w:sz="0" w:space="0" w:color="auto"/>
                        <w:right w:val="none" w:sz="0" w:space="0" w:color="auto"/>
                      </w:divBdr>
                      <w:divsChild>
                        <w:div w:id="271135322">
                          <w:marLeft w:val="0"/>
                          <w:marRight w:val="0"/>
                          <w:marTop w:val="0"/>
                          <w:marBottom w:val="0"/>
                          <w:divBdr>
                            <w:top w:val="none" w:sz="0" w:space="0" w:color="auto"/>
                            <w:left w:val="none" w:sz="0" w:space="0" w:color="auto"/>
                            <w:bottom w:val="none" w:sz="0" w:space="0" w:color="auto"/>
                            <w:right w:val="none" w:sz="0" w:space="0" w:color="auto"/>
                          </w:divBdr>
                        </w:div>
                        <w:div w:id="81568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00380">
                  <w:marLeft w:val="0"/>
                  <w:marRight w:val="0"/>
                  <w:marTop w:val="0"/>
                  <w:marBottom w:val="360"/>
                  <w:divBdr>
                    <w:top w:val="none" w:sz="0" w:space="0" w:color="auto"/>
                    <w:left w:val="none" w:sz="0" w:space="0" w:color="auto"/>
                    <w:bottom w:val="none" w:sz="0" w:space="0" w:color="auto"/>
                    <w:right w:val="none" w:sz="0" w:space="0" w:color="auto"/>
                  </w:divBdr>
                  <w:divsChild>
                    <w:div w:id="96982107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3526208">
          <w:marLeft w:val="0"/>
          <w:marRight w:val="0"/>
          <w:marTop w:val="0"/>
          <w:marBottom w:val="0"/>
          <w:divBdr>
            <w:top w:val="none" w:sz="0" w:space="0" w:color="auto"/>
            <w:left w:val="none" w:sz="0" w:space="0" w:color="auto"/>
            <w:bottom w:val="none" w:sz="0" w:space="0" w:color="auto"/>
            <w:right w:val="none" w:sz="0" w:space="0" w:color="auto"/>
          </w:divBdr>
          <w:divsChild>
            <w:div w:id="32200203">
              <w:marLeft w:val="0"/>
              <w:marRight w:val="0"/>
              <w:marTop w:val="0"/>
              <w:marBottom w:val="600"/>
              <w:divBdr>
                <w:top w:val="none" w:sz="0" w:space="0" w:color="auto"/>
                <w:left w:val="none" w:sz="0" w:space="0" w:color="auto"/>
                <w:bottom w:val="none" w:sz="0" w:space="0" w:color="auto"/>
                <w:right w:val="none" w:sz="0" w:space="0" w:color="auto"/>
              </w:divBdr>
              <w:divsChild>
                <w:div w:id="1105997648">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93582573">
                      <w:marLeft w:val="0"/>
                      <w:marRight w:val="0"/>
                      <w:marTop w:val="0"/>
                      <w:marBottom w:val="240"/>
                      <w:divBdr>
                        <w:top w:val="none" w:sz="0" w:space="0" w:color="auto"/>
                        <w:left w:val="none" w:sz="0" w:space="0" w:color="auto"/>
                        <w:bottom w:val="none" w:sz="0" w:space="0" w:color="auto"/>
                        <w:right w:val="none" w:sz="0" w:space="0" w:color="auto"/>
                      </w:divBdr>
                      <w:divsChild>
                        <w:div w:id="758526933">
                          <w:marLeft w:val="0"/>
                          <w:marRight w:val="0"/>
                          <w:marTop w:val="0"/>
                          <w:marBottom w:val="0"/>
                          <w:divBdr>
                            <w:top w:val="none" w:sz="0" w:space="0" w:color="auto"/>
                            <w:left w:val="none" w:sz="0" w:space="0" w:color="auto"/>
                            <w:bottom w:val="none" w:sz="0" w:space="0" w:color="auto"/>
                            <w:right w:val="none" w:sz="0" w:space="0" w:color="auto"/>
                          </w:divBdr>
                        </w:div>
                        <w:div w:id="4010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5729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038435612">
                      <w:marLeft w:val="0"/>
                      <w:marRight w:val="0"/>
                      <w:marTop w:val="0"/>
                      <w:marBottom w:val="240"/>
                      <w:divBdr>
                        <w:top w:val="none" w:sz="0" w:space="0" w:color="auto"/>
                        <w:left w:val="none" w:sz="0" w:space="0" w:color="auto"/>
                        <w:bottom w:val="none" w:sz="0" w:space="0" w:color="auto"/>
                        <w:right w:val="none" w:sz="0" w:space="0" w:color="auto"/>
                      </w:divBdr>
                      <w:divsChild>
                        <w:div w:id="348873292">
                          <w:marLeft w:val="0"/>
                          <w:marRight w:val="0"/>
                          <w:marTop w:val="0"/>
                          <w:marBottom w:val="0"/>
                          <w:divBdr>
                            <w:top w:val="none" w:sz="0" w:space="0" w:color="auto"/>
                            <w:left w:val="none" w:sz="0" w:space="0" w:color="auto"/>
                            <w:bottom w:val="none" w:sz="0" w:space="0" w:color="auto"/>
                            <w:right w:val="none" w:sz="0" w:space="0" w:color="auto"/>
                          </w:divBdr>
                        </w:div>
                        <w:div w:id="66651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18258">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418014824">
                      <w:marLeft w:val="0"/>
                      <w:marRight w:val="0"/>
                      <w:marTop w:val="0"/>
                      <w:marBottom w:val="240"/>
                      <w:divBdr>
                        <w:top w:val="none" w:sz="0" w:space="0" w:color="auto"/>
                        <w:left w:val="none" w:sz="0" w:space="0" w:color="auto"/>
                        <w:bottom w:val="none" w:sz="0" w:space="0" w:color="auto"/>
                        <w:right w:val="none" w:sz="0" w:space="0" w:color="auto"/>
                      </w:divBdr>
                      <w:divsChild>
                        <w:div w:id="130830025">
                          <w:marLeft w:val="0"/>
                          <w:marRight w:val="0"/>
                          <w:marTop w:val="0"/>
                          <w:marBottom w:val="0"/>
                          <w:divBdr>
                            <w:top w:val="none" w:sz="0" w:space="0" w:color="auto"/>
                            <w:left w:val="none" w:sz="0" w:space="0" w:color="auto"/>
                            <w:bottom w:val="none" w:sz="0" w:space="0" w:color="auto"/>
                            <w:right w:val="none" w:sz="0" w:space="0" w:color="auto"/>
                          </w:divBdr>
                        </w:div>
                        <w:div w:id="60346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71903">
                  <w:marLeft w:val="0"/>
                  <w:marRight w:val="0"/>
                  <w:marTop w:val="0"/>
                  <w:marBottom w:val="360"/>
                  <w:divBdr>
                    <w:top w:val="single" w:sz="12" w:space="15" w:color="D5D5D5"/>
                    <w:left w:val="single" w:sz="12" w:space="8" w:color="D5D5D5"/>
                    <w:bottom w:val="single" w:sz="12" w:space="15" w:color="D5D5D5"/>
                    <w:right w:val="single" w:sz="12" w:space="8" w:color="D5D5D5"/>
                  </w:divBdr>
                </w:div>
                <w:div w:id="1713114403">
                  <w:marLeft w:val="0"/>
                  <w:marRight w:val="0"/>
                  <w:marTop w:val="0"/>
                  <w:marBottom w:val="360"/>
                  <w:divBdr>
                    <w:top w:val="single" w:sz="12" w:space="15" w:color="D5D5D5"/>
                    <w:left w:val="single" w:sz="12" w:space="8" w:color="D5D5D5"/>
                    <w:bottom w:val="single" w:sz="12" w:space="15" w:color="D5D5D5"/>
                    <w:right w:val="single" w:sz="12" w:space="8" w:color="D5D5D5"/>
                  </w:divBdr>
                </w:div>
                <w:div w:id="21805716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0298768">
                      <w:marLeft w:val="0"/>
                      <w:marRight w:val="0"/>
                      <w:marTop w:val="0"/>
                      <w:marBottom w:val="240"/>
                      <w:divBdr>
                        <w:top w:val="none" w:sz="0" w:space="0" w:color="auto"/>
                        <w:left w:val="none" w:sz="0" w:space="0" w:color="auto"/>
                        <w:bottom w:val="none" w:sz="0" w:space="0" w:color="auto"/>
                        <w:right w:val="none" w:sz="0" w:space="0" w:color="auto"/>
                      </w:divBdr>
                      <w:divsChild>
                        <w:div w:id="2097242620">
                          <w:marLeft w:val="0"/>
                          <w:marRight w:val="0"/>
                          <w:marTop w:val="0"/>
                          <w:marBottom w:val="0"/>
                          <w:divBdr>
                            <w:top w:val="none" w:sz="0" w:space="0" w:color="auto"/>
                            <w:left w:val="none" w:sz="0" w:space="0" w:color="auto"/>
                            <w:bottom w:val="none" w:sz="0" w:space="0" w:color="auto"/>
                            <w:right w:val="none" w:sz="0" w:space="0" w:color="auto"/>
                          </w:divBdr>
                        </w:div>
                        <w:div w:id="709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0765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482580447">
                      <w:marLeft w:val="0"/>
                      <w:marRight w:val="0"/>
                      <w:marTop w:val="0"/>
                      <w:marBottom w:val="240"/>
                      <w:divBdr>
                        <w:top w:val="none" w:sz="0" w:space="0" w:color="auto"/>
                        <w:left w:val="none" w:sz="0" w:space="0" w:color="auto"/>
                        <w:bottom w:val="none" w:sz="0" w:space="0" w:color="auto"/>
                        <w:right w:val="none" w:sz="0" w:space="0" w:color="auto"/>
                      </w:divBdr>
                      <w:divsChild>
                        <w:div w:id="1252423071">
                          <w:marLeft w:val="0"/>
                          <w:marRight w:val="0"/>
                          <w:marTop w:val="0"/>
                          <w:marBottom w:val="0"/>
                          <w:divBdr>
                            <w:top w:val="none" w:sz="0" w:space="0" w:color="auto"/>
                            <w:left w:val="none" w:sz="0" w:space="0" w:color="auto"/>
                            <w:bottom w:val="none" w:sz="0" w:space="0" w:color="auto"/>
                            <w:right w:val="none" w:sz="0" w:space="0" w:color="auto"/>
                          </w:divBdr>
                        </w:div>
                        <w:div w:id="214677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672901">
          <w:marLeft w:val="0"/>
          <w:marRight w:val="0"/>
          <w:marTop w:val="0"/>
          <w:marBottom w:val="0"/>
          <w:divBdr>
            <w:top w:val="none" w:sz="0" w:space="0" w:color="auto"/>
            <w:left w:val="none" w:sz="0" w:space="0" w:color="auto"/>
            <w:bottom w:val="none" w:sz="0" w:space="0" w:color="auto"/>
            <w:right w:val="none" w:sz="0" w:space="0" w:color="auto"/>
          </w:divBdr>
          <w:divsChild>
            <w:div w:id="730733759">
              <w:marLeft w:val="0"/>
              <w:marRight w:val="0"/>
              <w:marTop w:val="0"/>
              <w:marBottom w:val="600"/>
              <w:divBdr>
                <w:top w:val="none" w:sz="0" w:space="0" w:color="auto"/>
                <w:left w:val="none" w:sz="0" w:space="0" w:color="auto"/>
                <w:bottom w:val="none" w:sz="0" w:space="0" w:color="auto"/>
                <w:right w:val="none" w:sz="0" w:space="0" w:color="auto"/>
              </w:divBdr>
            </w:div>
          </w:divsChild>
        </w:div>
        <w:div w:id="730231917">
          <w:marLeft w:val="0"/>
          <w:marRight w:val="0"/>
          <w:marTop w:val="0"/>
          <w:marBottom w:val="0"/>
          <w:divBdr>
            <w:top w:val="none" w:sz="0" w:space="0" w:color="auto"/>
            <w:left w:val="none" w:sz="0" w:space="0" w:color="auto"/>
            <w:bottom w:val="none" w:sz="0" w:space="0" w:color="auto"/>
            <w:right w:val="none" w:sz="0" w:space="0" w:color="auto"/>
          </w:divBdr>
          <w:divsChild>
            <w:div w:id="1030567410">
              <w:marLeft w:val="0"/>
              <w:marRight w:val="0"/>
              <w:marTop w:val="0"/>
              <w:marBottom w:val="600"/>
              <w:divBdr>
                <w:top w:val="none" w:sz="0" w:space="0" w:color="auto"/>
                <w:left w:val="none" w:sz="0" w:space="0" w:color="auto"/>
                <w:bottom w:val="none" w:sz="0" w:space="0" w:color="auto"/>
                <w:right w:val="none" w:sz="0" w:space="0" w:color="auto"/>
              </w:divBdr>
            </w:div>
          </w:divsChild>
        </w:div>
        <w:div w:id="673531259">
          <w:marLeft w:val="0"/>
          <w:marRight w:val="0"/>
          <w:marTop w:val="0"/>
          <w:marBottom w:val="0"/>
          <w:divBdr>
            <w:top w:val="none" w:sz="0" w:space="0" w:color="auto"/>
            <w:left w:val="none" w:sz="0" w:space="0" w:color="auto"/>
            <w:bottom w:val="none" w:sz="0" w:space="0" w:color="auto"/>
            <w:right w:val="none" w:sz="0" w:space="0" w:color="auto"/>
          </w:divBdr>
          <w:divsChild>
            <w:div w:id="520096126">
              <w:marLeft w:val="0"/>
              <w:marRight w:val="0"/>
              <w:marTop w:val="0"/>
              <w:marBottom w:val="0"/>
              <w:divBdr>
                <w:top w:val="none" w:sz="0" w:space="0" w:color="auto"/>
                <w:left w:val="none" w:sz="0" w:space="0" w:color="auto"/>
                <w:bottom w:val="none" w:sz="0" w:space="0" w:color="auto"/>
                <w:right w:val="none" w:sz="0" w:space="0" w:color="auto"/>
              </w:divBdr>
              <w:divsChild>
                <w:div w:id="1842349307">
                  <w:marLeft w:val="0"/>
                  <w:marRight w:val="0"/>
                  <w:marTop w:val="0"/>
                  <w:marBottom w:val="600"/>
                  <w:divBdr>
                    <w:top w:val="none" w:sz="0" w:space="0" w:color="auto"/>
                    <w:left w:val="none" w:sz="0" w:space="0" w:color="auto"/>
                    <w:bottom w:val="none" w:sz="0" w:space="0" w:color="auto"/>
                    <w:right w:val="none" w:sz="0" w:space="0" w:color="auto"/>
                  </w:divBdr>
                  <w:divsChild>
                    <w:div w:id="52166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01907253">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221-021-06134-4" TargetMode="External"/><Relationship Id="rId13" Type="http://schemas.openxmlformats.org/officeDocument/2006/relationships/image" Target="media/image2.png"/><Relationship Id="rId18" Type="http://schemas.openxmlformats.org/officeDocument/2006/relationships/hyperlink" Target="https://link.springer.com/article/10.1007/s00221-021-06134-4/figures/5"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link.springer.com/article/10.1007/s00221-021-06134-4/figures/2"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link.springer.com/article/10.1007/s00221-021-06134-4/figures/4" TargetMode="External"/><Relationship Id="rId20" Type="http://schemas.openxmlformats.org/officeDocument/2006/relationships/hyperlink" Target="https://link.springer.com/article/10.1007/s00221-021-06134-4/figures/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link.springer.com/article/10.1007/s00221-021-06134-4/figures/1"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link.springer.com/article/10.1007/s00221-021-06134-4/figures/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22</Pages>
  <Words>10789</Words>
  <Characters>61503</Characters>
  <Application>Microsoft Office Word</Application>
  <DocSecurity>8</DocSecurity>
  <Lines>512</Lines>
  <Paragraphs>144</Paragraphs>
  <ScaleCrop>false</ScaleCrop>
  <Company/>
  <LinksUpToDate>false</LinksUpToDate>
  <CharactersWithSpaces>72148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65</cp:revision>
  <dcterms:created xsi:type="dcterms:W3CDTF">2022-03-09T17:38:00Z</dcterms:created>
  <dcterms:modified xsi:type="dcterms:W3CDTF">2022-05-23T17:38:00Z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