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A466061" w:rsidR="000A7622" w:rsidRPr="00C04F25" w:rsidRDefault="005F0283"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7A68EF6" w:rsidR="000A7622" w:rsidRPr="00C04F25" w:rsidRDefault="000A7622" w:rsidP="00D14423">
      <w:pPr>
        <w:rPr>
          <w:rFonts w:cstheme="minorHAnsi"/>
          <w:sz w:val="24"/>
          <w:szCs w:val="24"/>
        </w:rPr>
      </w:pPr>
      <w:r w:rsidRPr="00C04F25">
        <w:rPr>
          <w:rFonts w:cstheme="minorHAnsi"/>
          <w:i/>
          <w:sz w:val="24"/>
          <w:szCs w:val="24"/>
          <w:lang w:val="fr-FR"/>
        </w:rPr>
        <w:t>Journal</w:t>
      </w:r>
      <w:r w:rsidR="00B54746">
        <w:rPr>
          <w:rFonts w:cstheme="minorHAnsi"/>
          <w:i/>
          <w:sz w:val="24"/>
          <w:szCs w:val="24"/>
          <w:lang w:val="fr-FR"/>
        </w:rPr>
        <w:t xml:space="preserve"> of </w:t>
      </w:r>
      <w:proofErr w:type="spellStart"/>
      <w:r w:rsidR="00B54746">
        <w:rPr>
          <w:rFonts w:cstheme="minorHAnsi"/>
          <w:i/>
          <w:sz w:val="24"/>
          <w:szCs w:val="24"/>
          <w:lang w:val="fr-FR"/>
        </w:rPr>
        <w:t>Biophotonics</w:t>
      </w:r>
      <w:proofErr w:type="spellEnd"/>
      <w:r w:rsidRPr="00C04F25">
        <w:rPr>
          <w:rFonts w:cstheme="minorHAnsi"/>
          <w:sz w:val="24"/>
          <w:szCs w:val="24"/>
          <w:lang w:val="fr-FR"/>
        </w:rPr>
        <w:t xml:space="preserve">, Vol. </w:t>
      </w:r>
      <w:r w:rsidR="00B54746">
        <w:rPr>
          <w:rFonts w:cstheme="minorHAnsi"/>
          <w:sz w:val="24"/>
          <w:szCs w:val="24"/>
          <w:lang w:val="fr-FR"/>
        </w:rPr>
        <w:t>7</w:t>
      </w:r>
      <w:r w:rsidRPr="00C04F25">
        <w:rPr>
          <w:rFonts w:cstheme="minorHAnsi"/>
          <w:sz w:val="24"/>
          <w:szCs w:val="24"/>
          <w:lang w:val="fr-FR"/>
        </w:rPr>
        <w:t xml:space="preserve">, No. </w:t>
      </w:r>
      <w:r w:rsidR="00B54746">
        <w:rPr>
          <w:rFonts w:cstheme="minorHAnsi"/>
          <w:sz w:val="24"/>
          <w:szCs w:val="24"/>
          <w:lang w:val="fr-FR"/>
        </w:rPr>
        <w:t>7</w:t>
      </w:r>
      <w:r w:rsidRPr="00C04F25">
        <w:rPr>
          <w:rFonts w:cstheme="minorHAnsi"/>
          <w:sz w:val="24"/>
          <w:szCs w:val="24"/>
          <w:lang w:val="fr-FR"/>
        </w:rPr>
        <w:t xml:space="preserve"> (</w:t>
      </w:r>
      <w:r w:rsidR="00B54746">
        <w:rPr>
          <w:rFonts w:cstheme="minorHAnsi"/>
          <w:sz w:val="24"/>
          <w:szCs w:val="24"/>
          <w:lang w:val="fr-FR"/>
        </w:rPr>
        <w:t>July 2014</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B54746">
        <w:rPr>
          <w:rFonts w:cstheme="minorHAnsi"/>
          <w:sz w:val="24"/>
          <w:szCs w:val="24"/>
          <w:lang w:val="fr-FR"/>
        </w:rPr>
        <w:t>552-564</w:t>
      </w:r>
      <w:r w:rsidRPr="00C04F25">
        <w:rPr>
          <w:rFonts w:cstheme="minorHAnsi"/>
          <w:sz w:val="24"/>
          <w:szCs w:val="24"/>
          <w:lang w:val="fr-FR"/>
        </w:rPr>
        <w:t xml:space="preserve">. </w:t>
      </w:r>
      <w:hyperlink r:id="rId7"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D6266A">
        <w:rPr>
          <w:rFonts w:cstheme="minorHAnsi"/>
          <w:sz w:val="24"/>
          <w:szCs w:val="24"/>
        </w:rPr>
        <w:t>Wiley</w:t>
      </w:r>
      <w:r w:rsidRPr="00C04F25">
        <w:rPr>
          <w:rFonts w:cstheme="minorHAnsi"/>
          <w:sz w:val="24"/>
          <w:szCs w:val="24"/>
        </w:rPr>
        <w:t xml:space="preserve"> and permission has been granted for this version to appear in </w:t>
      </w:r>
      <w:hyperlink r:id="rId8"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D6266A">
        <w:rPr>
          <w:rFonts w:cstheme="minorHAnsi"/>
          <w:sz w:val="24"/>
          <w:szCs w:val="24"/>
        </w:rPr>
        <w:t>Wiley</w:t>
      </w:r>
      <w:r w:rsidRPr="00C04F25">
        <w:rPr>
          <w:rFonts w:cstheme="minorHAnsi"/>
          <w:sz w:val="24"/>
          <w:szCs w:val="24"/>
        </w:rPr>
        <w:t xml:space="preserve"> does not grant permission for this article to be further copied/distributed or hosted elsewhere without the express permission from </w:t>
      </w:r>
      <w:r w:rsidR="00D6266A">
        <w:rPr>
          <w:rFonts w:cstheme="minorHAnsi"/>
          <w:sz w:val="24"/>
          <w:szCs w:val="24"/>
        </w:rPr>
        <w:t>Wiley</w:t>
      </w:r>
      <w:r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01B5E508" w:rsidR="00414591" w:rsidRDefault="00981EEC" w:rsidP="00981EEC">
      <w:pPr>
        <w:pStyle w:val="Title"/>
      </w:pPr>
      <w:r w:rsidRPr="00981EEC">
        <w:t>Measuring Tumor Cycling Hypoxia and Angiogenesis Using a Side-firing Fiber Optic Probe</w:t>
      </w:r>
    </w:p>
    <w:p w14:paraId="21A6A1A5" w14:textId="77777777" w:rsidR="00091C6F" w:rsidRPr="00091C6F" w:rsidRDefault="00091C6F" w:rsidP="00091C6F"/>
    <w:p w14:paraId="5A139EF9" w14:textId="238B89F5" w:rsidR="00981EEC" w:rsidRPr="0053301B" w:rsidRDefault="00981EEC" w:rsidP="0053301B">
      <w:pPr>
        <w:pStyle w:val="NoSpacing"/>
        <w:rPr>
          <w:sz w:val="32"/>
          <w:szCs w:val="32"/>
        </w:rPr>
      </w:pPr>
      <w:r w:rsidRPr="0053301B">
        <w:rPr>
          <w:sz w:val="32"/>
          <w:szCs w:val="32"/>
        </w:rPr>
        <w:t xml:space="preserve">Bing Yu </w:t>
      </w:r>
    </w:p>
    <w:p w14:paraId="49B3E875" w14:textId="76FCA419" w:rsidR="00736692" w:rsidRPr="0053301B" w:rsidRDefault="00736692" w:rsidP="0053301B">
      <w:pPr>
        <w:pStyle w:val="NoSpacing"/>
        <w:rPr>
          <w:sz w:val="24"/>
          <w:szCs w:val="24"/>
        </w:rPr>
      </w:pPr>
      <w:r w:rsidRPr="0053301B">
        <w:rPr>
          <w:sz w:val="24"/>
          <w:szCs w:val="24"/>
        </w:rPr>
        <w:t>Department of Biomedical Engineering, The University of Akron, Akron, O</w:t>
      </w:r>
      <w:r w:rsidRPr="0053301B">
        <w:rPr>
          <w:sz w:val="24"/>
          <w:szCs w:val="24"/>
        </w:rPr>
        <w:t>H</w:t>
      </w:r>
    </w:p>
    <w:p w14:paraId="20EC049B" w14:textId="15E9BD4D" w:rsidR="00736692" w:rsidRPr="0053301B" w:rsidRDefault="00736692" w:rsidP="0053301B">
      <w:pPr>
        <w:pStyle w:val="NoSpacing"/>
        <w:rPr>
          <w:sz w:val="24"/>
          <w:szCs w:val="24"/>
        </w:rPr>
      </w:pPr>
      <w:r w:rsidRPr="0053301B">
        <w:rPr>
          <w:sz w:val="24"/>
          <w:szCs w:val="24"/>
        </w:rPr>
        <w:t>Department of Biomedical Engineering, Duke University, Durham, NC</w:t>
      </w:r>
    </w:p>
    <w:p w14:paraId="1CC49521" w14:textId="6999D16A" w:rsidR="00E42272" w:rsidRPr="0053301B" w:rsidRDefault="00E42272" w:rsidP="0053301B">
      <w:pPr>
        <w:pStyle w:val="NoSpacing"/>
        <w:rPr>
          <w:sz w:val="32"/>
          <w:szCs w:val="32"/>
        </w:rPr>
      </w:pPr>
      <w:r w:rsidRPr="0053301B">
        <w:rPr>
          <w:sz w:val="32"/>
          <w:szCs w:val="32"/>
        </w:rPr>
        <w:t>Amy Shah</w:t>
      </w:r>
    </w:p>
    <w:p w14:paraId="725CB507" w14:textId="7AFDEB1B" w:rsidR="00E42272" w:rsidRPr="0053301B" w:rsidRDefault="00E12911" w:rsidP="0053301B">
      <w:pPr>
        <w:pStyle w:val="NoSpacing"/>
        <w:rPr>
          <w:sz w:val="24"/>
          <w:szCs w:val="24"/>
        </w:rPr>
      </w:pPr>
      <w:r w:rsidRPr="0053301B">
        <w:rPr>
          <w:sz w:val="24"/>
          <w:szCs w:val="24"/>
        </w:rPr>
        <w:t>Department of Biomedical Engineering, Duke University, Durham, NC</w:t>
      </w:r>
    </w:p>
    <w:p w14:paraId="38F3D244" w14:textId="77777777" w:rsidR="00E42272" w:rsidRPr="0053301B" w:rsidRDefault="00E42272" w:rsidP="0053301B">
      <w:pPr>
        <w:pStyle w:val="NoSpacing"/>
        <w:rPr>
          <w:sz w:val="32"/>
          <w:szCs w:val="32"/>
        </w:rPr>
      </w:pPr>
      <w:proofErr w:type="spellStart"/>
      <w:r w:rsidRPr="0053301B">
        <w:rPr>
          <w:sz w:val="32"/>
          <w:szCs w:val="32"/>
        </w:rPr>
        <w:t>Bingqing</w:t>
      </w:r>
      <w:proofErr w:type="spellEnd"/>
      <w:r w:rsidRPr="0053301B">
        <w:rPr>
          <w:sz w:val="32"/>
          <w:szCs w:val="32"/>
        </w:rPr>
        <w:t xml:space="preserve"> Wang</w:t>
      </w:r>
    </w:p>
    <w:p w14:paraId="463C813F" w14:textId="4D28CAAD" w:rsidR="00E42272" w:rsidRPr="0053301B" w:rsidRDefault="00E12911" w:rsidP="0053301B">
      <w:pPr>
        <w:pStyle w:val="NoSpacing"/>
        <w:rPr>
          <w:sz w:val="24"/>
          <w:szCs w:val="24"/>
        </w:rPr>
      </w:pPr>
      <w:r w:rsidRPr="0053301B">
        <w:rPr>
          <w:sz w:val="24"/>
          <w:szCs w:val="24"/>
        </w:rPr>
        <w:t>Department of Biomedical Engineering, Duke University, Durham, NC</w:t>
      </w:r>
    </w:p>
    <w:p w14:paraId="5DD3B787" w14:textId="77777777" w:rsidR="00E42272" w:rsidRPr="0053301B" w:rsidRDefault="00E42272" w:rsidP="0053301B">
      <w:pPr>
        <w:pStyle w:val="NoSpacing"/>
        <w:rPr>
          <w:sz w:val="32"/>
          <w:szCs w:val="32"/>
        </w:rPr>
      </w:pPr>
      <w:r w:rsidRPr="0053301B">
        <w:rPr>
          <w:sz w:val="32"/>
          <w:szCs w:val="32"/>
        </w:rPr>
        <w:t>Narasimhan Rajaram</w:t>
      </w:r>
    </w:p>
    <w:p w14:paraId="64E1DBD8" w14:textId="1C715A9F" w:rsidR="00E42272" w:rsidRPr="0053301B" w:rsidRDefault="00E12911" w:rsidP="0053301B">
      <w:pPr>
        <w:pStyle w:val="NoSpacing"/>
        <w:rPr>
          <w:sz w:val="24"/>
          <w:szCs w:val="24"/>
        </w:rPr>
      </w:pPr>
      <w:r w:rsidRPr="0053301B">
        <w:rPr>
          <w:sz w:val="24"/>
          <w:szCs w:val="24"/>
        </w:rPr>
        <w:t>Department of Biomedical Engineering, Duke University, Durham, NC</w:t>
      </w:r>
    </w:p>
    <w:p w14:paraId="577EEE46" w14:textId="77777777" w:rsidR="00E42272" w:rsidRPr="0053301B" w:rsidRDefault="00E42272" w:rsidP="0053301B">
      <w:pPr>
        <w:pStyle w:val="NoSpacing"/>
        <w:rPr>
          <w:sz w:val="32"/>
          <w:szCs w:val="32"/>
        </w:rPr>
      </w:pPr>
      <w:proofErr w:type="spellStart"/>
      <w:r w:rsidRPr="0053301B">
        <w:rPr>
          <w:sz w:val="32"/>
          <w:szCs w:val="32"/>
        </w:rPr>
        <w:t>Quanli</w:t>
      </w:r>
      <w:proofErr w:type="spellEnd"/>
      <w:r w:rsidRPr="0053301B">
        <w:rPr>
          <w:sz w:val="32"/>
          <w:szCs w:val="32"/>
        </w:rPr>
        <w:t xml:space="preserve"> Wang</w:t>
      </w:r>
    </w:p>
    <w:p w14:paraId="63ACA3CE" w14:textId="4BFC2AA1" w:rsidR="00E42272" w:rsidRPr="0053301B" w:rsidRDefault="00F979C8" w:rsidP="0053301B">
      <w:pPr>
        <w:pStyle w:val="NoSpacing"/>
        <w:rPr>
          <w:sz w:val="24"/>
          <w:szCs w:val="24"/>
        </w:rPr>
      </w:pPr>
      <w:r w:rsidRPr="0053301B">
        <w:rPr>
          <w:sz w:val="24"/>
          <w:szCs w:val="24"/>
        </w:rPr>
        <w:t>Department of Statistical Science, Duke University, Durham, NC</w:t>
      </w:r>
    </w:p>
    <w:p w14:paraId="36DC3120" w14:textId="77777777" w:rsidR="00E42272" w:rsidRPr="0053301B" w:rsidRDefault="00E42272" w:rsidP="0053301B">
      <w:pPr>
        <w:pStyle w:val="NoSpacing"/>
        <w:rPr>
          <w:sz w:val="32"/>
          <w:szCs w:val="32"/>
        </w:rPr>
      </w:pPr>
      <w:r w:rsidRPr="0053301B">
        <w:rPr>
          <w:sz w:val="32"/>
          <w:szCs w:val="32"/>
        </w:rPr>
        <w:t xml:space="preserve">Nirmala </w:t>
      </w:r>
      <w:proofErr w:type="spellStart"/>
      <w:r w:rsidRPr="0053301B">
        <w:rPr>
          <w:sz w:val="32"/>
          <w:szCs w:val="32"/>
        </w:rPr>
        <w:t>Ramanujam</w:t>
      </w:r>
      <w:proofErr w:type="spellEnd"/>
    </w:p>
    <w:p w14:paraId="426B2183" w14:textId="77989976" w:rsidR="00E42272" w:rsidRPr="0053301B" w:rsidRDefault="00F979C8" w:rsidP="0053301B">
      <w:pPr>
        <w:pStyle w:val="NoSpacing"/>
        <w:rPr>
          <w:sz w:val="24"/>
          <w:szCs w:val="24"/>
        </w:rPr>
      </w:pPr>
      <w:r w:rsidRPr="0053301B">
        <w:rPr>
          <w:sz w:val="24"/>
          <w:szCs w:val="24"/>
        </w:rPr>
        <w:t>Department of Biomedical Engineering, Duke University, Durham, NC</w:t>
      </w:r>
    </w:p>
    <w:p w14:paraId="4648BFC3" w14:textId="77777777" w:rsidR="00E42272" w:rsidRPr="0053301B" w:rsidRDefault="00E42272" w:rsidP="0053301B">
      <w:pPr>
        <w:pStyle w:val="NoSpacing"/>
        <w:rPr>
          <w:sz w:val="32"/>
          <w:szCs w:val="32"/>
        </w:rPr>
      </w:pPr>
      <w:r w:rsidRPr="0053301B">
        <w:rPr>
          <w:sz w:val="32"/>
          <w:szCs w:val="32"/>
        </w:rPr>
        <w:lastRenderedPageBreak/>
        <w:t>Gregory M. Palmer</w:t>
      </w:r>
    </w:p>
    <w:p w14:paraId="1BA43840" w14:textId="7476285E" w:rsidR="00E42272" w:rsidRPr="0053301B" w:rsidRDefault="0053301B" w:rsidP="0053301B">
      <w:pPr>
        <w:pStyle w:val="NoSpacing"/>
        <w:rPr>
          <w:sz w:val="24"/>
          <w:szCs w:val="24"/>
        </w:rPr>
      </w:pPr>
      <w:r w:rsidRPr="0053301B">
        <w:rPr>
          <w:sz w:val="24"/>
          <w:szCs w:val="24"/>
        </w:rPr>
        <w:t>Department of Radiation Oncology, Duke University, Durham, NC</w:t>
      </w:r>
    </w:p>
    <w:p w14:paraId="3B383E77" w14:textId="6FF16B09" w:rsidR="00981EEC" w:rsidRPr="0053301B" w:rsidRDefault="00E42272" w:rsidP="0053301B">
      <w:pPr>
        <w:pStyle w:val="NoSpacing"/>
        <w:rPr>
          <w:sz w:val="32"/>
          <w:szCs w:val="32"/>
        </w:rPr>
      </w:pPr>
      <w:r w:rsidRPr="0053301B">
        <w:rPr>
          <w:sz w:val="32"/>
          <w:szCs w:val="32"/>
        </w:rPr>
        <w:t>Mark W. Dewhirst</w:t>
      </w:r>
    </w:p>
    <w:p w14:paraId="1FE08F64" w14:textId="57B00537" w:rsidR="0053301B" w:rsidRPr="0053301B" w:rsidRDefault="0053301B" w:rsidP="0053301B">
      <w:pPr>
        <w:pStyle w:val="NoSpacing"/>
        <w:rPr>
          <w:sz w:val="24"/>
          <w:szCs w:val="24"/>
        </w:rPr>
      </w:pPr>
      <w:r w:rsidRPr="0053301B">
        <w:rPr>
          <w:sz w:val="24"/>
          <w:szCs w:val="24"/>
        </w:rPr>
        <w:t>Department of Biomedical Engineering, Duke University, Durham, NC</w:t>
      </w:r>
    </w:p>
    <w:p w14:paraId="7BE9FB34" w14:textId="04E9B11E" w:rsidR="00E42272" w:rsidRPr="0053301B" w:rsidRDefault="0053301B" w:rsidP="0053301B">
      <w:pPr>
        <w:pStyle w:val="NoSpacing"/>
        <w:rPr>
          <w:sz w:val="24"/>
          <w:szCs w:val="24"/>
        </w:rPr>
      </w:pPr>
      <w:r w:rsidRPr="0053301B">
        <w:rPr>
          <w:sz w:val="24"/>
          <w:szCs w:val="24"/>
        </w:rPr>
        <w:t>Department of Radiation Oncology, Duke University, Durham, NC</w:t>
      </w:r>
    </w:p>
    <w:p w14:paraId="53DC9273" w14:textId="77777777" w:rsidR="00E42272" w:rsidRDefault="00E42272" w:rsidP="00981EEC"/>
    <w:p w14:paraId="3054D9BD" w14:textId="77777777" w:rsidR="00981EEC" w:rsidRPr="00981EEC" w:rsidRDefault="00981EEC" w:rsidP="004B4DD4">
      <w:pPr>
        <w:pStyle w:val="Heading1"/>
        <w:rPr>
          <w:lang w:val="en"/>
        </w:rPr>
      </w:pPr>
      <w:r w:rsidRPr="00981EEC">
        <w:rPr>
          <w:lang w:val="en"/>
        </w:rPr>
        <w:t>Abstract</w:t>
      </w:r>
    </w:p>
    <w:p w14:paraId="4232003A" w14:textId="6ECB2310" w:rsidR="00981EEC" w:rsidRPr="00981EEC" w:rsidRDefault="00981EEC" w:rsidP="00981EEC">
      <w:pPr>
        <w:rPr>
          <w:lang w:val="en"/>
        </w:rPr>
      </w:pPr>
      <w:r w:rsidRPr="00981EEC">
        <w:rPr>
          <w:noProof/>
          <w:lang w:val="en"/>
        </w:rPr>
        <w:drawing>
          <wp:inline distT="0" distB="0" distL="0" distR="0" wp14:anchorId="6005D508" wp14:editId="39257767">
            <wp:extent cx="2743200" cy="3090672"/>
            <wp:effectExtent l="0" t="0" r="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3090672"/>
                    </a:xfrm>
                    <a:prstGeom prst="rect">
                      <a:avLst/>
                    </a:prstGeom>
                    <a:noFill/>
                    <a:ln>
                      <a:noFill/>
                    </a:ln>
                  </pic:spPr>
                </pic:pic>
              </a:graphicData>
            </a:graphic>
          </wp:inline>
        </w:drawing>
      </w:r>
    </w:p>
    <w:p w14:paraId="133F7F60" w14:textId="77777777" w:rsidR="00981EEC" w:rsidRPr="00981EEC" w:rsidRDefault="00981EEC" w:rsidP="00981EEC">
      <w:pPr>
        <w:rPr>
          <w:lang w:val="en"/>
        </w:rPr>
      </w:pPr>
      <w:r w:rsidRPr="00981EEC">
        <w:rPr>
          <w:lang w:val="en"/>
        </w:rPr>
        <w:t>Hypoxia and angiogenesis can significantly influence the efficacy of cancer therapy and the behavior of surviving tumor cells. There is a growing demand for technologies to measure tumor hypoxia and angiogenesis temporally </w:t>
      </w:r>
      <w:r w:rsidRPr="00981EEC">
        <w:rPr>
          <w:i/>
          <w:iCs/>
          <w:lang w:val="en"/>
        </w:rPr>
        <w:t>in vivo</w:t>
      </w:r>
      <w:r w:rsidRPr="00981EEC">
        <w:rPr>
          <w:lang w:val="en"/>
        </w:rPr>
        <w:t> to enable advances in drug development and optimization. This paper reports the use of frequency-domain photon migration with a side-firing probe to quantify tumor oxygenation and hemoglobin concentrations in nude rats bearing human head/neck tumors administered with carbogen gas, cycling hypoxic gas or just room air. Significant increase (with carbogen gas breathing) or decrease (with hypoxic gas breathing) in tumor oxygenation was observed. The trend in tumor oxygenation during forced cycling hypoxia (CH) followed that of the blood oxygenation measured with a pulse oximeter. Natural CH was also observed in rats under room air. The studies demonstrated the potential of the technology for longitudinal monitoring of tumor CH during tumor growth or in response to therapy.</w:t>
      </w:r>
    </w:p>
    <w:p w14:paraId="0606323D" w14:textId="77777777" w:rsidR="00981EEC" w:rsidRPr="00981EEC" w:rsidRDefault="00981EEC" w:rsidP="00981EEC">
      <w:pPr>
        <w:rPr>
          <w:lang w:val="en"/>
        </w:rPr>
      </w:pPr>
      <w:r w:rsidRPr="00981EEC">
        <w:rPr>
          <w:lang w:val="en"/>
        </w:rPr>
        <w:t>A flat side-firing fiber optic probe based on frequency-domain photon migration can be easily and reliably attached to a tumor surface for longitudinal monitoring of tumor cycling hypoxia and angiogenesis.</w:t>
      </w:r>
    </w:p>
    <w:p w14:paraId="3C04F43F" w14:textId="77777777" w:rsidR="00292548" w:rsidRDefault="00981EEC" w:rsidP="00292548">
      <w:pPr>
        <w:pStyle w:val="Heading1"/>
        <w:rPr>
          <w:lang w:val="en"/>
        </w:rPr>
      </w:pPr>
      <w:r w:rsidRPr="00981EEC">
        <w:rPr>
          <w:lang w:val="en"/>
        </w:rPr>
        <w:t>Keywords</w:t>
      </w:r>
    </w:p>
    <w:p w14:paraId="36C1EFA7" w14:textId="151404B3" w:rsidR="00981EEC" w:rsidRPr="00981EEC" w:rsidRDefault="00981EEC" w:rsidP="00981EEC">
      <w:pPr>
        <w:rPr>
          <w:lang w:val="en"/>
        </w:rPr>
      </w:pPr>
      <w:r w:rsidRPr="00981EEC">
        <w:rPr>
          <w:lang w:val="en"/>
        </w:rPr>
        <w:t>Diffuse optical spectroscopy, fiber optic sensor, tumor hypoxia and angiogenesis, cancer therapy</w:t>
      </w:r>
    </w:p>
    <w:p w14:paraId="14F6E719" w14:textId="77777777" w:rsidR="00981EEC" w:rsidRPr="00981EEC" w:rsidRDefault="00981EEC" w:rsidP="00292548">
      <w:pPr>
        <w:pStyle w:val="Heading1"/>
      </w:pPr>
      <w:r w:rsidRPr="00981EEC">
        <w:t>1. Introduction</w:t>
      </w:r>
    </w:p>
    <w:p w14:paraId="5F0C6B1E" w14:textId="7D1A3E2D" w:rsidR="00981EEC" w:rsidRPr="00981EEC" w:rsidRDefault="00981EEC" w:rsidP="00981EEC">
      <w:r w:rsidRPr="00981EEC">
        <w:t xml:space="preserve">Hypoxia and angiogenesis are two important characteristics of growing human tumors. Tumor hypoxia or low oxygen status is a spatially and temporally heterogeneous </w:t>
      </w:r>
      <w:proofErr w:type="gramStart"/>
      <w:r w:rsidRPr="00981EEC">
        <w:t>phenomenon, and</w:t>
      </w:r>
      <w:proofErr w:type="gramEnd"/>
      <w:r w:rsidRPr="00981EEC">
        <w:t xml:space="preserve"> is influenced by both the oxygen </w:t>
      </w:r>
      <w:r w:rsidRPr="00981EEC">
        <w:lastRenderedPageBreak/>
        <w:t>consumption rate of tumor cells and the oxygen supply from blood vessels [</w:t>
      </w:r>
      <w:r w:rsidRPr="0020536E">
        <w:t>1</w:t>
      </w:r>
      <w:r w:rsidRPr="00981EEC">
        <w:t>, </w:t>
      </w:r>
      <w:r w:rsidRPr="0020536E">
        <w:t>2</w:t>
      </w:r>
      <w:r w:rsidRPr="00981EEC">
        <w:t>]. Proliferating cells have an oxygen consumption rate that is 3–5 times greater than that of inactive cells [</w:t>
      </w:r>
      <w:r w:rsidRPr="0020536E">
        <w:t>3</w:t>
      </w:r>
      <w:r w:rsidRPr="00981EEC">
        <w:t>–</w:t>
      </w:r>
      <w:r w:rsidRPr="0020536E">
        <w:t>5</w:t>
      </w:r>
      <w:r w:rsidRPr="00981EEC">
        <w:t>]. Limited oxygen supply to the tumor can be caused by low vascular density, abnormal vascular orientation, or a paucity of arterial supply vessels [</w:t>
      </w:r>
      <w:r w:rsidRPr="0020536E">
        <w:t>2</w:t>
      </w:r>
      <w:r w:rsidRPr="00981EEC">
        <w:t>]. Hypoxia generates a stress response which signals the tumor cells to stimulate blood vessel growth or angiogenesis to provide rapidly proliferating tumor cells with an adequate supply of oxygen and metabolites [</w:t>
      </w:r>
      <w:r w:rsidRPr="0020536E">
        <w:t>2</w:t>
      </w:r>
      <w:r w:rsidRPr="00981EEC">
        <w:t>, </w:t>
      </w:r>
      <w:r w:rsidRPr="0020536E">
        <w:t>6</w:t>
      </w:r>
      <w:r w:rsidRPr="00981EEC">
        <w:t>, </w:t>
      </w:r>
      <w:r w:rsidRPr="0020536E">
        <w:t>7</w:t>
      </w:r>
      <w:r w:rsidRPr="00981EEC">
        <w:t>]. The blood vessels in tumors grow much more rapidly than the normal blood vessels, but they are abnormal and leaky, further perpetuating tumor hypoxia.</w:t>
      </w:r>
    </w:p>
    <w:p w14:paraId="7A765136" w14:textId="51A90364" w:rsidR="00981EEC" w:rsidRPr="00981EEC" w:rsidRDefault="00981EEC" w:rsidP="00981EEC">
      <w:r w:rsidRPr="00981EEC">
        <w:t xml:space="preserve">In a </w:t>
      </w:r>
      <w:proofErr w:type="gramStart"/>
      <w:r w:rsidRPr="00981EEC">
        <w:t>fast growing</w:t>
      </w:r>
      <w:proofErr w:type="gramEnd"/>
      <w:r w:rsidRPr="00981EEC">
        <w:t xml:space="preserve"> tumor oxygen diffuses a distance of 100–150 μm from blood vessels which divides a tumor into two different hypoxic regions [</w:t>
      </w:r>
      <w:r w:rsidRPr="0020536E">
        <w:t>8</w:t>
      </w:r>
      <w:r w:rsidRPr="00981EEC">
        <w:t>, </w:t>
      </w:r>
      <w:r w:rsidRPr="0020536E">
        <w:t>9</w:t>
      </w:r>
      <w:r w:rsidRPr="00981EEC">
        <w:t>]. Tumor cells beyond the diffusion distance become chronically hypoxic due to poor oxygen supply. Within the diffusion limit, however, tumor oxygenation often shows a temporal fluctuation with clear patterns of periodicity across many tumor types, a phenomenon known as cycling hypoxia (CH) or intermittent (or acute) hypoxia [</w:t>
      </w:r>
      <w:r w:rsidRPr="0020536E">
        <w:t>2</w:t>
      </w:r>
      <w:r w:rsidRPr="00981EEC">
        <w:t>, </w:t>
      </w:r>
      <w:r w:rsidRPr="0020536E">
        <w:t>7</w:t>
      </w:r>
      <w:r w:rsidRPr="00981EEC">
        <w:t>–</w:t>
      </w:r>
      <w:r w:rsidRPr="0020536E">
        <w:t>12</w:t>
      </w:r>
      <w:r w:rsidRPr="00981EEC">
        <w:t xml:space="preserve">]. CH has been found in both animal and human solid tumors. Depending on the architectural complexity and maturation level of the tumor vascular network, the periodicity of tumor CH can range between tens of seconds to hours, or even days and varies across tumors </w:t>
      </w:r>
      <w:proofErr w:type="gramStart"/>
      <w:r w:rsidRPr="00981EEC">
        <w:t>and also</w:t>
      </w:r>
      <w:proofErr w:type="gramEnd"/>
      <w:r w:rsidRPr="00981EEC">
        <w:t xml:space="preserve"> within the same tumor [</w:t>
      </w:r>
      <w:r w:rsidRPr="0020536E">
        <w:t>2</w:t>
      </w:r>
      <w:r w:rsidRPr="00981EEC">
        <w:t>, </w:t>
      </w:r>
      <w:r w:rsidRPr="0020536E">
        <w:t>11</w:t>
      </w:r>
      <w:r w:rsidRPr="00981EEC">
        <w:t>, </w:t>
      </w:r>
      <w:r w:rsidRPr="0020536E">
        <w:t>12</w:t>
      </w:r>
      <w:r w:rsidRPr="00981EEC">
        <w:t xml:space="preserve">]. The higher frequency (tens of seconds – hours) is associated with changes in perfusion, red blood cell flux, and occasionally vascular occlusion, while the lower frequency (days) is believed to be caused by changes in vascular network structures </w:t>
      </w:r>
      <w:proofErr w:type="gramStart"/>
      <w:r w:rsidRPr="00981EEC">
        <w:t>as a consequence of</w:t>
      </w:r>
      <w:proofErr w:type="gramEnd"/>
      <w:r w:rsidRPr="00981EEC">
        <w:t xml:space="preserve"> vascular reformation and angiogenesis [</w:t>
      </w:r>
      <w:r w:rsidRPr="0020536E">
        <w:t>8</w:t>
      </w:r>
      <w:r w:rsidRPr="00981EEC">
        <w:t>, </w:t>
      </w:r>
      <w:r w:rsidRPr="0020536E">
        <w:t>12</w:t>
      </w:r>
      <w:r w:rsidRPr="00981EEC">
        <w:t>].</w:t>
      </w:r>
    </w:p>
    <w:p w14:paraId="2816735D" w14:textId="5C0AC596" w:rsidR="00981EEC" w:rsidRPr="00981EEC" w:rsidRDefault="00981EEC" w:rsidP="00981EEC">
      <w:r w:rsidRPr="00981EEC">
        <w:t xml:space="preserve">Tumor angiogenesis and hypoxia, particularly CH, can significantly influence the efficacy of radiotherapy and chemotherapy as well as the behavior of surviving cancer cells. Angiogenesis and hypoxia are inextricably linked to the propensity of a tumor to grow. It is well known that hypoxia leads to neovascularization </w:t>
      </w:r>
      <w:proofErr w:type="gramStart"/>
      <w:r w:rsidRPr="00981EEC">
        <w:t>in order to</w:t>
      </w:r>
      <w:proofErr w:type="gramEnd"/>
      <w:r w:rsidRPr="00981EEC">
        <w:t xml:space="preserve"> satisfy the increased need of proliferating tumor cells, enhanced tumor metastasis, and resistance to radiation and chemotherapy by increasing genetic instability and selecting for cells with a diminished apoptotic potential [</w:t>
      </w:r>
      <w:r w:rsidRPr="0020536E">
        <w:t>8</w:t>
      </w:r>
      <w:r w:rsidRPr="00981EEC">
        <w:t>, </w:t>
      </w:r>
      <w:r w:rsidRPr="0020536E">
        <w:t>13</w:t>
      </w:r>
      <w:r w:rsidRPr="00981EEC">
        <w:t>, </w:t>
      </w:r>
      <w:r w:rsidRPr="0020536E">
        <w:t>14</w:t>
      </w:r>
      <w:r w:rsidRPr="00981EEC">
        <w:t>]. It has been recently demonstrated that CH also increases tumor angiogenesis by increasing hypoxia-inducible factor 1</w:t>
      </w:r>
      <w:r w:rsidRPr="00981EEC">
        <w:rPr>
          <w:i/>
          <w:iCs/>
        </w:rPr>
        <w:t>α</w:t>
      </w:r>
      <w:r w:rsidRPr="00981EEC">
        <w:t> (HIF-1</w:t>
      </w:r>
      <w:r w:rsidRPr="00981EEC">
        <w:rPr>
          <w:i/>
          <w:iCs/>
        </w:rPr>
        <w:t>α</w:t>
      </w:r>
      <w:r w:rsidRPr="00981EEC">
        <w:t> stabilization and HIF-1 activation [</w:t>
      </w:r>
      <w:r w:rsidRPr="0020536E">
        <w:t>7</w:t>
      </w:r>
      <w:r w:rsidRPr="00981EEC">
        <w:t>, </w:t>
      </w:r>
      <w:r w:rsidRPr="0020536E">
        <w:t>15</w:t>
      </w:r>
      <w:r w:rsidRPr="00981EEC">
        <w:t xml:space="preserve">] and confers tumor cells and tumor vascular endothelial cells with enhanced pro-survival pathways, making tumors less responsive to radiation and chemotherapy. </w:t>
      </w:r>
      <w:proofErr w:type="gramStart"/>
      <w:r w:rsidRPr="00981EEC">
        <w:t>However</w:t>
      </w:r>
      <w:proofErr w:type="gramEnd"/>
      <w:r w:rsidRPr="00981EEC">
        <w:t xml:space="preserve"> the dynamic interplay between hypoxia and angiogenesis and how best to leverage these targets for cancer therapy is still the subject of numerous investigations. Hypoxia-directed intensity-modulated radiotherapy and anti-angiogenic therapy in combination with cytotoxic chemotherapy are examples of current approaches that are being explored to target tumor hypoxia and/or angiogenesis in various tumor entities [</w:t>
      </w:r>
      <w:r w:rsidRPr="0020536E">
        <w:t>16</w:t>
      </w:r>
      <w:r w:rsidRPr="00981EEC">
        <w:t>, </w:t>
      </w:r>
      <w:r w:rsidRPr="0020536E">
        <w:t>17</w:t>
      </w:r>
      <w:r w:rsidRPr="00981EEC">
        <w:t>]. There is growing demand for technologies to measure tumor hypoxia and angiogenesis temporally </w:t>
      </w:r>
      <w:r w:rsidRPr="00981EEC">
        <w:rPr>
          <w:i/>
          <w:iCs/>
        </w:rPr>
        <w:t>in vivo</w:t>
      </w:r>
      <w:r w:rsidRPr="00981EEC">
        <w:t xml:space="preserve"> to enable advances in drug screening, </w:t>
      </w:r>
      <w:proofErr w:type="gramStart"/>
      <w:r w:rsidRPr="00981EEC">
        <w:t>development</w:t>
      </w:r>
      <w:proofErr w:type="gramEnd"/>
      <w:r w:rsidRPr="00981EEC">
        <w:t xml:space="preserve"> and optimization.</w:t>
      </w:r>
    </w:p>
    <w:p w14:paraId="00547C3F" w14:textId="5CFFD030" w:rsidR="00981EEC" w:rsidRPr="00981EEC" w:rsidRDefault="00981EEC" w:rsidP="00981EEC">
      <w:r w:rsidRPr="00981EEC">
        <w:t>Pre-clinical tumor models are important test beds in the development of drug therapies because they allow for rapid and systematic evaluation of different combinations of therapy and doses as well as the sequence in which they are administered in a relatively fast and cost-effective manner before proceeding to expensive, time-consuming clinical trials. However, the insights gained from pre-clinical model studies are only as effective as the tools used to measure the relevant endpoints. Sophisticated imaging techniques such as electron paramagnetic resonance imaging (EPRI), positron-emission tomography (PET), magnetic resonance imaging (MRI), fluorescence redox imaging and photoacoustic imaging can be used to image tumor hypoxia and angiogenesis with a spatial resolution from several millimeters down to a few micrometers [</w:t>
      </w:r>
      <w:r w:rsidRPr="0020536E">
        <w:t>12</w:t>
      </w:r>
      <w:r w:rsidRPr="00981EEC">
        <w:t>, </w:t>
      </w:r>
      <w:r w:rsidRPr="0020536E">
        <w:t>18</w:t>
      </w:r>
      <w:r w:rsidRPr="00981EEC">
        <w:t xml:space="preserve">]. However, these tools are not amenable to frequent use and thus at best can only report on events at selected time points over the course of cancer therapy. Moreover, multiple types of sophisticated imaging modalities maybe needed to fully capture events related to tumor hypoxia and angiogenesis. These tools could miss opportunistic time points and/or the interaction between key </w:t>
      </w:r>
      <w:proofErr w:type="gramStart"/>
      <w:r w:rsidRPr="00981EEC">
        <w:t>bio-markers</w:t>
      </w:r>
      <w:proofErr w:type="gramEnd"/>
      <w:r w:rsidRPr="00981EEC">
        <w:t xml:space="preserve"> that report on the effect of a particular drug. Needle-based oxygen electrodes and fluorescence oxygen sensors have also been widely used in the past, but these techniques are </w:t>
      </w:r>
      <w:r w:rsidRPr="00981EEC">
        <w:lastRenderedPageBreak/>
        <w:t>invasive, sample a very small volume, and have short lifetime. Immunohistochemistry of tissue biopsies suffers from similar drawbacks, in addition to the fact that biopsies are invasive and sample only very small volumes of tumor, which may not represent the overall tumor behavior.</w:t>
      </w:r>
    </w:p>
    <w:p w14:paraId="442F3EF9" w14:textId="7CD1A1E9" w:rsidR="00981EEC" w:rsidRPr="00981EEC" w:rsidRDefault="00981EEC" w:rsidP="00981EEC">
      <w:r w:rsidRPr="00981EEC">
        <w:t>Frequency-domain photon migration (FDPM) or diffuse optical spectroscopy (DOS) is a noninvasive technology that can provide quantitative information about tumor physiology, including tissue hemoglobin content and oxygenation status [</w:t>
      </w:r>
      <w:r w:rsidRPr="0020536E">
        <w:t>19</w:t>
      </w:r>
      <w:r w:rsidRPr="00981EEC">
        <w:t>–</w:t>
      </w:r>
      <w:r w:rsidRPr="0020536E">
        <w:t>27</w:t>
      </w:r>
      <w:r w:rsidRPr="00981EEC">
        <w:t>]. We previously reported a three-wavelength FDPM instrument and a side-firing fiber optic probe as an adjunct tool for breast cancer detection during image guided core-needle biopsy [</w:t>
      </w:r>
      <w:r w:rsidRPr="0020536E">
        <w:t>28</w:t>
      </w:r>
      <w:r w:rsidRPr="00981EEC">
        <w:t>]. We have recently upgraded the instrument and redesigned a completely flat side-firing probe. The new system can quantitatively measure bulk tissue absorption and scattering spectra between 650–1000 nm with a penetration depth between 5–15 mm within human tissue. The concentrations of deoxyhemoglobin (Hb) and oxyhemoglobin (</w:t>
      </w:r>
      <m:oMath>
        <m:r>
          <m:rPr>
            <m:sty m:val="p"/>
          </m:rPr>
          <w:rPr>
            <w:rFonts w:ascii="Cambria Math" w:hAnsi="Cambria Math"/>
            <w:vertAlign w:val="subscript"/>
          </w:rPr>
          <m:t>Hb</m:t>
        </m:r>
        <m:sSub>
          <m:sSubPr>
            <m:ctrlPr>
              <w:rPr>
                <w:rFonts w:ascii="Cambria Math" w:hAnsi="Cambria Math"/>
                <w:iCs/>
                <w:vertAlign w:val="subscript"/>
              </w:rPr>
            </m:ctrlPr>
          </m:sSubPr>
          <m:e>
            <m:r>
              <m:rPr>
                <m:sty m:val="p"/>
              </m:rPr>
              <w:rPr>
                <w:rFonts w:ascii="Cambria Math" w:hAnsi="Cambria Math"/>
                <w:vertAlign w:val="subscript"/>
              </w:rPr>
              <m:t>O</m:t>
            </m:r>
          </m:e>
          <m:sub>
            <m:r>
              <m:rPr>
                <m:sty m:val="p"/>
              </m:rPr>
              <w:rPr>
                <w:rFonts w:ascii="Cambria Math" w:hAnsi="Cambria Math"/>
                <w:vertAlign w:val="subscript"/>
              </w:rPr>
              <m:t>2</m:t>
            </m:r>
          </m:sub>
        </m:sSub>
      </m:oMath>
      <w:r w:rsidRPr="00981EEC">
        <w:t>) can be determined from the absorption spectra. The side-firing probe can be easily and reliably attached to a flat skin surface, making it an ideal tool for continuous monitoring of tumor physiology in preclinical tumor models. In this paper, we report the use of the side-firing probe in a preclinical model for longitudinal monitoring of head &amp; neck (</w:t>
      </w:r>
      <w:proofErr w:type="spellStart"/>
      <w:r w:rsidRPr="00981EEC">
        <w:t>FaDu</w:t>
      </w:r>
      <w:proofErr w:type="spellEnd"/>
      <w:r w:rsidRPr="00981EEC">
        <w:t xml:space="preserve">) tumor physiology in response to high or low oxygen levels or just room air. The tissue oxygen saturation measured via side-firing probe accurately tracked the varying oxygenation status of the tumor and was concordant with arterial blood oxygen saturation measured with a mouse pulse oximeter. Natural CH with patterns and frequency range </w:t>
      </w:r>
      <w:proofErr w:type="gramStart"/>
      <w:r w:rsidRPr="00981EEC">
        <w:t>similar to</w:t>
      </w:r>
      <w:proofErr w:type="gramEnd"/>
      <w:r w:rsidRPr="00981EEC">
        <w:t xml:space="preserve"> those reported in literature was also recorded in some rats under room air. To the best of our knowledge, this is the </w:t>
      </w:r>
      <w:proofErr w:type="gramStart"/>
      <w:r w:rsidRPr="00981EEC">
        <w:t>first time</w:t>
      </w:r>
      <w:proofErr w:type="gramEnd"/>
      <w:r w:rsidRPr="00981EEC">
        <w:t xml:space="preserve"> natural tumor CH was observed in animal models using a noninvasive optical technique.</w:t>
      </w:r>
    </w:p>
    <w:p w14:paraId="1B9BE5F6" w14:textId="77777777" w:rsidR="00981EEC" w:rsidRPr="00981EEC" w:rsidRDefault="00981EEC" w:rsidP="00292548">
      <w:pPr>
        <w:pStyle w:val="Heading1"/>
      </w:pPr>
      <w:r w:rsidRPr="00981EEC">
        <w:t>2. Materials and methods</w:t>
      </w:r>
    </w:p>
    <w:p w14:paraId="46D1D420" w14:textId="77777777" w:rsidR="00981EEC" w:rsidRPr="00981EEC" w:rsidRDefault="00981EEC" w:rsidP="00292548">
      <w:pPr>
        <w:pStyle w:val="Heading2"/>
      </w:pPr>
      <w:r w:rsidRPr="00981EEC">
        <w:t>2.1 Instrument</w:t>
      </w:r>
    </w:p>
    <w:p w14:paraId="7AC3AD95" w14:textId="659AC79D" w:rsidR="00981EEC" w:rsidRPr="00981EEC" w:rsidRDefault="00981EEC" w:rsidP="00981EEC">
      <w:r w:rsidRPr="00981EEC">
        <w:t>In this study, the FDPM instrument was upgraded to include 6 laser wavelengths (654, 683, 779, 805, 847, and 905 nm) so that more absorbers, such as water and fat, can be accounted for. </w:t>
      </w:r>
      <w:r w:rsidRPr="0020536E">
        <w:t>Figure 1(a)</w:t>
      </w:r>
      <w:r w:rsidRPr="00981EEC">
        <w:t> shows a photograph of the 6-wavelength FDPM instrument. The needle-shaped side-firing fiber optic probe used in the previous breast biopsy study was modified to have a completely flat surface by gluing all fiber tips into a V-groove on a thin Delrin plate so that it could be easily attached on to the surface of a rat tumor, shown in </w:t>
      </w:r>
      <w:r w:rsidRPr="0020536E">
        <w:t>Figures 1(b) and (c)</w:t>
      </w:r>
      <w:r w:rsidRPr="00981EEC">
        <w:t>. The probe has two side-firing source fibers (200/220/240 μm, NA = 0.22) and a single side-firing detection fiber (600/660/710 μm, NA = 0.22), providing two source-detector separations (SDS) of 5 and 10 mm, respectively. The fiber tips were polished to a 45° angle and coated with a mirror to create a light path perpendicular to the fiber. The two source-detector separations were used to eliminate instrumentation artifacts due to modulation-dependence of the light sources and instrument response [</w:t>
      </w:r>
      <w:r w:rsidRPr="0020536E">
        <w:t>29</w:t>
      </w:r>
      <w:r w:rsidRPr="00981EEC">
        <w:t>, </w:t>
      </w:r>
      <w:r w:rsidRPr="0020536E">
        <w:t>30</w:t>
      </w:r>
      <w:r w:rsidRPr="00981EEC">
        <w:t xml:space="preserve">] and skin effects. The fibers were relayed to the instrument via a 2.5 mm fiber optic cable with FC connectors. The FDPM instrument launches intensity-modulated continuous wave lasers into the tissue and collects the amplitude-attenuated and phase-shifted diffuse reflectance from the tissue at the same frequency of the incident light. The optical switch outputs each of the six wavelengths to one of two source fibers sequentially and the modulation frequency was scanned from 50 to 250 MHz at a 1 MHz interval at each wavelength. A custom LabVIEW program integrated with </w:t>
      </w:r>
      <w:proofErr w:type="spellStart"/>
      <w:r w:rsidRPr="00981EEC">
        <w:t>Matlab</w:t>
      </w:r>
      <w:proofErr w:type="spellEnd"/>
      <w:r w:rsidRPr="00981EEC">
        <w:t xml:space="preserve"> scripts was used for instrument control, data acquisition and data analysis. The measured tissue optical properties as well as composition parameters were displayed in real-time.</w:t>
      </w:r>
    </w:p>
    <w:p w14:paraId="3FE724CA" w14:textId="4BF8BDE6" w:rsidR="00981EEC" w:rsidRPr="0020536E" w:rsidRDefault="00981EEC" w:rsidP="00292548">
      <w:pPr>
        <w:pStyle w:val="NoSpacing"/>
      </w:pPr>
    </w:p>
    <w:p w14:paraId="217B365F" w14:textId="738B8EF8" w:rsidR="00981EEC" w:rsidRPr="00981EEC" w:rsidRDefault="00981EEC" w:rsidP="00292548">
      <w:pPr>
        <w:pStyle w:val="NoSpacing"/>
      </w:pPr>
      <w:r w:rsidRPr="0020536E">
        <w:rPr>
          <w:noProof/>
        </w:rPr>
        <w:lastRenderedPageBreak/>
        <w:drawing>
          <wp:inline distT="0" distB="0" distL="0" distR="0" wp14:anchorId="5ACA8592" wp14:editId="6D62745F">
            <wp:extent cx="2743200" cy="1865376"/>
            <wp:effectExtent l="0" t="0" r="0" b="1905"/>
            <wp:docPr id="11" name="Picture 11">
              <a:hlinkClick xmlns:a="http://schemas.openxmlformats.org/drawingml/2006/main" r:id="rId10"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0"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0075390A" w14:textId="60212B6B" w:rsidR="00981EEC" w:rsidRDefault="00981EEC" w:rsidP="00292548">
      <w:pPr>
        <w:pStyle w:val="NoSpacing"/>
      </w:pPr>
      <w:r w:rsidRPr="0020536E">
        <w:t>Figure 1</w:t>
      </w:r>
      <w:r w:rsidR="00292548">
        <w:t xml:space="preserve"> </w:t>
      </w:r>
      <w:r w:rsidRPr="00981EEC">
        <w:t>FDPM instrument and side-firing probe: (</w:t>
      </w:r>
      <w:r w:rsidRPr="00981EEC">
        <w:rPr>
          <w:b/>
          <w:bCs/>
        </w:rPr>
        <w:t>a</w:t>
      </w:r>
      <w:r w:rsidRPr="00981EEC">
        <w:t>) photograph of the instrument; (</w:t>
      </w:r>
      <w:r w:rsidRPr="00981EEC">
        <w:rPr>
          <w:b/>
          <w:bCs/>
        </w:rPr>
        <w:t>b</w:t>
      </w:r>
      <w:r w:rsidRPr="00981EEC">
        <w:t>) a schematic of the side-firing fiber optic probe; and (</w:t>
      </w:r>
      <w:r w:rsidRPr="00981EEC">
        <w:rPr>
          <w:b/>
          <w:bCs/>
        </w:rPr>
        <w:t>c</w:t>
      </w:r>
      <w:r w:rsidRPr="00981EEC">
        <w:t>) a cartoon of the coupling between the side-firing probe and rat tumor.</w:t>
      </w:r>
    </w:p>
    <w:p w14:paraId="5A8EF48A" w14:textId="77777777" w:rsidR="00292548" w:rsidRPr="00981EEC" w:rsidRDefault="00292548" w:rsidP="00981EEC"/>
    <w:p w14:paraId="2C19EC3B" w14:textId="77777777" w:rsidR="00981EEC" w:rsidRPr="00981EEC" w:rsidRDefault="00981EEC" w:rsidP="00292548">
      <w:pPr>
        <w:pStyle w:val="Heading2"/>
      </w:pPr>
      <w:r w:rsidRPr="00981EEC">
        <w:t>2.2 Phantom study</w:t>
      </w:r>
    </w:p>
    <w:p w14:paraId="798864BB" w14:textId="48988909" w:rsidR="00981EEC" w:rsidRPr="00981EEC" w:rsidRDefault="00981EEC" w:rsidP="00981EEC">
      <w:r w:rsidRPr="00981EEC">
        <w:t>Tissue-simulating liquid phantoms were used to evaluate the performance of the system and for instrument calibration. 15 phantoms with absorption (</w:t>
      </w:r>
      <m:oMath>
        <m:sSub>
          <m:sSubPr>
            <m:ctrlPr>
              <w:rPr>
                <w:rFonts w:ascii="Cambria Math" w:hAnsi="Cambria Math"/>
                <w:i/>
                <w:iCs/>
              </w:rPr>
            </m:ctrlPr>
          </m:sSubPr>
          <m:e>
            <m:r>
              <w:rPr>
                <w:rFonts w:ascii="Cambria Math" w:hAnsi="Cambria Math"/>
              </w:rPr>
              <m:t>μ</m:t>
            </m:r>
          </m:e>
          <m:sub>
            <m:r>
              <w:rPr>
                <w:rFonts w:ascii="Cambria Math" w:hAnsi="Cambria Math"/>
                <w:vertAlign w:val="subscript"/>
              </w:rPr>
              <m:t>a</m:t>
            </m:r>
          </m:sub>
        </m:sSub>
      </m:oMath>
      <w:r w:rsidRPr="00981EEC">
        <w:t>) and reduced scattering coefficients (</w:t>
      </w:r>
      <m:oMath>
        <m:sSubSup>
          <m:sSubSupPr>
            <m:ctrlPr>
              <w:rPr>
                <w:rFonts w:ascii="Cambria Math" w:hAnsi="Cambria Math"/>
                <w:i/>
                <w:iCs/>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oMath>
      <w:r w:rsidRPr="00981EEC">
        <w:t>) representative of rat tumors at the six wavelengths [</w:t>
      </w:r>
      <w:r w:rsidRPr="0020536E">
        <w:t>21</w:t>
      </w:r>
      <w:r w:rsidRPr="00981EEC">
        <w:t>, </w:t>
      </w:r>
      <w:r w:rsidRPr="0020536E">
        <w:t>31</w:t>
      </w:r>
      <w:r w:rsidRPr="00981EEC">
        <w:t xml:space="preserve">] were created by fixing the number of scatterers (or volume of 20% stock Intralipid solution) at three levels (low, </w:t>
      </w:r>
      <w:proofErr w:type="gramStart"/>
      <w:r w:rsidRPr="00981EEC">
        <w:t>medium</w:t>
      </w:r>
      <w:proofErr w:type="gramEnd"/>
      <w:r w:rsidRPr="00981EEC">
        <w:t xml:space="preserve"> and high) and titrating stock India ink solution (absorber) to five levels. The extinction coefficient of the stock ink solution was measured using a spectrophotometer (Cary 300, Varian, Inc.) and the expected </w:t>
      </w:r>
      <m:oMath>
        <m:sSubSup>
          <m:sSubSupPr>
            <m:ctrlPr>
              <w:rPr>
                <w:rFonts w:ascii="Cambria Math" w:hAnsi="Cambria Math"/>
                <w:i/>
                <w:iCs/>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oMath>
      <w:r w:rsidRPr="00981EEC">
        <w:t xml:space="preserve"> of the stock Intralipid was determined by using the method described in Ref. [</w:t>
      </w:r>
      <w:r w:rsidRPr="0020536E">
        <w:t>32</w:t>
      </w:r>
      <w:r w:rsidRPr="00981EEC">
        <w:t>]. </w:t>
      </w:r>
      <w:r w:rsidRPr="0020536E">
        <w:t>Table 1</w:t>
      </w:r>
      <w:r w:rsidRPr="00981EEC">
        <w:t> summarizes the expected phantom </w:t>
      </w:r>
      <m:oMath>
        <m:sSub>
          <m:sSubPr>
            <m:ctrlPr>
              <w:rPr>
                <w:rFonts w:ascii="Cambria Math" w:hAnsi="Cambria Math"/>
                <w:i/>
                <w:iCs/>
              </w:rPr>
            </m:ctrlPr>
          </m:sSubPr>
          <m:e>
            <m:r>
              <w:rPr>
                <w:rFonts w:ascii="Cambria Math" w:hAnsi="Cambria Math"/>
              </w:rPr>
              <m:t>μ</m:t>
            </m:r>
          </m:e>
          <m:sub>
            <m:r>
              <w:rPr>
                <w:rFonts w:ascii="Cambria Math" w:hAnsi="Cambria Math"/>
                <w:vertAlign w:val="subscript"/>
              </w:rPr>
              <m:t>a</m:t>
            </m:r>
          </m:sub>
        </m:sSub>
      </m:oMath>
      <w:r w:rsidRPr="00981EEC">
        <w:t> and </w:t>
      </w:r>
      <m:oMath>
        <m:sSubSup>
          <m:sSubSupPr>
            <m:ctrlPr>
              <w:rPr>
                <w:rFonts w:ascii="Cambria Math" w:hAnsi="Cambria Math"/>
                <w:i/>
                <w:iCs/>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oMath>
      <w:r w:rsidRPr="00981EEC">
        <w:t xml:space="preserve"> averaged over all the six wavelen</w:t>
      </w:r>
      <w:proofErr w:type="spellStart"/>
      <w:r w:rsidRPr="00981EEC">
        <w:t>gths</w:t>
      </w:r>
      <w:proofErr w:type="spellEnd"/>
      <w:r w:rsidRPr="00981EEC">
        <w:t>.</w:t>
      </w:r>
    </w:p>
    <w:p w14:paraId="46371B7C" w14:textId="0B208636" w:rsidR="00981EEC" w:rsidRPr="00981EEC" w:rsidRDefault="00981EEC" w:rsidP="0012097F">
      <w:pPr>
        <w:spacing w:after="0"/>
      </w:pPr>
      <w:r w:rsidRPr="00981EEC">
        <w:t>Table 1</w:t>
      </w:r>
      <w:r w:rsidR="00292548">
        <w:t xml:space="preserve"> </w:t>
      </w:r>
      <w:r w:rsidRPr="00981EEC">
        <w:t>Expected phantom </w:t>
      </w:r>
      <m:oMath>
        <m:sSub>
          <m:sSubPr>
            <m:ctrlPr>
              <w:rPr>
                <w:rFonts w:ascii="Cambria Math" w:hAnsi="Cambria Math"/>
                <w:i/>
                <w:iCs/>
              </w:rPr>
            </m:ctrlPr>
          </m:sSubPr>
          <m:e>
            <m:r>
              <w:rPr>
                <w:rFonts w:ascii="Cambria Math" w:hAnsi="Cambria Math"/>
              </w:rPr>
              <m:t>μ</m:t>
            </m:r>
          </m:e>
          <m:sub>
            <m:r>
              <w:rPr>
                <w:rFonts w:ascii="Cambria Math" w:hAnsi="Cambria Math"/>
                <w:vertAlign w:val="subscript"/>
              </w:rPr>
              <m:t>a</m:t>
            </m:r>
          </m:sub>
        </m:sSub>
      </m:oMath>
      <w:r w:rsidRPr="00981EEC">
        <w:t> and </w:t>
      </w: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oMath>
      <w:r w:rsidRPr="00981EEC">
        <w:t> averaged over all six wavelengths.</w:t>
      </w:r>
    </w:p>
    <w:tbl>
      <w:tblPr>
        <w:tblStyle w:val="TableGrid"/>
        <w:tblW w:w="0" w:type="auto"/>
        <w:tblLook w:val="04A0" w:firstRow="1" w:lastRow="0" w:firstColumn="1" w:lastColumn="0" w:noHBand="0" w:noVBand="1"/>
      </w:tblPr>
      <w:tblGrid>
        <w:gridCol w:w="1211"/>
        <w:gridCol w:w="1071"/>
        <w:gridCol w:w="1100"/>
        <w:gridCol w:w="1211"/>
        <w:gridCol w:w="1071"/>
        <w:gridCol w:w="1100"/>
      </w:tblGrid>
      <w:tr w:rsidR="00981EEC" w:rsidRPr="00981EEC" w14:paraId="119AAEA5" w14:textId="77777777" w:rsidTr="00292548">
        <w:tc>
          <w:tcPr>
            <w:tcW w:w="0" w:type="auto"/>
            <w:hideMark/>
          </w:tcPr>
          <w:p w14:paraId="4B264501" w14:textId="77777777" w:rsidR="00981EEC" w:rsidRPr="00981EEC" w:rsidRDefault="00981EEC" w:rsidP="00981EEC">
            <w:pPr>
              <w:rPr>
                <w:b/>
                <w:bCs/>
              </w:rPr>
            </w:pPr>
            <w:r w:rsidRPr="00981EEC">
              <w:rPr>
                <w:b/>
                <w:bCs/>
              </w:rPr>
              <w:t>Phantom #</w:t>
            </w:r>
          </w:p>
        </w:tc>
        <w:tc>
          <w:tcPr>
            <w:tcW w:w="0" w:type="auto"/>
            <w:hideMark/>
          </w:tcPr>
          <w:p w14:paraId="16321E51" w14:textId="6C8AD5E0" w:rsidR="00981EEC" w:rsidRPr="00981EEC" w:rsidRDefault="002B6139" w:rsidP="00981EEC">
            <w:pPr>
              <w:rPr>
                <w:b/>
                <w:bCs/>
              </w:rPr>
            </w:pPr>
            <m:oMath>
              <m:sSub>
                <m:sSubPr>
                  <m:ctrlPr>
                    <w:rPr>
                      <w:rFonts w:ascii="Cambria Math" w:hAnsi="Cambria Math"/>
                      <w:b/>
                      <w:bCs/>
                      <w:i/>
                      <w:iCs/>
                    </w:rPr>
                  </m:ctrlPr>
                </m:sSubPr>
                <m:e>
                  <m:r>
                    <m:rPr>
                      <m:sty m:val="bi"/>
                    </m:rPr>
                    <w:rPr>
                      <w:rFonts w:ascii="Cambria Math" w:hAnsi="Cambria Math"/>
                    </w:rPr>
                    <m:t>μ</m:t>
                  </m:r>
                </m:e>
                <m:sub>
                  <m:r>
                    <m:rPr>
                      <m:sty m:val="bi"/>
                    </m:rPr>
                    <w:rPr>
                      <w:rFonts w:ascii="Cambria Math" w:hAnsi="Cambria Math"/>
                      <w:vertAlign w:val="subscript"/>
                    </w:rPr>
                    <m:t>α</m:t>
                  </m:r>
                </m:sub>
              </m:sSub>
            </m:oMath>
            <w:r w:rsidR="00981EEC" w:rsidRPr="00981EEC">
              <w:rPr>
                <w:b/>
                <w:bCs/>
              </w:rPr>
              <w:t> (</w:t>
            </w:r>
            <w:proofErr w:type="gramStart"/>
            <w:r w:rsidR="00981EEC" w:rsidRPr="00981EEC">
              <w:rPr>
                <w:b/>
                <w:bCs/>
              </w:rPr>
              <w:t>cm</w:t>
            </w:r>
            <w:proofErr w:type="gramEnd"/>
            <w:r w:rsidR="00981EEC" w:rsidRPr="00981EEC">
              <w:rPr>
                <w:b/>
                <w:bCs/>
                <w:vertAlign w:val="superscript"/>
              </w:rPr>
              <w:t>−1</w:t>
            </w:r>
            <w:r w:rsidR="00981EEC" w:rsidRPr="00981EEC">
              <w:rPr>
                <w:b/>
                <w:bCs/>
              </w:rPr>
              <w:t>)</w:t>
            </w:r>
          </w:p>
        </w:tc>
        <w:tc>
          <w:tcPr>
            <w:tcW w:w="0" w:type="auto"/>
            <w:hideMark/>
          </w:tcPr>
          <w:p w14:paraId="1BC1D2EF" w14:textId="760141C8" w:rsidR="00981EEC" w:rsidRPr="00981EEC" w:rsidRDefault="002D4A14" w:rsidP="00981EEC">
            <w:pPr>
              <w:rPr>
                <w:b/>
                <w:bCs/>
              </w:rPr>
            </w:pPr>
            <m:oMath>
              <m:sSubSup>
                <m:sSubSupPr>
                  <m:ctrlPr>
                    <w:rPr>
                      <w:rFonts w:ascii="Cambria Math" w:hAnsi="Cambria Math"/>
                      <w:i/>
                      <w:iCs/>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oMath>
            <w:r w:rsidRPr="00981EEC">
              <w:t xml:space="preserve"> </w:t>
            </w:r>
            <w:r w:rsidR="00981EEC" w:rsidRPr="00981EEC">
              <w:t>(</w:t>
            </w:r>
            <w:proofErr w:type="gramStart"/>
            <w:r w:rsidR="00981EEC" w:rsidRPr="00981EEC">
              <w:t>cm</w:t>
            </w:r>
            <w:proofErr w:type="gramEnd"/>
            <w:r w:rsidR="00981EEC" w:rsidRPr="00981EEC">
              <w:t>−1)</w:t>
            </w:r>
          </w:p>
        </w:tc>
        <w:tc>
          <w:tcPr>
            <w:tcW w:w="0" w:type="auto"/>
            <w:hideMark/>
          </w:tcPr>
          <w:p w14:paraId="75C5D591" w14:textId="77777777" w:rsidR="00981EEC" w:rsidRPr="00981EEC" w:rsidRDefault="00981EEC" w:rsidP="00981EEC">
            <w:pPr>
              <w:rPr>
                <w:b/>
                <w:bCs/>
              </w:rPr>
            </w:pPr>
            <w:r w:rsidRPr="00981EEC">
              <w:rPr>
                <w:b/>
                <w:bCs/>
              </w:rPr>
              <w:t>Phantom #</w:t>
            </w:r>
          </w:p>
        </w:tc>
        <w:tc>
          <w:tcPr>
            <w:tcW w:w="0" w:type="auto"/>
            <w:hideMark/>
          </w:tcPr>
          <w:p w14:paraId="419F051A" w14:textId="38071FC6" w:rsidR="00981EEC" w:rsidRPr="00981EEC" w:rsidRDefault="002B6139" w:rsidP="00981EEC">
            <w:pPr>
              <w:rPr>
                <w:b/>
                <w:bCs/>
              </w:rPr>
            </w:pPr>
            <m:oMath>
              <m:sSub>
                <m:sSubPr>
                  <m:ctrlPr>
                    <w:rPr>
                      <w:rFonts w:ascii="Cambria Math" w:hAnsi="Cambria Math"/>
                      <w:b/>
                      <w:bCs/>
                      <w:i/>
                      <w:iCs/>
                    </w:rPr>
                  </m:ctrlPr>
                </m:sSubPr>
                <m:e>
                  <m:r>
                    <m:rPr>
                      <m:sty m:val="bi"/>
                    </m:rPr>
                    <w:rPr>
                      <w:rFonts w:ascii="Cambria Math" w:hAnsi="Cambria Math"/>
                    </w:rPr>
                    <m:t>μ</m:t>
                  </m:r>
                </m:e>
                <m:sub>
                  <m:r>
                    <m:rPr>
                      <m:sty m:val="bi"/>
                    </m:rPr>
                    <w:rPr>
                      <w:rFonts w:ascii="Cambria Math" w:hAnsi="Cambria Math"/>
                      <w:vertAlign w:val="subscript"/>
                    </w:rPr>
                    <m:t>α</m:t>
                  </m:r>
                </m:sub>
              </m:sSub>
            </m:oMath>
            <w:r w:rsidR="00981EEC" w:rsidRPr="00981EEC">
              <w:rPr>
                <w:b/>
                <w:bCs/>
              </w:rPr>
              <w:t> (</w:t>
            </w:r>
            <w:proofErr w:type="gramStart"/>
            <w:r w:rsidR="00981EEC" w:rsidRPr="00981EEC">
              <w:rPr>
                <w:b/>
                <w:bCs/>
              </w:rPr>
              <w:t>cm</w:t>
            </w:r>
            <w:proofErr w:type="gramEnd"/>
            <w:r w:rsidR="00981EEC" w:rsidRPr="00981EEC">
              <w:rPr>
                <w:b/>
                <w:bCs/>
                <w:vertAlign w:val="superscript"/>
              </w:rPr>
              <w:t>−1</w:t>
            </w:r>
            <w:r w:rsidR="00981EEC" w:rsidRPr="00981EEC">
              <w:rPr>
                <w:b/>
                <w:bCs/>
              </w:rPr>
              <w:t>)</w:t>
            </w:r>
          </w:p>
        </w:tc>
        <w:tc>
          <w:tcPr>
            <w:tcW w:w="0" w:type="auto"/>
            <w:hideMark/>
          </w:tcPr>
          <w:p w14:paraId="0C937FCE" w14:textId="49DBFB7B" w:rsidR="00981EEC" w:rsidRPr="00981EEC" w:rsidRDefault="002D4A14" w:rsidP="00981EEC">
            <w:pPr>
              <w:rPr>
                <w:b/>
                <w:bCs/>
              </w:rPr>
            </w:pPr>
            <m:oMath>
              <m:sSubSup>
                <m:sSubSupPr>
                  <m:ctrlPr>
                    <w:rPr>
                      <w:rFonts w:ascii="Cambria Math" w:hAnsi="Cambria Math"/>
                      <w:i/>
                      <w:iCs/>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oMath>
            <w:r w:rsidRPr="00981EEC">
              <w:t xml:space="preserve"> </w:t>
            </w:r>
            <w:r w:rsidR="00981EEC" w:rsidRPr="00981EEC">
              <w:t>(</w:t>
            </w:r>
            <w:proofErr w:type="gramStart"/>
            <w:r w:rsidR="00981EEC" w:rsidRPr="00981EEC">
              <w:t>cm</w:t>
            </w:r>
            <w:proofErr w:type="gramEnd"/>
            <w:r w:rsidR="00981EEC" w:rsidRPr="00981EEC">
              <w:t>−1)</w:t>
            </w:r>
          </w:p>
        </w:tc>
      </w:tr>
      <w:tr w:rsidR="00981EEC" w:rsidRPr="00981EEC" w14:paraId="69219ECF" w14:textId="77777777" w:rsidTr="00292548">
        <w:tc>
          <w:tcPr>
            <w:tcW w:w="0" w:type="auto"/>
            <w:hideMark/>
          </w:tcPr>
          <w:p w14:paraId="762ABB3E" w14:textId="77777777" w:rsidR="00981EEC" w:rsidRPr="00981EEC" w:rsidRDefault="00981EEC" w:rsidP="00981EEC">
            <w:r w:rsidRPr="00981EEC">
              <w:t>1</w:t>
            </w:r>
          </w:p>
        </w:tc>
        <w:tc>
          <w:tcPr>
            <w:tcW w:w="0" w:type="auto"/>
            <w:hideMark/>
          </w:tcPr>
          <w:p w14:paraId="605E286A" w14:textId="77777777" w:rsidR="00981EEC" w:rsidRPr="00981EEC" w:rsidRDefault="00981EEC" w:rsidP="00981EEC">
            <w:r w:rsidRPr="00981EEC">
              <w:t>0.108</w:t>
            </w:r>
          </w:p>
        </w:tc>
        <w:tc>
          <w:tcPr>
            <w:tcW w:w="0" w:type="auto"/>
            <w:hideMark/>
          </w:tcPr>
          <w:p w14:paraId="1741641F" w14:textId="77777777" w:rsidR="00981EEC" w:rsidRPr="00981EEC" w:rsidRDefault="00981EEC" w:rsidP="00981EEC">
            <w:r w:rsidRPr="00981EEC">
              <w:t>10.63</w:t>
            </w:r>
          </w:p>
        </w:tc>
        <w:tc>
          <w:tcPr>
            <w:tcW w:w="0" w:type="auto"/>
            <w:hideMark/>
          </w:tcPr>
          <w:p w14:paraId="42AAA52B" w14:textId="77777777" w:rsidR="00981EEC" w:rsidRPr="00981EEC" w:rsidRDefault="00981EEC" w:rsidP="00981EEC">
            <w:r w:rsidRPr="00981EEC">
              <w:t>9</w:t>
            </w:r>
          </w:p>
        </w:tc>
        <w:tc>
          <w:tcPr>
            <w:tcW w:w="0" w:type="auto"/>
            <w:hideMark/>
          </w:tcPr>
          <w:p w14:paraId="278F4D65" w14:textId="77777777" w:rsidR="00981EEC" w:rsidRPr="00981EEC" w:rsidRDefault="00981EEC" w:rsidP="00981EEC">
            <w:r w:rsidRPr="00981EEC">
              <w:t>0.305</w:t>
            </w:r>
          </w:p>
        </w:tc>
        <w:tc>
          <w:tcPr>
            <w:tcW w:w="0" w:type="auto"/>
            <w:hideMark/>
          </w:tcPr>
          <w:p w14:paraId="3F98EF50" w14:textId="77777777" w:rsidR="00981EEC" w:rsidRPr="00981EEC" w:rsidRDefault="00981EEC" w:rsidP="00981EEC">
            <w:r w:rsidRPr="00981EEC">
              <w:t>14.01</w:t>
            </w:r>
          </w:p>
        </w:tc>
      </w:tr>
      <w:tr w:rsidR="00981EEC" w:rsidRPr="00981EEC" w14:paraId="6A916DBC" w14:textId="77777777" w:rsidTr="00292548">
        <w:tc>
          <w:tcPr>
            <w:tcW w:w="0" w:type="auto"/>
            <w:hideMark/>
          </w:tcPr>
          <w:p w14:paraId="49D667BB" w14:textId="77777777" w:rsidR="00981EEC" w:rsidRPr="00981EEC" w:rsidRDefault="00981EEC" w:rsidP="00981EEC">
            <w:r w:rsidRPr="00981EEC">
              <w:t>2</w:t>
            </w:r>
          </w:p>
        </w:tc>
        <w:tc>
          <w:tcPr>
            <w:tcW w:w="0" w:type="auto"/>
            <w:hideMark/>
          </w:tcPr>
          <w:p w14:paraId="4156466D" w14:textId="77777777" w:rsidR="00981EEC" w:rsidRPr="00981EEC" w:rsidRDefault="00981EEC" w:rsidP="00981EEC">
            <w:r w:rsidRPr="00981EEC">
              <w:t>0.162</w:t>
            </w:r>
          </w:p>
        </w:tc>
        <w:tc>
          <w:tcPr>
            <w:tcW w:w="0" w:type="auto"/>
            <w:hideMark/>
          </w:tcPr>
          <w:p w14:paraId="25D8A71B" w14:textId="77777777" w:rsidR="00981EEC" w:rsidRPr="00981EEC" w:rsidRDefault="00981EEC" w:rsidP="00981EEC">
            <w:r w:rsidRPr="00981EEC">
              <w:t>10.60</w:t>
            </w:r>
          </w:p>
        </w:tc>
        <w:tc>
          <w:tcPr>
            <w:tcW w:w="0" w:type="auto"/>
            <w:hideMark/>
          </w:tcPr>
          <w:p w14:paraId="038F72AE" w14:textId="77777777" w:rsidR="00981EEC" w:rsidRPr="00981EEC" w:rsidRDefault="00981EEC" w:rsidP="00981EEC">
            <w:r w:rsidRPr="00981EEC">
              <w:t>10</w:t>
            </w:r>
          </w:p>
        </w:tc>
        <w:tc>
          <w:tcPr>
            <w:tcW w:w="0" w:type="auto"/>
            <w:hideMark/>
          </w:tcPr>
          <w:p w14:paraId="312F35B5" w14:textId="77777777" w:rsidR="00981EEC" w:rsidRPr="00981EEC" w:rsidRDefault="00981EEC" w:rsidP="00981EEC">
            <w:r w:rsidRPr="00981EEC">
              <w:t>0.376</w:t>
            </w:r>
          </w:p>
        </w:tc>
        <w:tc>
          <w:tcPr>
            <w:tcW w:w="0" w:type="auto"/>
            <w:hideMark/>
          </w:tcPr>
          <w:p w14:paraId="7B2C38F1" w14:textId="77777777" w:rsidR="00981EEC" w:rsidRPr="00981EEC" w:rsidRDefault="00981EEC" w:rsidP="00981EEC">
            <w:r w:rsidRPr="00981EEC">
              <w:t>13.99</w:t>
            </w:r>
          </w:p>
        </w:tc>
      </w:tr>
      <w:tr w:rsidR="00981EEC" w:rsidRPr="00981EEC" w14:paraId="68746EAB" w14:textId="77777777" w:rsidTr="00292548">
        <w:tc>
          <w:tcPr>
            <w:tcW w:w="0" w:type="auto"/>
            <w:hideMark/>
          </w:tcPr>
          <w:p w14:paraId="682BAC9F" w14:textId="77777777" w:rsidR="00981EEC" w:rsidRPr="00981EEC" w:rsidRDefault="00981EEC" w:rsidP="00981EEC">
            <w:r w:rsidRPr="00981EEC">
              <w:t>3</w:t>
            </w:r>
          </w:p>
        </w:tc>
        <w:tc>
          <w:tcPr>
            <w:tcW w:w="0" w:type="auto"/>
            <w:hideMark/>
          </w:tcPr>
          <w:p w14:paraId="6E8A3C1B" w14:textId="77777777" w:rsidR="00981EEC" w:rsidRPr="00981EEC" w:rsidRDefault="00981EEC" w:rsidP="00981EEC">
            <w:r w:rsidRPr="00981EEC">
              <w:t>0.234</w:t>
            </w:r>
          </w:p>
        </w:tc>
        <w:tc>
          <w:tcPr>
            <w:tcW w:w="0" w:type="auto"/>
            <w:hideMark/>
          </w:tcPr>
          <w:p w14:paraId="4830CAAC" w14:textId="77777777" w:rsidR="00981EEC" w:rsidRPr="00981EEC" w:rsidRDefault="00981EEC" w:rsidP="00981EEC">
            <w:r w:rsidRPr="00981EEC">
              <w:t>10.55</w:t>
            </w:r>
          </w:p>
        </w:tc>
        <w:tc>
          <w:tcPr>
            <w:tcW w:w="0" w:type="auto"/>
            <w:hideMark/>
          </w:tcPr>
          <w:p w14:paraId="12DC13DC" w14:textId="77777777" w:rsidR="00981EEC" w:rsidRPr="00981EEC" w:rsidRDefault="00981EEC" w:rsidP="00981EEC">
            <w:r w:rsidRPr="00981EEC">
              <w:t>11</w:t>
            </w:r>
          </w:p>
        </w:tc>
        <w:tc>
          <w:tcPr>
            <w:tcW w:w="0" w:type="auto"/>
            <w:hideMark/>
          </w:tcPr>
          <w:p w14:paraId="1FF29D90" w14:textId="77777777" w:rsidR="00981EEC" w:rsidRPr="00981EEC" w:rsidRDefault="00981EEC" w:rsidP="00981EEC">
            <w:r w:rsidRPr="00981EEC">
              <w:t>0.108</w:t>
            </w:r>
          </w:p>
        </w:tc>
        <w:tc>
          <w:tcPr>
            <w:tcW w:w="0" w:type="auto"/>
            <w:hideMark/>
          </w:tcPr>
          <w:p w14:paraId="39937175" w14:textId="77777777" w:rsidR="00981EEC" w:rsidRPr="00981EEC" w:rsidRDefault="00981EEC" w:rsidP="00981EEC">
            <w:r w:rsidRPr="00981EEC">
              <w:t>17.71</w:t>
            </w:r>
          </w:p>
        </w:tc>
      </w:tr>
      <w:tr w:rsidR="00981EEC" w:rsidRPr="00981EEC" w14:paraId="7A4C6350" w14:textId="77777777" w:rsidTr="00292548">
        <w:tc>
          <w:tcPr>
            <w:tcW w:w="0" w:type="auto"/>
            <w:hideMark/>
          </w:tcPr>
          <w:p w14:paraId="55C675CE" w14:textId="77777777" w:rsidR="00981EEC" w:rsidRPr="00981EEC" w:rsidRDefault="00981EEC" w:rsidP="00981EEC">
            <w:r w:rsidRPr="00981EEC">
              <w:t>4</w:t>
            </w:r>
          </w:p>
        </w:tc>
        <w:tc>
          <w:tcPr>
            <w:tcW w:w="0" w:type="auto"/>
            <w:hideMark/>
          </w:tcPr>
          <w:p w14:paraId="39A237F4" w14:textId="77777777" w:rsidR="00981EEC" w:rsidRPr="00981EEC" w:rsidRDefault="00981EEC" w:rsidP="00981EEC">
            <w:r w:rsidRPr="00981EEC">
              <w:t>0.305</w:t>
            </w:r>
          </w:p>
        </w:tc>
        <w:tc>
          <w:tcPr>
            <w:tcW w:w="0" w:type="auto"/>
            <w:hideMark/>
          </w:tcPr>
          <w:p w14:paraId="1F49567F" w14:textId="77777777" w:rsidR="00981EEC" w:rsidRPr="00981EEC" w:rsidRDefault="00981EEC" w:rsidP="00981EEC">
            <w:r w:rsidRPr="00981EEC">
              <w:t>10.51</w:t>
            </w:r>
          </w:p>
        </w:tc>
        <w:tc>
          <w:tcPr>
            <w:tcW w:w="0" w:type="auto"/>
            <w:hideMark/>
          </w:tcPr>
          <w:p w14:paraId="5B880B38" w14:textId="77777777" w:rsidR="00981EEC" w:rsidRPr="00981EEC" w:rsidRDefault="00981EEC" w:rsidP="00981EEC">
            <w:r w:rsidRPr="00981EEC">
              <w:t>12</w:t>
            </w:r>
          </w:p>
        </w:tc>
        <w:tc>
          <w:tcPr>
            <w:tcW w:w="0" w:type="auto"/>
            <w:hideMark/>
          </w:tcPr>
          <w:p w14:paraId="0D234F52" w14:textId="77777777" w:rsidR="00981EEC" w:rsidRPr="00981EEC" w:rsidRDefault="00981EEC" w:rsidP="00981EEC">
            <w:r w:rsidRPr="00981EEC">
              <w:t>0.162</w:t>
            </w:r>
          </w:p>
        </w:tc>
        <w:tc>
          <w:tcPr>
            <w:tcW w:w="0" w:type="auto"/>
            <w:hideMark/>
          </w:tcPr>
          <w:p w14:paraId="1EA6A674" w14:textId="77777777" w:rsidR="00981EEC" w:rsidRPr="00981EEC" w:rsidRDefault="00981EEC" w:rsidP="00981EEC">
            <w:r w:rsidRPr="00981EEC">
              <w:t>17.66</w:t>
            </w:r>
          </w:p>
        </w:tc>
      </w:tr>
      <w:tr w:rsidR="00981EEC" w:rsidRPr="00981EEC" w14:paraId="7D188DE4" w14:textId="77777777" w:rsidTr="00292548">
        <w:tc>
          <w:tcPr>
            <w:tcW w:w="0" w:type="auto"/>
            <w:hideMark/>
          </w:tcPr>
          <w:p w14:paraId="5F8AF696" w14:textId="77777777" w:rsidR="00981EEC" w:rsidRPr="00981EEC" w:rsidRDefault="00981EEC" w:rsidP="00981EEC">
            <w:r w:rsidRPr="00981EEC">
              <w:t>5</w:t>
            </w:r>
          </w:p>
        </w:tc>
        <w:tc>
          <w:tcPr>
            <w:tcW w:w="0" w:type="auto"/>
            <w:hideMark/>
          </w:tcPr>
          <w:p w14:paraId="7122C283" w14:textId="77777777" w:rsidR="00981EEC" w:rsidRPr="00981EEC" w:rsidRDefault="00981EEC" w:rsidP="00981EEC">
            <w:r w:rsidRPr="00981EEC">
              <w:t>0.376</w:t>
            </w:r>
          </w:p>
        </w:tc>
        <w:tc>
          <w:tcPr>
            <w:tcW w:w="0" w:type="auto"/>
            <w:hideMark/>
          </w:tcPr>
          <w:p w14:paraId="5D8D1C9D" w14:textId="77777777" w:rsidR="00981EEC" w:rsidRPr="00981EEC" w:rsidRDefault="00981EEC" w:rsidP="00981EEC">
            <w:r w:rsidRPr="00981EEC">
              <w:t>10.47</w:t>
            </w:r>
          </w:p>
        </w:tc>
        <w:tc>
          <w:tcPr>
            <w:tcW w:w="0" w:type="auto"/>
            <w:hideMark/>
          </w:tcPr>
          <w:p w14:paraId="098FAB26" w14:textId="77777777" w:rsidR="00981EEC" w:rsidRPr="00981EEC" w:rsidRDefault="00981EEC" w:rsidP="00981EEC">
            <w:r w:rsidRPr="00981EEC">
              <w:t>13</w:t>
            </w:r>
          </w:p>
        </w:tc>
        <w:tc>
          <w:tcPr>
            <w:tcW w:w="0" w:type="auto"/>
            <w:hideMark/>
          </w:tcPr>
          <w:p w14:paraId="67A58ACC" w14:textId="77777777" w:rsidR="00981EEC" w:rsidRPr="00981EEC" w:rsidRDefault="00981EEC" w:rsidP="00981EEC">
            <w:r w:rsidRPr="00981EEC">
              <w:t>0.234</w:t>
            </w:r>
          </w:p>
        </w:tc>
        <w:tc>
          <w:tcPr>
            <w:tcW w:w="0" w:type="auto"/>
            <w:hideMark/>
          </w:tcPr>
          <w:p w14:paraId="54CAA493" w14:textId="77777777" w:rsidR="00981EEC" w:rsidRPr="00981EEC" w:rsidRDefault="00981EEC" w:rsidP="00981EEC">
            <w:r w:rsidRPr="00981EEC">
              <w:t>17.59</w:t>
            </w:r>
          </w:p>
        </w:tc>
      </w:tr>
      <w:tr w:rsidR="00981EEC" w:rsidRPr="00981EEC" w14:paraId="75AB6C19" w14:textId="77777777" w:rsidTr="00292548">
        <w:tc>
          <w:tcPr>
            <w:tcW w:w="0" w:type="auto"/>
            <w:hideMark/>
          </w:tcPr>
          <w:p w14:paraId="320852A6" w14:textId="77777777" w:rsidR="00981EEC" w:rsidRPr="00981EEC" w:rsidRDefault="00981EEC" w:rsidP="00981EEC">
            <w:r w:rsidRPr="00981EEC">
              <w:t>6</w:t>
            </w:r>
          </w:p>
        </w:tc>
        <w:tc>
          <w:tcPr>
            <w:tcW w:w="0" w:type="auto"/>
            <w:hideMark/>
          </w:tcPr>
          <w:p w14:paraId="045776A9" w14:textId="77777777" w:rsidR="00981EEC" w:rsidRPr="00981EEC" w:rsidRDefault="00981EEC" w:rsidP="00981EEC">
            <w:r w:rsidRPr="00981EEC">
              <w:t>0.108</w:t>
            </w:r>
          </w:p>
        </w:tc>
        <w:tc>
          <w:tcPr>
            <w:tcW w:w="0" w:type="auto"/>
            <w:hideMark/>
          </w:tcPr>
          <w:p w14:paraId="2A6FE865" w14:textId="77777777" w:rsidR="00981EEC" w:rsidRPr="00981EEC" w:rsidRDefault="00981EEC" w:rsidP="00981EEC">
            <w:r w:rsidRPr="00981EEC">
              <w:t>14.17</w:t>
            </w:r>
          </w:p>
        </w:tc>
        <w:tc>
          <w:tcPr>
            <w:tcW w:w="0" w:type="auto"/>
            <w:hideMark/>
          </w:tcPr>
          <w:p w14:paraId="22332A9B" w14:textId="77777777" w:rsidR="00981EEC" w:rsidRPr="00981EEC" w:rsidRDefault="00981EEC" w:rsidP="00981EEC">
            <w:r w:rsidRPr="00981EEC">
              <w:t>14</w:t>
            </w:r>
          </w:p>
        </w:tc>
        <w:tc>
          <w:tcPr>
            <w:tcW w:w="0" w:type="auto"/>
            <w:hideMark/>
          </w:tcPr>
          <w:p w14:paraId="1FF653D4" w14:textId="77777777" w:rsidR="00981EEC" w:rsidRPr="00981EEC" w:rsidRDefault="00981EEC" w:rsidP="00981EEC">
            <w:r w:rsidRPr="00981EEC">
              <w:t>0.305</w:t>
            </w:r>
          </w:p>
        </w:tc>
        <w:tc>
          <w:tcPr>
            <w:tcW w:w="0" w:type="auto"/>
            <w:hideMark/>
          </w:tcPr>
          <w:p w14:paraId="47FAA57C" w14:textId="77777777" w:rsidR="00981EEC" w:rsidRPr="00981EEC" w:rsidRDefault="00981EEC" w:rsidP="00981EEC">
            <w:r w:rsidRPr="00981EEC">
              <w:t>17.52</w:t>
            </w:r>
          </w:p>
        </w:tc>
      </w:tr>
      <w:tr w:rsidR="00981EEC" w:rsidRPr="00981EEC" w14:paraId="437780E7" w14:textId="77777777" w:rsidTr="00292548">
        <w:tc>
          <w:tcPr>
            <w:tcW w:w="0" w:type="auto"/>
            <w:hideMark/>
          </w:tcPr>
          <w:p w14:paraId="4C5EE40E" w14:textId="77777777" w:rsidR="00981EEC" w:rsidRPr="00981EEC" w:rsidRDefault="00981EEC" w:rsidP="00981EEC">
            <w:r w:rsidRPr="00981EEC">
              <w:t>7</w:t>
            </w:r>
          </w:p>
        </w:tc>
        <w:tc>
          <w:tcPr>
            <w:tcW w:w="0" w:type="auto"/>
            <w:hideMark/>
          </w:tcPr>
          <w:p w14:paraId="6F5FD95B" w14:textId="77777777" w:rsidR="00981EEC" w:rsidRPr="00981EEC" w:rsidRDefault="00981EEC" w:rsidP="00981EEC">
            <w:r w:rsidRPr="00981EEC">
              <w:t>0.162</w:t>
            </w:r>
          </w:p>
        </w:tc>
        <w:tc>
          <w:tcPr>
            <w:tcW w:w="0" w:type="auto"/>
            <w:hideMark/>
          </w:tcPr>
          <w:p w14:paraId="4B2263F4" w14:textId="77777777" w:rsidR="00981EEC" w:rsidRPr="00981EEC" w:rsidRDefault="00981EEC" w:rsidP="00981EEC">
            <w:r w:rsidRPr="00981EEC">
              <w:t>14.12</w:t>
            </w:r>
          </w:p>
        </w:tc>
        <w:tc>
          <w:tcPr>
            <w:tcW w:w="0" w:type="auto"/>
            <w:hideMark/>
          </w:tcPr>
          <w:p w14:paraId="01617710" w14:textId="77777777" w:rsidR="00981EEC" w:rsidRPr="00981EEC" w:rsidRDefault="00981EEC" w:rsidP="00981EEC">
            <w:r w:rsidRPr="00981EEC">
              <w:t>15</w:t>
            </w:r>
          </w:p>
        </w:tc>
        <w:tc>
          <w:tcPr>
            <w:tcW w:w="0" w:type="auto"/>
            <w:hideMark/>
          </w:tcPr>
          <w:p w14:paraId="1321581D" w14:textId="77777777" w:rsidR="00981EEC" w:rsidRPr="00981EEC" w:rsidRDefault="00981EEC" w:rsidP="00981EEC">
            <w:r w:rsidRPr="00981EEC">
              <w:t>0.376</w:t>
            </w:r>
          </w:p>
        </w:tc>
        <w:tc>
          <w:tcPr>
            <w:tcW w:w="0" w:type="auto"/>
            <w:hideMark/>
          </w:tcPr>
          <w:p w14:paraId="013E05F7" w14:textId="77777777" w:rsidR="00981EEC" w:rsidRPr="00981EEC" w:rsidRDefault="00981EEC" w:rsidP="00981EEC">
            <w:r w:rsidRPr="00981EEC">
              <w:t>17.45</w:t>
            </w:r>
          </w:p>
        </w:tc>
      </w:tr>
      <w:tr w:rsidR="00981EEC" w:rsidRPr="00981EEC" w14:paraId="702536A1" w14:textId="77777777" w:rsidTr="00292548">
        <w:tc>
          <w:tcPr>
            <w:tcW w:w="0" w:type="auto"/>
            <w:hideMark/>
          </w:tcPr>
          <w:p w14:paraId="5A98E789" w14:textId="77777777" w:rsidR="00981EEC" w:rsidRPr="00981EEC" w:rsidRDefault="00981EEC" w:rsidP="00981EEC">
            <w:r w:rsidRPr="00981EEC">
              <w:t>8</w:t>
            </w:r>
          </w:p>
        </w:tc>
        <w:tc>
          <w:tcPr>
            <w:tcW w:w="0" w:type="auto"/>
            <w:hideMark/>
          </w:tcPr>
          <w:p w14:paraId="36F756A6" w14:textId="77777777" w:rsidR="00981EEC" w:rsidRPr="00981EEC" w:rsidRDefault="00981EEC" w:rsidP="00981EEC">
            <w:r w:rsidRPr="00981EEC">
              <w:t>0.234</w:t>
            </w:r>
          </w:p>
        </w:tc>
        <w:tc>
          <w:tcPr>
            <w:tcW w:w="0" w:type="auto"/>
            <w:hideMark/>
          </w:tcPr>
          <w:p w14:paraId="49C3FD04" w14:textId="77777777" w:rsidR="00981EEC" w:rsidRPr="00981EEC" w:rsidRDefault="00981EEC" w:rsidP="00981EEC">
            <w:r w:rsidRPr="00981EEC">
              <w:t>14.07</w:t>
            </w:r>
          </w:p>
        </w:tc>
        <w:tc>
          <w:tcPr>
            <w:tcW w:w="0" w:type="auto"/>
            <w:hideMark/>
          </w:tcPr>
          <w:p w14:paraId="7ECE4CB4" w14:textId="77777777" w:rsidR="00981EEC" w:rsidRPr="00981EEC" w:rsidRDefault="00981EEC" w:rsidP="00981EEC"/>
        </w:tc>
        <w:tc>
          <w:tcPr>
            <w:tcW w:w="0" w:type="auto"/>
            <w:hideMark/>
          </w:tcPr>
          <w:p w14:paraId="4B6195D1" w14:textId="77777777" w:rsidR="00981EEC" w:rsidRPr="00981EEC" w:rsidRDefault="00981EEC" w:rsidP="00981EEC"/>
        </w:tc>
        <w:tc>
          <w:tcPr>
            <w:tcW w:w="0" w:type="auto"/>
            <w:hideMark/>
          </w:tcPr>
          <w:p w14:paraId="79BD59A6" w14:textId="77777777" w:rsidR="00981EEC" w:rsidRPr="00981EEC" w:rsidRDefault="00981EEC" w:rsidP="00981EEC"/>
        </w:tc>
      </w:tr>
    </w:tbl>
    <w:p w14:paraId="7B9C77CD" w14:textId="77777777" w:rsidR="00292548" w:rsidRDefault="00292548" w:rsidP="00981EEC"/>
    <w:p w14:paraId="47B07E1F" w14:textId="391F2A09" w:rsidR="00981EEC" w:rsidRPr="00981EEC" w:rsidRDefault="00981EEC" w:rsidP="00292548">
      <w:pPr>
        <w:pStyle w:val="Heading2"/>
      </w:pPr>
      <w:r w:rsidRPr="00981EEC">
        <w:t>2.3 Animal tumor models</w:t>
      </w:r>
    </w:p>
    <w:p w14:paraId="58E33DD5" w14:textId="07587371" w:rsidR="00981EEC" w:rsidRPr="00981EEC" w:rsidRDefault="00981EEC" w:rsidP="00981EEC">
      <w:r w:rsidRPr="00981EEC">
        <w:t>A human head &amp; neck tumor model (</w:t>
      </w:r>
      <w:proofErr w:type="spellStart"/>
      <w:r w:rsidRPr="00981EEC">
        <w:t>FaDu</w:t>
      </w:r>
      <w:proofErr w:type="spellEnd"/>
      <w:r w:rsidRPr="00981EEC">
        <w:t xml:space="preserve">) in athymic nude rats (Charles River, Durham, North Carolina) was used for the study. A total number of 26 rats (200–240 g) were used in the experiments and the animals were divided into three groups. 8 tumor-bearing rats were assigned to Group 1 and exposed to carbogen gas (95%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xml:space="preserve"> and 5% </w:t>
      </w:r>
      <m:oMath>
        <m:sSub>
          <m:sSubPr>
            <m:ctrlPr>
              <w:rPr>
                <w:rFonts w:ascii="Cambria Math" w:hAnsi="Cambria Math"/>
                <w:iCs/>
              </w:rPr>
            </m:ctrlPr>
          </m:sSubPr>
          <m:e>
            <m:r>
              <m:rPr>
                <m:sty m:val="p"/>
              </m:rPr>
              <w:rPr>
                <w:rFonts w:ascii="Cambria Math" w:hAnsi="Cambria Math"/>
              </w:rPr>
              <m:t>CO</m:t>
            </m:r>
          </m:e>
          <m:sub>
            <m:r>
              <m:rPr>
                <m:sty m:val="p"/>
              </m:rPr>
              <w:rPr>
                <w:rFonts w:ascii="Cambria Math" w:hAnsi="Cambria Math"/>
                <w:vertAlign w:val="subscript"/>
              </w:rPr>
              <m:t>2</m:t>
            </m:r>
          </m:sub>
        </m:sSub>
      </m:oMath>
      <w:r w:rsidRPr="00981EEC">
        <w:t>) for the duration of the experiment. Group 2 had 10 tumor-bearing and 4 control (tumor-free) rats for the forced CH experiment. Finally, 4 rats were assigned to Group 3 and used to study natural CH. The study was approved by the Duke Institutional Animal Care and Use Committee.</w:t>
      </w:r>
    </w:p>
    <w:p w14:paraId="3201E0E5" w14:textId="124A5947" w:rsidR="00981EEC" w:rsidRPr="0020536E" w:rsidRDefault="00981EEC" w:rsidP="0012097F">
      <w:r w:rsidRPr="00981EEC">
        <w:t xml:space="preserve">To grow the </w:t>
      </w:r>
      <w:proofErr w:type="spellStart"/>
      <w:r w:rsidRPr="00981EEC">
        <w:t>FaDu</w:t>
      </w:r>
      <w:proofErr w:type="spellEnd"/>
      <w:r w:rsidRPr="00981EEC">
        <w:t xml:space="preserve"> tumor, about 5 million </w:t>
      </w:r>
      <w:proofErr w:type="spellStart"/>
      <w:r w:rsidRPr="00981EEC">
        <w:t>FaDu</w:t>
      </w:r>
      <w:proofErr w:type="spellEnd"/>
      <w:r w:rsidRPr="00981EEC">
        <w:t xml:space="preserve"> cells were injected into the left flank of the rat. The tumors were allowed to grow to a size of ~2.0 cm in diameter (in 3–4 weeks). In each experiment, the side-firing probe was placed on the surface of the tumor or flank muscles (controls) during the study, as shown in </w:t>
      </w:r>
      <w:r w:rsidRPr="0020536E">
        <w:t>Figure 2</w:t>
      </w:r>
      <w:r w:rsidRPr="00981EEC">
        <w:t xml:space="preserve">. The probe has an estimated sensing depth of 5–15 mm. A piece of medical dark tape was used to hold the probe in place </w:t>
      </w:r>
      <w:r w:rsidRPr="00981EEC">
        <w:lastRenderedPageBreak/>
        <w:t>and prevent the room light from saturating the avalanche photodiode (APD) detector. At the end of the experiment the rat was sacrificed using an overdose of Pentobarbital.</w:t>
      </w:r>
    </w:p>
    <w:p w14:paraId="0D1D8171" w14:textId="40447452" w:rsidR="00981EEC" w:rsidRPr="00981EEC" w:rsidRDefault="00981EEC" w:rsidP="003660F9">
      <w:pPr>
        <w:pStyle w:val="NoSpacing"/>
      </w:pPr>
      <w:r w:rsidRPr="0020536E">
        <w:rPr>
          <w:noProof/>
        </w:rPr>
        <w:drawing>
          <wp:inline distT="0" distB="0" distL="0" distR="0" wp14:anchorId="267320EF" wp14:editId="75174510">
            <wp:extent cx="2743200" cy="2075688"/>
            <wp:effectExtent l="0" t="0" r="0" b="1270"/>
            <wp:docPr id="10" name="Picture 10">
              <a:hlinkClick xmlns:a="http://schemas.openxmlformats.org/drawingml/2006/main" r:id="rId12"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hlinkClick r:id="rId12"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075688"/>
                    </a:xfrm>
                    <a:prstGeom prst="rect">
                      <a:avLst/>
                    </a:prstGeom>
                    <a:noFill/>
                    <a:ln>
                      <a:noFill/>
                    </a:ln>
                  </pic:spPr>
                </pic:pic>
              </a:graphicData>
            </a:graphic>
          </wp:inline>
        </w:drawing>
      </w:r>
    </w:p>
    <w:p w14:paraId="316EAC27" w14:textId="6184D74C" w:rsidR="00981EEC" w:rsidRDefault="00981EEC" w:rsidP="003660F9">
      <w:pPr>
        <w:pStyle w:val="NoSpacing"/>
      </w:pPr>
      <w:r w:rsidRPr="0020536E">
        <w:t>Figure 2</w:t>
      </w:r>
      <w:r w:rsidR="003660F9">
        <w:t xml:space="preserve"> </w:t>
      </w:r>
      <w:r w:rsidRPr="00981EEC">
        <w:t>Photograph of a rat with a side-firing probe attached.</w:t>
      </w:r>
    </w:p>
    <w:p w14:paraId="5B9A5938" w14:textId="77777777" w:rsidR="003660F9" w:rsidRPr="00981EEC" w:rsidRDefault="003660F9" w:rsidP="00981EEC"/>
    <w:p w14:paraId="7DCF18CD" w14:textId="77777777" w:rsidR="00981EEC" w:rsidRPr="00981EEC" w:rsidRDefault="00981EEC" w:rsidP="003660F9">
      <w:pPr>
        <w:pStyle w:val="Heading3"/>
      </w:pPr>
      <w:r w:rsidRPr="00981EEC">
        <w:t>2.3.1 Carbogen inhalation experiment </w:t>
      </w:r>
    </w:p>
    <w:p w14:paraId="0CF75900" w14:textId="42D6F372" w:rsidR="00981EEC" w:rsidRPr="00981EEC" w:rsidRDefault="00981EEC" w:rsidP="00981EEC">
      <w:r w:rsidRPr="00981EEC">
        <w:t xml:space="preserve">In the first experiment, 8 nude rats (Group 1) bearing a </w:t>
      </w:r>
      <w:proofErr w:type="spellStart"/>
      <w:r w:rsidRPr="00981EEC">
        <w:t>FaDu</w:t>
      </w:r>
      <w:proofErr w:type="spellEnd"/>
      <w:r w:rsidRPr="00981EEC">
        <w:t xml:space="preserve"> tumor underwent carbogen inhalation. The rats were subject to measurements when the tumors reached a size of approximately 2 cm × 2 cm. The animals were anesthetized with Pentobarbital at a dose of 50 mg/kg. The experimental procedure is depicted in </w:t>
      </w:r>
      <w:r w:rsidRPr="0020536E">
        <w:t>Figure 3(a)</w:t>
      </w:r>
      <w:r w:rsidRPr="00981EEC">
        <w:t xml:space="preserve">. The rats were first exposed to room air for 10 minutes as a baseline (or </w:t>
      </w:r>
      <w:proofErr w:type="spellStart"/>
      <w:r w:rsidRPr="00981EEC">
        <w:t>normoxia</w:t>
      </w:r>
      <w:proofErr w:type="spellEnd"/>
      <w:r w:rsidRPr="00981EEC">
        <w:t>), followed by carbogen gas (hyperoxia) through a nosecone for 15 minutes and 20 minutes of room air for recovery. Optical measurements were taken at one-minute intervals resulting in a total of 45 data points for each animal.</w:t>
      </w:r>
    </w:p>
    <w:p w14:paraId="081E1777" w14:textId="21AC5EA1" w:rsidR="00981EEC" w:rsidRPr="0020536E" w:rsidRDefault="00981EEC" w:rsidP="001333CB">
      <w:pPr>
        <w:pStyle w:val="NoSpacing"/>
      </w:pPr>
    </w:p>
    <w:p w14:paraId="0576E822" w14:textId="00ED10DB" w:rsidR="00981EEC" w:rsidRPr="00981EEC" w:rsidRDefault="00981EEC" w:rsidP="001333CB">
      <w:pPr>
        <w:pStyle w:val="NoSpacing"/>
      </w:pPr>
      <w:r w:rsidRPr="0020536E">
        <w:rPr>
          <w:noProof/>
        </w:rPr>
        <w:drawing>
          <wp:inline distT="0" distB="0" distL="0" distR="0" wp14:anchorId="29C34412" wp14:editId="18C16E07">
            <wp:extent cx="2743200" cy="3538728"/>
            <wp:effectExtent l="0" t="0" r="0" b="5080"/>
            <wp:docPr id="9" name="Picture 9">
              <a:hlinkClick xmlns:a="http://schemas.openxmlformats.org/drawingml/2006/main" r:id="rId14"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4"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538728"/>
                    </a:xfrm>
                    <a:prstGeom prst="rect">
                      <a:avLst/>
                    </a:prstGeom>
                    <a:noFill/>
                    <a:ln>
                      <a:noFill/>
                    </a:ln>
                  </pic:spPr>
                </pic:pic>
              </a:graphicData>
            </a:graphic>
          </wp:inline>
        </w:drawing>
      </w:r>
    </w:p>
    <w:p w14:paraId="3D8F5E89" w14:textId="6271666D" w:rsidR="00981EEC" w:rsidRDefault="00981EEC" w:rsidP="001333CB">
      <w:pPr>
        <w:pStyle w:val="NoSpacing"/>
      </w:pPr>
      <w:r w:rsidRPr="0012097F">
        <w:t>Figure 3</w:t>
      </w:r>
      <w:r w:rsidR="00B01BE6">
        <w:t xml:space="preserve"> </w:t>
      </w:r>
      <w:r w:rsidRPr="00981EEC">
        <w:t>Experimental procedures for (</w:t>
      </w:r>
      <w:r w:rsidRPr="00981EEC">
        <w:rPr>
          <w:b/>
          <w:bCs/>
        </w:rPr>
        <w:t>a</w:t>
      </w:r>
      <w:r w:rsidRPr="00981EEC">
        <w:t xml:space="preserve">) carbogen (95%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xml:space="preserve"> and 5% </w:t>
      </w:r>
      <m:oMath>
        <m:sSub>
          <m:sSubPr>
            <m:ctrlPr>
              <w:rPr>
                <w:rFonts w:ascii="Cambria Math" w:hAnsi="Cambria Math"/>
                <w:iCs/>
              </w:rPr>
            </m:ctrlPr>
          </m:sSubPr>
          <m:e>
            <m:r>
              <m:rPr>
                <m:sty m:val="p"/>
              </m:rPr>
              <w:rPr>
                <w:rFonts w:ascii="Cambria Math" w:hAnsi="Cambria Math"/>
              </w:rPr>
              <m:t>CO</m:t>
            </m:r>
          </m:e>
          <m:sub>
            <m:r>
              <m:rPr>
                <m:sty m:val="p"/>
              </m:rPr>
              <w:rPr>
                <w:rFonts w:ascii="Cambria Math" w:hAnsi="Cambria Math"/>
                <w:vertAlign w:val="subscript"/>
              </w:rPr>
              <m:t>2</m:t>
            </m:r>
          </m:sub>
        </m:sSub>
      </m:oMath>
      <w:r w:rsidRPr="00981EEC">
        <w:t>) inhalation and (</w:t>
      </w:r>
      <w:r w:rsidRPr="00981EEC">
        <w:rPr>
          <w:b/>
          <w:bCs/>
        </w:rPr>
        <w:t>b</w:t>
      </w:r>
      <w:r w:rsidRPr="00981EEC">
        <w:t xml:space="preserve">) for cycling hypoxic gas breathing (30%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was used for normoxia instead of 21%).</w:t>
      </w:r>
    </w:p>
    <w:p w14:paraId="74E16892" w14:textId="77777777" w:rsidR="001333CB" w:rsidRPr="00981EEC" w:rsidRDefault="001333CB" w:rsidP="00981EEC"/>
    <w:p w14:paraId="402A9219" w14:textId="77777777" w:rsidR="00981EEC" w:rsidRPr="00981EEC" w:rsidRDefault="00981EEC" w:rsidP="001333CB">
      <w:pPr>
        <w:pStyle w:val="Heading3"/>
      </w:pPr>
      <w:r w:rsidRPr="00981EEC">
        <w:lastRenderedPageBreak/>
        <w:t>2.3.2 Forced CH </w:t>
      </w:r>
    </w:p>
    <w:p w14:paraId="3C33AB3D" w14:textId="6F894A1C" w:rsidR="00981EEC" w:rsidRPr="00981EEC" w:rsidRDefault="00981EEC" w:rsidP="00981EEC">
      <w:r w:rsidRPr="00981EEC">
        <w:t>In the second experiment, 10 tumor bearing rats and 4 normal controls (Group 2) were provided with cycling hypoxic gas following the procedure outlined in </w:t>
      </w:r>
      <w:r w:rsidRPr="0020536E">
        <w:t>Figure 3(b)</w:t>
      </w:r>
      <w:r w:rsidRPr="00981EEC">
        <w:t xml:space="preserve">. The experiments were conducted when tumors were approximately 2 cm × 2 cm. The animals were anesthetized with Pentobarbital at a dose of 50 mg/kg. The rats were first provided </w:t>
      </w:r>
      <w:proofErr w:type="spellStart"/>
      <w:r w:rsidRPr="00981EEC">
        <w:t>normoxic</w:t>
      </w:r>
      <w:proofErr w:type="spellEnd"/>
      <w:r w:rsidRPr="00981EEC">
        <w:t xml:space="preserve"> gas (30%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xml:space="preserve"> and 70 </w:t>
      </w:r>
      <m:oMath>
        <m:sSub>
          <m:sSubPr>
            <m:ctrlPr>
              <w:rPr>
                <w:rFonts w:ascii="Cambria Math" w:hAnsi="Cambria Math"/>
                <w:iCs/>
              </w:rPr>
            </m:ctrlPr>
          </m:sSubPr>
          <m:e>
            <m:r>
              <m:rPr>
                <m:sty m:val="p"/>
              </m:rPr>
              <w:rPr>
                <w:rFonts w:ascii="Cambria Math" w:hAnsi="Cambria Math"/>
              </w:rPr>
              <m:t>N</m:t>
            </m:r>
          </m:e>
          <m:sub>
            <m:r>
              <m:rPr>
                <m:sty m:val="p"/>
              </m:rPr>
              <w:rPr>
                <w:rFonts w:ascii="Cambria Math" w:hAnsi="Cambria Math"/>
                <w:vertAlign w:val="subscript"/>
              </w:rPr>
              <m:t>2</m:t>
            </m:r>
          </m:sub>
        </m:sSub>
      </m:oMath>
      <w:r w:rsidRPr="00981EEC">
        <w:t>) for 10 minutes as a baseline, followed by hypoxic gas (mix</w:t>
      </w:r>
      <w:proofErr w:type="spellStart"/>
      <w:r w:rsidRPr="00981EEC">
        <w:t>ture</w:t>
      </w:r>
      <w:proofErr w:type="spellEnd"/>
      <w:r w:rsidRPr="00981EEC">
        <w:t xml:space="preserve"> of 12%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xml:space="preserve"> and 88% </w:t>
      </w:r>
      <m:oMath>
        <m:sSub>
          <m:sSubPr>
            <m:ctrlPr>
              <w:rPr>
                <w:rFonts w:ascii="Cambria Math" w:hAnsi="Cambria Math"/>
                <w:iCs/>
              </w:rPr>
            </m:ctrlPr>
          </m:sSubPr>
          <m:e>
            <m:r>
              <m:rPr>
                <m:sty m:val="p"/>
              </m:rPr>
              <w:rPr>
                <w:rFonts w:ascii="Cambria Math" w:hAnsi="Cambria Math"/>
              </w:rPr>
              <m:t>N</m:t>
            </m:r>
          </m:e>
          <m:sub>
            <m:r>
              <m:rPr>
                <m:sty m:val="p"/>
              </m:rPr>
              <w:rPr>
                <w:rFonts w:ascii="Cambria Math" w:hAnsi="Cambria Math"/>
                <w:vertAlign w:val="subscript"/>
              </w:rPr>
              <m:t>2</m:t>
            </m:r>
          </m:sub>
        </m:sSub>
      </m:oMath>
      <w:r w:rsidRPr="00981EEC">
        <w:t xml:space="preserve">) for 10 minutes. The procedure was repeated for two cycles. Finally, the rats were provided with normoxic gas again for another 10 minutes to follow recovery. Because Pentobarbital injection was used for anesthesia, the oxygen concentration for the </w:t>
      </w:r>
      <w:proofErr w:type="spellStart"/>
      <w:r w:rsidRPr="00981EEC">
        <w:t>normoxia</w:t>
      </w:r>
      <w:proofErr w:type="spellEnd"/>
      <w:r w:rsidRPr="00981EEC">
        <w:t xml:space="preserve"> phases was slightly raised from the natural level of 21% to 30% to better simulate a natural </w:t>
      </w:r>
      <w:proofErr w:type="spellStart"/>
      <w:r w:rsidRPr="00981EEC">
        <w:t>normoxic</w:t>
      </w:r>
      <w:proofErr w:type="spellEnd"/>
      <w:r w:rsidRPr="00981EEC">
        <w:t xml:space="preserve"> condition. An optical measurement was taken every minute, resulting in a total of 50 data points. A mouse pulse oximeter (Mouse Ox, Starr Life Science Corp., Allison Park, PA) was also clamped on to the left foot of the rat and the arterial blood oxygen saturation was collected every 5 seconds as a reference as well as for rat condition monitoring.</w:t>
      </w:r>
    </w:p>
    <w:p w14:paraId="253D1B0E" w14:textId="77777777" w:rsidR="00981EEC" w:rsidRPr="00981EEC" w:rsidRDefault="00981EEC" w:rsidP="001333CB">
      <w:pPr>
        <w:pStyle w:val="Heading3"/>
      </w:pPr>
      <w:r w:rsidRPr="00981EEC">
        <w:t>2.3.3 Natural CH </w:t>
      </w:r>
    </w:p>
    <w:p w14:paraId="34439E09" w14:textId="77777777" w:rsidR="00981EEC" w:rsidRPr="00981EEC" w:rsidRDefault="00981EEC" w:rsidP="00981EEC">
      <w:r w:rsidRPr="00981EEC">
        <w:t xml:space="preserve">To evaluate the capability of the side-firing probe in capturing natural CH, a much weaker signal comparing to the forced CH, 4 nude rats (Group 3) bearing a </w:t>
      </w:r>
      <w:proofErr w:type="spellStart"/>
      <w:r w:rsidRPr="00981EEC">
        <w:t>FaDu</w:t>
      </w:r>
      <w:proofErr w:type="spellEnd"/>
      <w:r w:rsidRPr="00981EEC">
        <w:t xml:space="preserve"> tumor were used to investigate the capability of the side-firing probe in quantifying and continuous monitoring natural tumor CH. The animals were anesthetized with a mixture of vaporized </w:t>
      </w:r>
      <w:proofErr w:type="spellStart"/>
      <w:r w:rsidRPr="00981EEC">
        <w:t>Isofluorane</w:t>
      </w:r>
      <w:proofErr w:type="spellEnd"/>
      <w:r w:rsidRPr="00981EEC">
        <w:t xml:space="preserve"> and fresh air under a fume hood during the experiment. The first 2 animals (Group 3A) were measured on two different days: Day 1 – before tumor cells were injected and Day 2 – when the tumor size reached approximately 2 cm in diameter (3–4 weeks later). The 2 remaining rats (Group 3B) were measured on three different days: Day 1 – before tumor cells were injected, Day 2 – when the tumor size reached approximately 0.5 cm in diameter, and Day 3 – when the tumor size reached approximately 1.5 cm in diameter. On each day optical measurements were taken from each animal at one-minute intervals for about 120–150 minutes. The purpose was to study the relationship between CH and tumor size.</w:t>
      </w:r>
    </w:p>
    <w:p w14:paraId="211290B8" w14:textId="77777777" w:rsidR="00981EEC" w:rsidRPr="00981EEC" w:rsidRDefault="00981EEC" w:rsidP="001333CB">
      <w:pPr>
        <w:pStyle w:val="Heading2"/>
      </w:pPr>
      <w:r w:rsidRPr="00981EEC">
        <w:t>2.4 Data analysis</w:t>
      </w:r>
    </w:p>
    <w:p w14:paraId="6046A754" w14:textId="32135BB7" w:rsidR="00981EEC" w:rsidRPr="00981EEC" w:rsidRDefault="00981EEC" w:rsidP="00981EEC">
      <w:r w:rsidRPr="00981EEC">
        <w:t>In frequency-domain photon migration, the AC component of the amplitude AC (</w:t>
      </w:r>
      <w:r w:rsidRPr="00981EEC">
        <w:rPr>
          <w:i/>
          <w:iCs/>
        </w:rPr>
        <w:t>r</w:t>
      </w:r>
      <w:r w:rsidRPr="00981EEC">
        <w:t>, </w:t>
      </w:r>
      <w:r w:rsidRPr="00981EEC">
        <w:rPr>
          <w:i/>
          <w:iCs/>
        </w:rPr>
        <w:t>λ, ω)</w:t>
      </w:r>
      <w:r w:rsidRPr="00981EEC">
        <w:t> and phase-shift </w:t>
      </w:r>
      <w:proofErr w:type="gramStart"/>
      <w:r w:rsidRPr="00981EEC">
        <w:rPr>
          <w:i/>
          <w:iCs/>
        </w:rPr>
        <w:t>Φ(</w:t>
      </w:r>
      <w:proofErr w:type="gramEnd"/>
      <w:r w:rsidRPr="00981EEC">
        <w:rPr>
          <w:i/>
          <w:iCs/>
        </w:rPr>
        <w:t>r, λ, ω)</w:t>
      </w:r>
      <w:r w:rsidRPr="00981EEC">
        <w:t> of the diffuse reflectance of the photon density wave collected by the detection fiber from the surface of a semi-infinite medium at SDS = </w:t>
      </w:r>
      <w:r w:rsidRPr="00981EEC">
        <w:rPr>
          <w:i/>
          <w:iCs/>
        </w:rPr>
        <w:t>r</w:t>
      </w:r>
      <w:r w:rsidRPr="00981EEC">
        <w:t xml:space="preserve"> can be expressed by the following equations that were modified from </w:t>
      </w:r>
      <w:proofErr w:type="spellStart"/>
      <w:r w:rsidRPr="00981EEC">
        <w:t>Eqs</w:t>
      </w:r>
      <w:proofErr w:type="spellEnd"/>
      <w:r w:rsidRPr="00981EEC">
        <w:t>. (8)</w:t>
      </w:r>
      <w:proofErr w:type="gramStart"/>
      <w:r w:rsidRPr="00981EEC">
        <w:t>–(</w:t>
      </w:r>
      <w:proofErr w:type="gramEnd"/>
      <w:r w:rsidRPr="00981EEC">
        <w:t>13) in Ref. [</w:t>
      </w:r>
      <w:r w:rsidRPr="0020536E">
        <w:t>20</w:t>
      </w:r>
      <w:r w:rsidRPr="00981EEC">
        <w:t>]:</w:t>
      </w:r>
    </w:p>
    <w:p w14:paraId="118E1C1B" w14:textId="11046458" w:rsidR="00981EEC" w:rsidRPr="00981EEC" w:rsidRDefault="001A7CDB" w:rsidP="00981EEC">
      <m:oMathPara>
        <m:oMath>
          <m:r>
            <m:rPr>
              <m:sty m:val="p"/>
            </m:rPr>
            <w:rPr>
              <w:rFonts w:ascii="Cambria Math" w:hAnsi="Cambria Math"/>
              <w:sz w:val="28"/>
              <w:szCs w:val="28"/>
            </w:rPr>
            <m:t>AC</m:t>
          </m:r>
          <m:r>
            <w:rPr>
              <w:rFonts w:ascii="Cambria Math" w:hAnsi="Cambria Math"/>
              <w:sz w:val="28"/>
              <w:szCs w:val="28"/>
            </w:rPr>
            <m:t xml:space="preserve"> (</m:t>
          </m:r>
          <m:r>
            <w:rPr>
              <w:rFonts w:ascii="Cambria Math" w:hAnsi="Cambria Math"/>
              <w:sz w:val="28"/>
              <w:szCs w:val="28"/>
            </w:rPr>
            <m:t>r</m:t>
          </m:r>
          <m:r>
            <w:rPr>
              <w:rFonts w:ascii="Cambria Math" w:hAnsi="Cambria Math"/>
              <w:sz w:val="28"/>
              <w:szCs w:val="28"/>
            </w:rPr>
            <m:t>, </m:t>
          </m:r>
          <m:r>
            <w:rPr>
              <w:rFonts w:ascii="Cambria Math" w:hAnsi="Cambria Math"/>
              <w:sz w:val="28"/>
              <w:szCs w:val="28"/>
            </w:rPr>
            <m:t>λ</m:t>
          </m:r>
          <m:r>
            <w:rPr>
              <w:rFonts w:ascii="Cambria Math" w:hAnsi="Cambria Math"/>
              <w:sz w:val="28"/>
              <w:szCs w:val="28"/>
            </w:rPr>
            <m:t>, </m:t>
          </m:r>
          <m:r>
            <w:rPr>
              <w:rFonts w:ascii="Cambria Math" w:hAnsi="Cambria Math"/>
              <w:sz w:val="28"/>
              <w:szCs w:val="28"/>
            </w:rPr>
            <m:t>ω</m:t>
          </m:r>
          <m:r>
            <w:rPr>
              <w:rFonts w:ascii="Cambria Math" w:hAnsi="Cambria Math"/>
              <w:sz w:val="28"/>
              <w:szCs w:val="28"/>
            </w:rPr>
            <m:t>) = (</m:t>
          </m:r>
          <m:sSub>
            <m:sSubPr>
              <m:ctrlPr>
                <w:rPr>
                  <w:rFonts w:ascii="Cambria Math" w:hAnsi="Cambria Math"/>
                  <w:i/>
                  <w:iCs/>
                  <w:sz w:val="28"/>
                  <w:szCs w:val="28"/>
                </w:rPr>
              </m:ctrlPr>
            </m:sSubPr>
            <m:e>
              <m:r>
                <w:rPr>
                  <w:rFonts w:ascii="Cambria Math" w:hAnsi="Cambria Math"/>
                  <w:sz w:val="28"/>
                  <w:szCs w:val="28"/>
                </w:rPr>
                <m:t>A</m:t>
              </m:r>
            </m:e>
            <m:sub>
              <m:r>
                <w:rPr>
                  <w:rFonts w:ascii="Cambria Math" w:hAnsi="Cambria Math"/>
                  <w:sz w:val="28"/>
                  <w:szCs w:val="28"/>
                  <w:vertAlign w:val="subscript"/>
                </w:rPr>
                <m:t>0</m:t>
              </m:r>
            </m:sub>
          </m:sSub>
          <m:r>
            <w:rPr>
              <w:rFonts w:ascii="Cambria Math" w:hAnsi="Cambria Math"/>
              <w:sz w:val="28"/>
              <w:szCs w:val="28"/>
            </w:rPr>
            <m:t>/4</m:t>
          </m:r>
          <m:r>
            <w:rPr>
              <w:rFonts w:ascii="Cambria Math" w:hAnsi="Cambria Math"/>
              <w:sz w:val="28"/>
              <w:szCs w:val="28"/>
            </w:rPr>
            <m:t>π</m:t>
          </m:r>
          <m:r>
            <w:rPr>
              <w:rFonts w:ascii="Cambria Math" w:hAnsi="Cambria Math"/>
              <w:sz w:val="28"/>
              <w:szCs w:val="28"/>
            </w:rPr>
            <m:t> </m:t>
          </m:r>
          <m:r>
            <w:rPr>
              <w:rFonts w:ascii="Cambria Math" w:hAnsi="Cambria Math"/>
              <w:sz w:val="28"/>
              <w:szCs w:val="28"/>
            </w:rPr>
            <m:t>D</m:t>
          </m:r>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m:t>
              </m:r>
              <m:sSup>
                <m:sSupPr>
                  <m:ctrlPr>
                    <w:rPr>
                      <w:rFonts w:ascii="Cambria Math" w:hAnsi="Cambria Math"/>
                      <w:iCs/>
                      <w:sz w:val="28"/>
                      <w:szCs w:val="28"/>
                    </w:rPr>
                  </m:ctrlPr>
                </m:sSupPr>
                <m:e>
                  <m:r>
                    <m:rPr>
                      <m:sty m:val="p"/>
                    </m:rPr>
                    <w:rPr>
                      <w:rFonts w:ascii="Cambria Math" w:hAnsi="Cambria Math"/>
                      <w:sz w:val="28"/>
                      <w:szCs w:val="28"/>
                    </w:rPr>
                    <m:t>REAL</m:t>
                  </m:r>
                </m:e>
                <m:sup>
                  <m:r>
                    <w:rPr>
                      <w:rFonts w:ascii="Cambria Math" w:hAnsi="Cambria Math"/>
                      <w:sz w:val="28"/>
                      <w:szCs w:val="28"/>
                      <w:vertAlign w:val="superscript"/>
                    </w:rPr>
                    <m:t>2</m:t>
                  </m:r>
                </m:sup>
              </m:sSup>
              <m:r>
                <w:rPr>
                  <w:rFonts w:ascii="Cambria Math" w:hAnsi="Cambria Math"/>
                  <w:sz w:val="28"/>
                  <w:szCs w:val="28"/>
                </w:rPr>
                <m:t>+</m:t>
              </m:r>
              <m:sSup>
                <m:sSupPr>
                  <m:ctrlPr>
                    <w:rPr>
                      <w:rFonts w:ascii="Cambria Math" w:hAnsi="Cambria Math"/>
                      <w:i/>
                      <w:sz w:val="28"/>
                      <w:szCs w:val="28"/>
                    </w:rPr>
                  </m:ctrlPr>
                </m:sSupPr>
                <m:e>
                  <m:r>
                    <m:rPr>
                      <m:sty m:val="p"/>
                    </m:rPr>
                    <w:rPr>
                      <w:rFonts w:ascii="Cambria Math" w:hAnsi="Cambria Math"/>
                      <w:sz w:val="28"/>
                      <w:szCs w:val="28"/>
                    </w:rPr>
                    <m:t>IMAG</m:t>
                  </m:r>
                </m:e>
                <m:sup>
                  <m:r>
                    <w:rPr>
                      <w:rFonts w:ascii="Cambria Math" w:hAnsi="Cambria Math"/>
                      <w:sz w:val="28"/>
                      <w:szCs w:val="28"/>
                      <w:vertAlign w:val="superscript"/>
                    </w:rPr>
                    <m:t>2</m:t>
                  </m:r>
                </m:sup>
              </m:sSup>
              <m:r>
                <w:rPr>
                  <w:rFonts w:ascii="Cambria Math" w:hAnsi="Cambria Math"/>
                  <w:sz w:val="28"/>
                  <w:szCs w:val="28"/>
                </w:rPr>
                <m:t>)</m:t>
              </m:r>
            </m:e>
            <m:sup>
              <m:r>
                <w:rPr>
                  <w:rFonts w:ascii="Cambria Math" w:hAnsi="Cambria Math"/>
                  <w:sz w:val="28"/>
                  <w:szCs w:val="28"/>
                  <w:vertAlign w:val="superscript"/>
                </w:rPr>
                <m:t>1/2</m:t>
              </m:r>
            </m:sup>
          </m:sSup>
        </m:oMath>
      </m:oMathPara>
    </w:p>
    <w:p w14:paraId="13D90271" w14:textId="77777777" w:rsidR="00981EEC" w:rsidRPr="00981EEC" w:rsidRDefault="00981EEC" w:rsidP="00981EEC">
      <w:r w:rsidRPr="00981EEC">
        <w:t>(1)</w:t>
      </w:r>
    </w:p>
    <w:p w14:paraId="073F593C" w14:textId="68054045" w:rsidR="00981EEC" w:rsidRPr="00981EEC" w:rsidRDefault="009A0D90" w:rsidP="00981EEC">
      <m:oMathPara>
        <m:oMath>
          <m:r>
            <w:rPr>
              <w:rFonts w:ascii="Cambria Math" w:hAnsi="Cambria Math"/>
              <w:sz w:val="28"/>
              <w:szCs w:val="28"/>
            </w:rPr>
            <m:t>ϕ</m:t>
          </m:r>
          <m:r>
            <w:rPr>
              <w:rFonts w:ascii="Cambria Math" w:hAnsi="Cambria Math"/>
              <w:sz w:val="28"/>
              <w:szCs w:val="28"/>
            </w:rPr>
            <m:t>(</m:t>
          </m:r>
          <m:r>
            <w:rPr>
              <w:rFonts w:ascii="Cambria Math" w:hAnsi="Cambria Math"/>
              <w:sz w:val="28"/>
              <w:szCs w:val="28"/>
            </w:rPr>
            <m:t>r</m:t>
          </m:r>
          <m:r>
            <w:rPr>
              <w:rFonts w:ascii="Cambria Math" w:hAnsi="Cambria Math"/>
              <w:sz w:val="28"/>
              <w:szCs w:val="28"/>
            </w:rPr>
            <m:t>, </m:t>
          </m:r>
          <m:r>
            <w:rPr>
              <w:rFonts w:ascii="Cambria Math" w:hAnsi="Cambria Math"/>
              <w:sz w:val="28"/>
              <w:szCs w:val="28"/>
            </w:rPr>
            <m:t>λ</m:t>
          </m:r>
          <m:r>
            <w:rPr>
              <w:rFonts w:ascii="Cambria Math" w:hAnsi="Cambria Math"/>
              <w:sz w:val="28"/>
              <w:szCs w:val="28"/>
            </w:rPr>
            <m:t>, </m:t>
          </m:r>
          <m:r>
            <w:rPr>
              <w:rFonts w:ascii="Cambria Math" w:hAnsi="Cambria Math"/>
              <w:sz w:val="28"/>
              <w:szCs w:val="28"/>
            </w:rPr>
            <m:t>ω</m:t>
          </m:r>
          <m:r>
            <w:rPr>
              <w:rFonts w:ascii="Cambria Math" w:hAnsi="Cambria Math"/>
              <w:sz w:val="28"/>
              <w:szCs w:val="28"/>
            </w:rPr>
            <m:t>) = </m:t>
          </m:r>
          <m:sSub>
            <m:sSubPr>
              <m:ctrlPr>
                <w:rPr>
                  <w:rFonts w:ascii="Cambria Math" w:hAnsi="Cambria Math"/>
                  <w:i/>
                  <w:iCs/>
                  <w:sz w:val="28"/>
                  <w:szCs w:val="28"/>
                </w:rPr>
              </m:ctrlPr>
            </m:sSubPr>
            <m:e>
              <m:r>
                <w:rPr>
                  <w:rFonts w:ascii="Cambria Math" w:hAnsi="Cambria Math"/>
                  <w:sz w:val="28"/>
                  <w:szCs w:val="28"/>
                </w:rPr>
                <m:t>ϕ</m:t>
              </m:r>
            </m:e>
            <m:sub>
              <m:r>
                <w:rPr>
                  <w:rFonts w:ascii="Cambria Math" w:hAnsi="Cambria Math"/>
                  <w:sz w:val="28"/>
                  <w:szCs w:val="28"/>
                  <w:vertAlign w:val="subscript"/>
                </w:rPr>
                <m:t>0</m:t>
              </m:r>
            </m:sub>
          </m:sSub>
          <m:r>
            <w:rPr>
              <w:rFonts w:ascii="Cambria Math" w:hAnsi="Cambria Math"/>
              <w:sz w:val="28"/>
              <w:szCs w:val="28"/>
            </w:rPr>
            <m:t> + </m:t>
          </m:r>
          <m:sSub>
            <m:sSubPr>
              <m:ctrlPr>
                <w:rPr>
                  <w:rFonts w:ascii="Cambria Math" w:hAnsi="Cambria Math"/>
                  <w:i/>
                  <w:iCs/>
                  <w:sz w:val="28"/>
                  <w:szCs w:val="28"/>
                </w:rPr>
              </m:ctrlPr>
            </m:sSubPr>
            <m:e>
              <m:r>
                <w:rPr>
                  <w:rFonts w:ascii="Cambria Math" w:hAnsi="Cambria Math"/>
                  <w:sz w:val="28"/>
                  <w:szCs w:val="28"/>
                </w:rPr>
                <m:t>k</m:t>
              </m:r>
            </m:e>
            <m:sub>
              <m:r>
                <m:rPr>
                  <m:sty m:val="p"/>
                </m:rPr>
                <w:rPr>
                  <w:rFonts w:ascii="Cambria Math" w:hAnsi="Cambria Math"/>
                  <w:sz w:val="28"/>
                  <w:szCs w:val="28"/>
                  <w:vertAlign w:val="subscript"/>
                </w:rPr>
                <m:t>imag</m:t>
              </m:r>
            </m:sub>
          </m:sSub>
          <m:r>
            <w:rPr>
              <w:rFonts w:ascii="Cambria Math" w:hAnsi="Cambria Math"/>
              <w:sz w:val="28"/>
              <w:szCs w:val="28"/>
            </w:rPr>
            <m:t>(</m:t>
          </m:r>
          <m:r>
            <w:rPr>
              <w:rFonts w:ascii="Cambria Math" w:hAnsi="Cambria Math"/>
              <w:sz w:val="28"/>
              <w:szCs w:val="28"/>
            </w:rPr>
            <m:t>ω</m:t>
          </m:r>
          <m:r>
            <w:rPr>
              <w:rFonts w:ascii="Cambria Math" w:hAnsi="Cambria Math"/>
              <w:sz w:val="28"/>
              <w:szCs w:val="28"/>
            </w:rPr>
            <m:t>) </m:t>
          </m:r>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vertAlign w:val="subscript"/>
                </w:rPr>
                <m:t>0</m:t>
              </m:r>
            </m:sub>
          </m:sSub>
          <m:r>
            <w:rPr>
              <w:rFonts w:ascii="Cambria Math" w:hAnsi="Cambria Math"/>
              <w:sz w:val="28"/>
              <w:szCs w:val="28"/>
            </w:rPr>
            <m:t> - </m:t>
          </m:r>
          <m:r>
            <m:rPr>
              <m:sty m:val="p"/>
            </m:rPr>
            <w:rPr>
              <w:rFonts w:ascii="Cambria Math" w:hAnsi="Cambria Math"/>
              <w:sz w:val="28"/>
              <w:szCs w:val="28"/>
            </w:rPr>
            <m:t>arctan (IMAG/REAL)</m:t>
          </m:r>
        </m:oMath>
      </m:oMathPara>
    </w:p>
    <w:p w14:paraId="244EFE68" w14:textId="77777777" w:rsidR="00981EEC" w:rsidRPr="00981EEC" w:rsidRDefault="00981EEC" w:rsidP="00981EEC">
      <w:r w:rsidRPr="00981EEC">
        <w:t>(2)</w:t>
      </w:r>
    </w:p>
    <w:p w14:paraId="0582AAAF" w14:textId="77777777" w:rsidR="00981EEC" w:rsidRPr="00981EEC" w:rsidRDefault="00981EEC" w:rsidP="00981EEC">
      <w:proofErr w:type="gramStart"/>
      <w:r w:rsidRPr="00981EEC">
        <w:t>where</w:t>
      </w:r>
      <w:proofErr w:type="gramEnd"/>
      <w:r w:rsidRPr="00981EEC">
        <w:t>,</w:t>
      </w:r>
    </w:p>
    <w:p w14:paraId="00DAB952" w14:textId="3DB4249A" w:rsidR="00981EEC" w:rsidRPr="00981EEC" w:rsidRDefault="009A0D90" w:rsidP="00981EEC">
      <m:oMathPara>
        <m:oMath>
          <m:r>
            <m:rPr>
              <m:sty m:val="p"/>
            </m:rPr>
            <w:rPr>
              <w:rFonts w:ascii="Cambria Math" w:hAnsi="Cambria Math"/>
              <w:sz w:val="24"/>
              <w:szCs w:val="24"/>
            </w:rPr>
            <m:t>REAL</m:t>
          </m:r>
          <m:r>
            <w:rPr>
              <w:rFonts w:ascii="Cambria Math" w:hAnsi="Cambria Math"/>
              <w:sz w:val="24"/>
              <w:szCs w:val="24"/>
            </w:rPr>
            <m:t xml:space="preserve"> =</m:t>
          </m:r>
          <m:func>
            <m:funcPr>
              <m:ctrlPr>
                <w:rPr>
                  <w:rFonts w:ascii="Cambria Math" w:hAnsi="Cambria Math"/>
                  <w:i/>
                  <w:sz w:val="24"/>
                  <w:szCs w:val="24"/>
                </w:rPr>
              </m:ctrlPr>
            </m:funcPr>
            <m:fName>
              <m:r>
                <w:rPr>
                  <w:rFonts w:ascii="Cambria Math" w:hAnsi="Cambria Math"/>
                  <w:sz w:val="24"/>
                  <w:szCs w:val="24"/>
                </w:rPr>
                <m:t> </m:t>
              </m:r>
              <m:r>
                <m:rPr>
                  <m:sty m:val="p"/>
                </m:rPr>
                <w:rPr>
                  <w:rFonts w:ascii="Cambria Math" w:hAnsi="Cambria Math"/>
                  <w:sz w:val="24"/>
                  <w:szCs w:val="24"/>
                </w:rPr>
                <m:t>exp</m:t>
              </m:r>
            </m:fName>
            <m:e>
              <m:r>
                <w:rPr>
                  <w:rFonts w:ascii="Cambria Math" w:hAnsi="Cambria Math"/>
                  <w:sz w:val="24"/>
                  <w:szCs w:val="24"/>
                </w:rPr>
                <m:t>[ - </m:t>
              </m:r>
              <m:sSub>
                <m:sSubPr>
                  <m:ctrlPr>
                    <w:rPr>
                      <w:rFonts w:ascii="Cambria Math" w:hAnsi="Cambria Math"/>
                      <w:i/>
                      <w:iCs/>
                      <w:sz w:val="24"/>
                      <w:szCs w:val="24"/>
                    </w:rPr>
                  </m:ctrlPr>
                </m:sSubPr>
                <m:e>
                  <m:r>
                    <w:rPr>
                      <w:rFonts w:ascii="Cambria Math" w:hAnsi="Cambria Math"/>
                      <w:sz w:val="24"/>
                      <w:szCs w:val="24"/>
                    </w:rPr>
                    <m:t>k</m:t>
                  </m:r>
                </m:e>
                <m:sub>
                  <m:r>
                    <m:rPr>
                      <m:sty m:val="p"/>
                    </m:rPr>
                    <w:rPr>
                      <w:rFonts w:ascii="Cambria Math" w:hAnsi="Cambria Math"/>
                      <w:sz w:val="24"/>
                      <w:szCs w:val="24"/>
                      <w:vertAlign w:val="subscript"/>
                    </w:rPr>
                    <m:t>real</m:t>
                  </m:r>
                  <m:r>
                    <w:rPr>
                      <w:rFonts w:ascii="Cambria Math" w:hAnsi="Cambria Math"/>
                      <w:sz w:val="24"/>
                      <w:szCs w:val="24"/>
                      <w:vertAlign w:val="subscript"/>
                    </w:rPr>
                    <m:t>(</m:t>
                  </m:r>
                  <m:r>
                    <w:rPr>
                      <w:rFonts w:ascii="Cambria Math" w:hAnsi="Cambria Math"/>
                      <w:sz w:val="24"/>
                      <w:szCs w:val="24"/>
                      <w:vertAlign w:val="subscript"/>
                    </w:rPr>
                    <m:t>ω</m:t>
                  </m:r>
                  <m:r>
                    <w:rPr>
                      <w:rFonts w:ascii="Cambria Math" w:hAnsi="Cambria Math"/>
                      <w:sz w:val="24"/>
                      <w:szCs w:val="24"/>
                      <w:vertAlign w:val="subscript"/>
                    </w:rPr>
                    <m:t>)</m:t>
                  </m:r>
                </m:sub>
              </m:sSub>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vertAlign w:val="subscript"/>
                    </w:rPr>
                    <m:t>0</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vertAlign w:val="subscript"/>
                    </w:rPr>
                    <m:t>0</m:t>
                  </m:r>
                </m:sub>
              </m:sSub>
            </m:e>
          </m:func>
          <m:r>
            <w:rPr>
              <w:rFonts w:ascii="Cambria Math" w:hAnsi="Cambria Math"/>
              <w:sz w:val="24"/>
              <w:szCs w:val="24"/>
            </w:rPr>
            <m:t xml:space="preserve">  -</m:t>
          </m:r>
          <m:func>
            <m:funcPr>
              <m:ctrlPr>
                <w:rPr>
                  <w:rFonts w:ascii="Cambria Math" w:hAnsi="Cambria Math"/>
                  <w:i/>
                  <w:sz w:val="24"/>
                  <w:szCs w:val="24"/>
                </w:rPr>
              </m:ctrlPr>
            </m:funcPr>
            <m:fName>
              <m:r>
                <w:rPr>
                  <w:rFonts w:ascii="Cambria Math" w:hAnsi="Cambria Math"/>
                  <w:sz w:val="24"/>
                  <w:szCs w:val="24"/>
                </w:rPr>
                <m:t> </m:t>
              </m:r>
              <m:r>
                <m:rPr>
                  <m:sty m:val="p"/>
                </m:rPr>
                <w:rPr>
                  <w:rFonts w:ascii="Cambria Math" w:hAnsi="Cambria Math"/>
                  <w:sz w:val="24"/>
                  <w:szCs w:val="24"/>
                </w:rPr>
                <m:t>cos</m:t>
              </m:r>
            </m:fName>
            <m:e>
              <m:d>
                <m:dPr>
                  <m:begChr m:val="["/>
                  <m:endChr m:val="]"/>
                  <m:ctrlPr>
                    <w:rPr>
                      <w:rFonts w:ascii="Cambria Math" w:hAnsi="Cambria Math"/>
                      <w:i/>
                      <w:sz w:val="24"/>
                      <w:szCs w:val="24"/>
                    </w:rPr>
                  </m:ctrlPr>
                </m:dPr>
                <m:e>
                  <m:sSub>
                    <m:sSubPr>
                      <m:ctrlPr>
                        <w:rPr>
                          <w:rFonts w:ascii="Cambria Math" w:hAnsi="Cambria Math"/>
                          <w:i/>
                          <w:iCs/>
                          <w:sz w:val="24"/>
                          <w:szCs w:val="24"/>
                        </w:rPr>
                      </m:ctrlPr>
                    </m:sSubPr>
                    <m:e>
                      <m:r>
                        <w:rPr>
                          <w:rFonts w:ascii="Cambria Math" w:hAnsi="Cambria Math"/>
                          <w:sz w:val="24"/>
                          <w:szCs w:val="24"/>
                        </w:rPr>
                        <m:t>k</m:t>
                      </m:r>
                    </m:e>
                    <m:sub>
                      <m:r>
                        <m:rPr>
                          <m:sty m:val="p"/>
                        </m:rPr>
                        <w:rPr>
                          <w:rFonts w:ascii="Cambria Math" w:hAnsi="Cambria Math"/>
                          <w:sz w:val="24"/>
                          <w:szCs w:val="24"/>
                          <w:vertAlign w:val="subscript"/>
                        </w:rPr>
                        <m:t>imag</m:t>
                      </m:r>
                    </m:sub>
                  </m:sSub>
                  <m:d>
                    <m:dPr>
                      <m:ctrlPr>
                        <w:rPr>
                          <w:rFonts w:ascii="Cambria Math" w:hAnsi="Cambria Math"/>
                          <w:i/>
                          <w:sz w:val="24"/>
                          <w:szCs w:val="24"/>
                        </w:rPr>
                      </m:ctrlPr>
                    </m:dPr>
                    <m:e>
                      <m:r>
                        <w:rPr>
                          <w:rFonts w:ascii="Cambria Math" w:hAnsi="Cambria Math"/>
                          <w:sz w:val="24"/>
                          <w:szCs w:val="24"/>
                        </w:rPr>
                        <m:t>ω</m:t>
                      </m:r>
                    </m:e>
                  </m:d>
                  <m:r>
                    <w:rPr>
                      <w:rFonts w:ascii="Cambria Math" w:hAnsi="Cambria Math"/>
                      <w:sz w:val="24"/>
                      <w:szCs w:val="24"/>
                    </w:rPr>
                    <m:t xml:space="preserve"> </m:t>
                  </m:r>
                  <m:d>
                    <m:dPr>
                      <m:ctrlPr>
                        <w:rPr>
                          <w:rFonts w:ascii="Cambria Math" w:hAnsi="Cambria Math"/>
                          <w:i/>
                          <w:sz w:val="24"/>
                          <w:szCs w:val="24"/>
                        </w:rPr>
                      </m:ctrlPr>
                    </m:dPr>
                    <m:e>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vertAlign w:val="subscript"/>
                            </w:rPr>
                            <m:t>0</m:t>
                          </m:r>
                          <m:r>
                            <w:rPr>
                              <w:rFonts w:ascii="Cambria Math" w:hAnsi="Cambria Math"/>
                              <w:sz w:val="24"/>
                              <w:szCs w:val="24"/>
                              <w:vertAlign w:val="subscript"/>
                            </w:rPr>
                            <m:t>b</m:t>
                          </m:r>
                        </m:sub>
                      </m:sSub>
                      <m:r>
                        <w:rPr>
                          <w:rFonts w:ascii="Cambria Math" w:hAnsi="Cambria Math"/>
                          <w:sz w:val="24"/>
                          <w:szCs w:val="24"/>
                        </w:rPr>
                        <m:t> - </m:t>
                      </m:r>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vertAlign w:val="subscript"/>
                            </w:rPr>
                            <m:t>0</m:t>
                          </m:r>
                        </m:sub>
                      </m:sSub>
                    </m:e>
                  </m:d>
                </m:e>
              </m:d>
            </m:e>
          </m:func>
          <m:r>
            <w:rPr>
              <w:rFonts w:ascii="Cambria Math" w:hAnsi="Cambria Math"/>
              <w:sz w:val="24"/>
              <w:szCs w:val="24"/>
            </w:rPr>
            <m:t xml:space="preserve">  ×</m:t>
          </m:r>
          <m:func>
            <m:funcPr>
              <m:ctrlPr>
                <w:rPr>
                  <w:rFonts w:ascii="Cambria Math" w:hAnsi="Cambria Math"/>
                  <w:i/>
                  <w:sz w:val="24"/>
                  <w:szCs w:val="24"/>
                </w:rPr>
              </m:ctrlPr>
            </m:funcPr>
            <m:fName>
              <m:r>
                <w:rPr>
                  <w:rFonts w:ascii="Cambria Math" w:hAnsi="Cambria Math"/>
                  <w:sz w:val="24"/>
                  <w:szCs w:val="24"/>
                </w:rPr>
                <m:t> </m:t>
              </m:r>
              <m:r>
                <m:rPr>
                  <m:sty m:val="p"/>
                </m:rPr>
                <w:rPr>
                  <w:rFonts w:ascii="Cambria Math" w:hAnsi="Cambria Math"/>
                  <w:sz w:val="24"/>
                  <w:szCs w:val="24"/>
                </w:rPr>
                <m:t>exp</m:t>
              </m:r>
            </m:fName>
            <m:e>
              <m:r>
                <w:rPr>
                  <w:rFonts w:ascii="Cambria Math" w:hAnsi="Cambria Math"/>
                  <w:sz w:val="24"/>
                  <w:szCs w:val="24"/>
                </w:rPr>
                <m:t>[ - </m:t>
              </m:r>
              <m:sSub>
                <m:sSubPr>
                  <m:ctrlPr>
                    <w:rPr>
                      <w:rFonts w:ascii="Cambria Math" w:hAnsi="Cambria Math"/>
                      <w:i/>
                      <w:iCs/>
                      <w:sz w:val="24"/>
                      <w:szCs w:val="24"/>
                    </w:rPr>
                  </m:ctrlPr>
                </m:sSubPr>
                <m:e>
                  <m:r>
                    <w:rPr>
                      <w:rFonts w:ascii="Cambria Math" w:hAnsi="Cambria Math"/>
                      <w:sz w:val="24"/>
                      <w:szCs w:val="24"/>
                    </w:rPr>
                    <m:t>k</m:t>
                  </m:r>
                </m:e>
                <m:sub>
                  <m:r>
                    <m:rPr>
                      <m:sty m:val="p"/>
                    </m:rPr>
                    <w:rPr>
                      <w:rFonts w:ascii="Cambria Math" w:hAnsi="Cambria Math"/>
                      <w:sz w:val="24"/>
                      <w:szCs w:val="24"/>
                      <w:vertAlign w:val="subscript"/>
                    </w:rPr>
                    <m:t>real</m:t>
                  </m:r>
                </m:sub>
              </m:sSub>
              <m:r>
                <w:rPr>
                  <w:rFonts w:ascii="Cambria Math" w:hAnsi="Cambria Math"/>
                  <w:sz w:val="24"/>
                  <w:szCs w:val="24"/>
                </w:rPr>
                <m:t>(</m:t>
              </m:r>
              <m:r>
                <w:rPr>
                  <w:rFonts w:ascii="Cambria Math" w:hAnsi="Cambria Math"/>
                  <w:sz w:val="24"/>
                  <w:szCs w:val="24"/>
                </w:rPr>
                <m:t>ω</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vertAlign w:val="subscript"/>
                    </w:rPr>
                    <m:t>0</m:t>
                  </m:r>
                  <m:r>
                    <w:rPr>
                      <w:rFonts w:ascii="Cambria Math" w:hAnsi="Cambria Math"/>
                      <w:sz w:val="24"/>
                      <w:szCs w:val="24"/>
                      <w:vertAlign w:val="subscript"/>
                    </w:rPr>
                    <m:t>b</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vertAlign w:val="subscript"/>
                    </w:rPr>
                    <m:t>0</m:t>
                  </m:r>
                  <m:r>
                    <w:rPr>
                      <w:rFonts w:ascii="Cambria Math" w:hAnsi="Cambria Math"/>
                      <w:sz w:val="24"/>
                      <w:szCs w:val="24"/>
                      <w:vertAlign w:val="subscript"/>
                    </w:rPr>
                    <m:t>b</m:t>
                  </m:r>
                </m:sub>
              </m:sSub>
            </m:e>
          </m:func>
          <m:r>
            <w:rPr>
              <w:rFonts w:ascii="Cambria Math" w:hAnsi="Cambria Math"/>
              <w:sz w:val="24"/>
              <w:szCs w:val="24"/>
            </w:rPr>
            <m:t xml:space="preserve"> </m:t>
          </m:r>
        </m:oMath>
      </m:oMathPara>
    </w:p>
    <w:p w14:paraId="620425AD" w14:textId="77777777" w:rsidR="00981EEC" w:rsidRPr="00981EEC" w:rsidRDefault="00981EEC" w:rsidP="00981EEC">
      <w:r w:rsidRPr="00981EEC">
        <w:t>(3)</w:t>
      </w:r>
    </w:p>
    <w:p w14:paraId="5426421A" w14:textId="0978FCE5" w:rsidR="00981EEC" w:rsidRPr="00981EEC" w:rsidRDefault="00DA45A9" w:rsidP="00981EEC">
      <m:oMathPara>
        <m:oMath>
          <m:r>
            <m:rPr>
              <m:sty m:val="p"/>
            </m:rPr>
            <w:rPr>
              <w:rFonts w:ascii="Cambria Math" w:hAnsi="Cambria Math"/>
              <w:sz w:val="28"/>
              <w:szCs w:val="28"/>
            </w:rPr>
            <m:t>IMAG</m:t>
          </m:r>
          <m:r>
            <w:rPr>
              <w:rFonts w:ascii="Cambria Math" w:hAnsi="Cambria Math"/>
              <w:sz w:val="28"/>
              <w:szCs w:val="28"/>
            </w:rPr>
            <m:t xml:space="preserve"> =</m:t>
          </m:r>
          <m:func>
            <m:funcPr>
              <m:ctrlPr>
                <w:rPr>
                  <w:rFonts w:ascii="Cambria Math" w:hAnsi="Cambria Math"/>
                  <w:i/>
                  <w:sz w:val="28"/>
                  <w:szCs w:val="28"/>
                </w:rPr>
              </m:ctrlPr>
            </m:funcPr>
            <m:fName>
              <m:r>
                <w:rPr>
                  <w:rFonts w:ascii="Cambria Math" w:hAnsi="Cambria Math"/>
                  <w:sz w:val="28"/>
                  <w:szCs w:val="28"/>
                </w:rPr>
                <m:t> </m:t>
              </m:r>
              <m:r>
                <m:rPr>
                  <m:sty m:val="p"/>
                </m:rPr>
                <w:rPr>
                  <w:rFonts w:ascii="Cambria Math" w:hAnsi="Cambria Math"/>
                  <w:sz w:val="28"/>
                  <w:szCs w:val="28"/>
                </w:rPr>
                <m:t>sin</m:t>
              </m:r>
            </m:fName>
            <m:e>
              <m:d>
                <m:dPr>
                  <m:begChr m:val="["/>
                  <m:endChr m:val="]"/>
                  <m:ctrlPr>
                    <w:rPr>
                      <w:rFonts w:ascii="Cambria Math" w:hAnsi="Cambria Math"/>
                      <w:i/>
                      <w:sz w:val="28"/>
                      <w:szCs w:val="28"/>
                    </w:rPr>
                  </m:ctrlPr>
                </m:dPr>
                <m:e>
                  <m:sSub>
                    <m:sSubPr>
                      <m:ctrlPr>
                        <w:rPr>
                          <w:rFonts w:ascii="Cambria Math" w:hAnsi="Cambria Math"/>
                          <w:i/>
                          <w:iCs/>
                          <w:sz w:val="28"/>
                          <w:szCs w:val="28"/>
                        </w:rPr>
                      </m:ctrlPr>
                    </m:sSubPr>
                    <m:e>
                      <m:r>
                        <w:rPr>
                          <w:rFonts w:ascii="Cambria Math" w:hAnsi="Cambria Math"/>
                          <w:sz w:val="28"/>
                          <w:szCs w:val="28"/>
                        </w:rPr>
                        <m:t>k</m:t>
                      </m:r>
                    </m:e>
                    <m:sub>
                      <m:r>
                        <m:rPr>
                          <m:sty m:val="p"/>
                        </m:rPr>
                        <w:rPr>
                          <w:rFonts w:ascii="Cambria Math" w:hAnsi="Cambria Math"/>
                          <w:sz w:val="28"/>
                          <w:szCs w:val="28"/>
                          <w:vertAlign w:val="subscript"/>
                        </w:rPr>
                        <m:t>imag</m:t>
                      </m:r>
                    </m:sub>
                  </m:sSub>
                  <m:d>
                    <m:dPr>
                      <m:ctrlPr>
                        <w:rPr>
                          <w:rFonts w:ascii="Cambria Math" w:hAnsi="Cambria Math"/>
                          <w:i/>
                          <w:sz w:val="28"/>
                          <w:szCs w:val="28"/>
                        </w:rPr>
                      </m:ctrlPr>
                    </m:dPr>
                    <m:e>
                      <m:r>
                        <w:rPr>
                          <w:rFonts w:ascii="Cambria Math" w:hAnsi="Cambria Math"/>
                          <w:sz w:val="28"/>
                          <w:szCs w:val="28"/>
                        </w:rPr>
                        <m:t>ω</m:t>
                      </m:r>
                    </m:e>
                  </m:d>
                  <m:r>
                    <w:rPr>
                      <w:rFonts w:ascii="Cambria Math" w:hAnsi="Cambria Math"/>
                      <w:sz w:val="28"/>
                      <w:szCs w:val="28"/>
                    </w:rPr>
                    <m:t xml:space="preserve"> </m:t>
                  </m:r>
                  <m:d>
                    <m:dPr>
                      <m:ctrlPr>
                        <w:rPr>
                          <w:rFonts w:ascii="Cambria Math" w:hAnsi="Cambria Math"/>
                          <w:i/>
                          <w:sz w:val="28"/>
                          <w:szCs w:val="28"/>
                        </w:rPr>
                      </m:ctrlPr>
                    </m:dPr>
                    <m:e>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vertAlign w:val="subscript"/>
                            </w:rPr>
                            <m:t>0</m:t>
                          </m:r>
                          <m:r>
                            <w:rPr>
                              <w:rFonts w:ascii="Cambria Math" w:hAnsi="Cambria Math"/>
                              <w:sz w:val="28"/>
                              <w:szCs w:val="28"/>
                              <w:vertAlign w:val="subscript"/>
                            </w:rPr>
                            <m:t>b</m:t>
                          </m:r>
                        </m:sub>
                      </m:sSub>
                      <m:r>
                        <w:rPr>
                          <w:rFonts w:ascii="Cambria Math" w:hAnsi="Cambria Math"/>
                          <w:sz w:val="28"/>
                          <w:szCs w:val="28"/>
                        </w:rPr>
                        <m:t> - </m:t>
                      </m:r>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vertAlign w:val="subscript"/>
                            </w:rPr>
                            <m:t>0</m:t>
                          </m:r>
                        </m:sub>
                      </m:sSub>
                    </m:e>
                  </m:d>
                </m:e>
              </m:d>
            </m:e>
          </m:func>
          <m:r>
            <w:rPr>
              <w:rFonts w:ascii="Cambria Math" w:hAnsi="Cambria Math"/>
              <w:sz w:val="28"/>
              <w:szCs w:val="28"/>
            </w:rPr>
            <m:t xml:space="preserve"> </m:t>
          </m:r>
          <m:func>
            <m:funcPr>
              <m:ctrlPr>
                <w:rPr>
                  <w:rFonts w:ascii="Cambria Math" w:hAnsi="Cambria Math"/>
                  <w:i/>
                  <w:sz w:val="28"/>
                  <w:szCs w:val="28"/>
                </w:rPr>
              </m:ctrlPr>
            </m:funcPr>
            <m:fName>
              <m:r>
                <m:rPr>
                  <m:sty m:val="p"/>
                </m:rPr>
                <w:rPr>
                  <w:rFonts w:ascii="Cambria Math" w:hAnsi="Cambria Math"/>
                  <w:sz w:val="28"/>
                  <w:szCs w:val="28"/>
                </w:rPr>
                <m:t>exp</m:t>
              </m:r>
            </m:fName>
            <m:e>
              <m:r>
                <w:rPr>
                  <w:rFonts w:ascii="Cambria Math" w:hAnsi="Cambria Math"/>
                  <w:sz w:val="28"/>
                  <w:szCs w:val="28"/>
                </w:rPr>
                <m:t>[ - </m:t>
              </m:r>
              <m:sSub>
                <m:sSubPr>
                  <m:ctrlPr>
                    <w:rPr>
                      <w:rFonts w:ascii="Cambria Math" w:hAnsi="Cambria Math"/>
                      <w:i/>
                      <w:iCs/>
                      <w:sz w:val="28"/>
                      <w:szCs w:val="28"/>
                    </w:rPr>
                  </m:ctrlPr>
                </m:sSubPr>
                <m:e>
                  <m:r>
                    <w:rPr>
                      <w:rFonts w:ascii="Cambria Math" w:hAnsi="Cambria Math"/>
                      <w:sz w:val="28"/>
                      <w:szCs w:val="28"/>
                    </w:rPr>
                    <m:t>k</m:t>
                  </m:r>
                </m:e>
                <m:sub>
                  <m:r>
                    <m:rPr>
                      <m:sty m:val="p"/>
                    </m:rPr>
                    <w:rPr>
                      <w:rFonts w:ascii="Cambria Math" w:hAnsi="Cambria Math"/>
                      <w:sz w:val="28"/>
                      <w:szCs w:val="28"/>
                      <w:vertAlign w:val="subscript"/>
                    </w:rPr>
                    <m:t>real</m:t>
                  </m:r>
                </m:sub>
              </m:sSub>
              <m:r>
                <w:rPr>
                  <w:rFonts w:ascii="Cambria Math" w:hAnsi="Cambria Math"/>
                  <w:sz w:val="28"/>
                  <w:szCs w:val="28"/>
                </w:rPr>
                <m:t>(</m:t>
              </m:r>
              <m:r>
                <w:rPr>
                  <w:rFonts w:ascii="Cambria Math" w:hAnsi="Cambria Math"/>
                  <w:sz w:val="28"/>
                  <w:szCs w:val="28"/>
                </w:rPr>
                <m:t>ω</m:t>
              </m:r>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vertAlign w:val="subscript"/>
                    </w:rPr>
                    <m:t>0</m:t>
                  </m:r>
                  <m:r>
                    <w:rPr>
                      <w:rFonts w:ascii="Cambria Math" w:hAnsi="Cambria Math"/>
                      <w:sz w:val="28"/>
                      <w:szCs w:val="28"/>
                      <w:vertAlign w:val="subscript"/>
                    </w:rPr>
                    <m:t>b</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vertAlign w:val="subscript"/>
                    </w:rPr>
                    <m:t>0</m:t>
                  </m:r>
                  <m:r>
                    <w:rPr>
                      <w:rFonts w:ascii="Cambria Math" w:hAnsi="Cambria Math"/>
                      <w:sz w:val="28"/>
                      <w:szCs w:val="28"/>
                      <w:vertAlign w:val="subscript"/>
                    </w:rPr>
                    <m:t>b</m:t>
                  </m:r>
                </m:sub>
              </m:sSub>
            </m:e>
          </m:func>
          <m:r>
            <w:rPr>
              <w:rFonts w:ascii="Cambria Math" w:hAnsi="Cambria Math"/>
              <w:sz w:val="28"/>
              <w:szCs w:val="28"/>
            </w:rPr>
            <m:t xml:space="preserve"> </m:t>
          </m:r>
        </m:oMath>
      </m:oMathPara>
    </w:p>
    <w:p w14:paraId="5AC2C619" w14:textId="77777777" w:rsidR="00981EEC" w:rsidRPr="00981EEC" w:rsidRDefault="00981EEC" w:rsidP="00981EEC">
      <w:r w:rsidRPr="00981EEC">
        <w:t>(4)</w:t>
      </w:r>
    </w:p>
    <w:p w14:paraId="7D368113" w14:textId="2C6B1A47" w:rsidR="00981EEC" w:rsidRPr="00981EEC" w:rsidRDefault="00695239" w:rsidP="00981EEC">
      <m:oMathPara>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0</m:t>
              </m:r>
            </m:sub>
          </m:sSub>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m:t>
                  </m:r>
                  <m:sSubSup>
                    <m:sSubSupPr>
                      <m:ctrlPr>
                        <w:rPr>
                          <w:rFonts w:ascii="Cambria Math" w:hAnsi="Cambria Math"/>
                          <w:i/>
                          <w:sz w:val="28"/>
                          <w:szCs w:val="28"/>
                        </w:rPr>
                      </m:ctrlPr>
                    </m:sSubSupPr>
                    <m:e>
                      <m:r>
                        <w:rPr>
                          <w:rFonts w:ascii="Cambria Math" w:hAnsi="Cambria Math"/>
                          <w:sz w:val="28"/>
                          <w:szCs w:val="28"/>
                        </w:rPr>
                        <m:t>μ</m:t>
                      </m:r>
                    </m:e>
                    <m:sub>
                      <m:r>
                        <w:rPr>
                          <w:rFonts w:ascii="Cambria Math" w:hAnsi="Cambria Math"/>
                          <w:sz w:val="28"/>
                          <w:szCs w:val="28"/>
                        </w:rPr>
                        <m:t>s</m:t>
                      </m:r>
                    </m:sub>
                    <m:sup>
                      <m:r>
                        <w:rPr>
                          <w:rFonts w:ascii="Cambria Math" w:hAnsi="Cambria Math"/>
                          <w:sz w:val="28"/>
                          <w:szCs w:val="28"/>
                        </w:rPr>
                        <m:t>'</m:t>
                      </m:r>
                    </m:sup>
                  </m:sSubSup>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r</m:t>
                  </m:r>
                </m:e>
                <m:sup>
                  <m:r>
                    <w:rPr>
                      <w:rFonts w:ascii="Cambria Math" w:hAnsi="Cambria Math"/>
                      <w:sz w:val="28"/>
                      <w:szCs w:val="28"/>
                    </w:rPr>
                    <m:t>2</m:t>
                  </m:r>
                </m:sup>
              </m:sSup>
              <m:r>
                <w:rPr>
                  <w:rFonts w:ascii="Cambria Math" w:hAnsi="Cambria Math"/>
                  <w:sz w:val="28"/>
                  <w:szCs w:val="28"/>
                </w:rPr>
                <m:t>]</m:t>
              </m:r>
            </m:e>
            <m:sup>
              <m:r>
                <w:rPr>
                  <w:rFonts w:ascii="Cambria Math" w:hAnsi="Cambria Math"/>
                  <w:sz w:val="28"/>
                  <w:szCs w:val="28"/>
                </w:rPr>
                <m:t>1/2</m:t>
              </m:r>
            </m:sup>
          </m:sSup>
        </m:oMath>
      </m:oMathPara>
    </w:p>
    <w:p w14:paraId="2F02A77F" w14:textId="77777777" w:rsidR="00981EEC" w:rsidRPr="00981EEC" w:rsidRDefault="00981EEC" w:rsidP="00981EEC">
      <w:r w:rsidRPr="00981EEC">
        <w:lastRenderedPageBreak/>
        <w:t>(5)</w:t>
      </w:r>
    </w:p>
    <w:p w14:paraId="13E074B4" w14:textId="3D1944D1" w:rsidR="00981EEC" w:rsidRPr="00981EEC" w:rsidRDefault="00A82F2B" w:rsidP="00981EEC">
      <m:oMathPara>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0b</m:t>
              </m:r>
            </m:sub>
          </m:sSub>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[4(1+</m:t>
                  </m:r>
                  <m:sSub>
                    <m:sSubPr>
                      <m:ctrlPr>
                        <w:rPr>
                          <w:rFonts w:ascii="Cambria Math" w:hAnsi="Cambria Math"/>
                          <w:i/>
                          <w:sz w:val="28"/>
                          <w:szCs w:val="28"/>
                        </w:rPr>
                      </m:ctrlPr>
                    </m:sSubPr>
                    <m:e>
                      <m:r>
                        <w:rPr>
                          <w:rFonts w:ascii="Cambria Math" w:hAnsi="Cambria Math"/>
                          <w:sz w:val="28"/>
                          <w:szCs w:val="28"/>
                        </w:rPr>
                        <m:t>R</m:t>
                      </m:r>
                    </m:e>
                    <m:sub>
                      <m:r>
                        <m:rPr>
                          <m:sty m:val="p"/>
                        </m:rPr>
                        <w:rPr>
                          <w:rFonts w:ascii="Cambria Math" w:hAnsi="Cambria Math"/>
                          <w:sz w:val="28"/>
                          <w:szCs w:val="28"/>
                        </w:rPr>
                        <m:t>eff</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3μ</m:t>
                      </m:r>
                    </m:e>
                    <m:sub>
                      <m:r>
                        <w:rPr>
                          <w:rFonts w:ascii="Cambria Math" w:hAnsi="Cambria Math"/>
                          <w:sz w:val="28"/>
                          <w:szCs w:val="28"/>
                        </w:rPr>
                        <m:t>s</m:t>
                      </m:r>
                    </m:sub>
                    <m:sup>
                      <m:r>
                        <w:rPr>
                          <w:rFonts w:ascii="Cambria Math" w:hAnsi="Cambria Math"/>
                          <w:sz w:val="28"/>
                          <w:szCs w:val="28"/>
                        </w:rPr>
                        <m:t>'</m:t>
                      </m:r>
                    </m:sup>
                  </m:sSubSup>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R</m:t>
                      </m:r>
                    </m:e>
                    <m:sub>
                      <m:r>
                        <m:rPr>
                          <m:sty m:val="p"/>
                        </m:rPr>
                        <w:rPr>
                          <w:rFonts w:ascii="Cambria Math" w:hAnsi="Cambria Math"/>
                          <w:sz w:val="28"/>
                          <w:szCs w:val="28"/>
                        </w:rPr>
                        <m:t>eff</m:t>
                      </m:r>
                    </m:sub>
                  </m:sSub>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r</m:t>
                  </m:r>
                </m:e>
                <m:sup>
                  <m:r>
                    <w:rPr>
                      <w:rFonts w:ascii="Cambria Math" w:hAnsi="Cambria Math"/>
                      <w:sz w:val="28"/>
                      <w:szCs w:val="28"/>
                    </w:rPr>
                    <m:t>2</m:t>
                  </m:r>
                </m:sup>
              </m:sSup>
              <m:r>
                <w:rPr>
                  <w:rFonts w:ascii="Cambria Math" w:hAnsi="Cambria Math"/>
                  <w:sz w:val="28"/>
                  <w:szCs w:val="28"/>
                </w:rPr>
                <m:t>}</m:t>
              </m:r>
            </m:e>
            <m:sup>
              <m:r>
                <w:rPr>
                  <w:rFonts w:ascii="Cambria Math" w:hAnsi="Cambria Math"/>
                  <w:sz w:val="28"/>
                  <w:szCs w:val="28"/>
                </w:rPr>
                <m:t>1/2</m:t>
              </m:r>
            </m:sup>
          </m:sSup>
        </m:oMath>
      </m:oMathPara>
    </w:p>
    <w:p w14:paraId="24E9CE65" w14:textId="77777777" w:rsidR="00981EEC" w:rsidRPr="00981EEC" w:rsidRDefault="00981EEC" w:rsidP="00981EEC">
      <w:r w:rsidRPr="00981EEC">
        <w:t>(6)</w:t>
      </w:r>
    </w:p>
    <w:p w14:paraId="4686EBCF" w14:textId="7CD7ABCA" w:rsidR="00F13A26" w:rsidRPr="00981EEC" w:rsidRDefault="00F13A26" w:rsidP="00981EEC">
      <m:oMathPara>
        <m:oMath>
          <m:sSub>
            <m:sSubPr>
              <m:ctrlPr>
                <w:rPr>
                  <w:rFonts w:ascii="Cambria Math" w:hAnsi="Cambria Math"/>
                  <w:sz w:val="28"/>
                  <w:szCs w:val="28"/>
                </w:rPr>
              </m:ctrlPr>
            </m:sSubPr>
            <m:e>
              <m:r>
                <w:rPr>
                  <w:rFonts w:ascii="Cambria Math" w:hAnsi="Cambria Math"/>
                  <w:sz w:val="28"/>
                  <w:szCs w:val="28"/>
                </w:rPr>
                <m:t>k</m:t>
              </m:r>
            </m:e>
            <m:sub>
              <m:r>
                <m:rPr>
                  <m:nor/>
                </m:rPr>
                <w:rPr>
                  <w:sz w:val="28"/>
                  <w:szCs w:val="28"/>
                </w:rPr>
                <m:t>real</m:t>
              </m:r>
            </m:sub>
          </m:sSub>
          <m:r>
            <w:rPr>
              <w:rFonts w:ascii="Cambria Math" w:hAnsi="Cambria Math"/>
              <w:sz w:val="28"/>
              <w:szCs w:val="28"/>
            </w:rPr>
            <m:t>=</m:t>
          </m:r>
          <m:rad>
            <m:radPr>
              <m:degHide m:val="1"/>
              <m:ctrlPr>
                <w:rPr>
                  <w:rFonts w:ascii="Cambria Math" w:hAnsi="Cambria Math"/>
                  <w:sz w:val="28"/>
                  <w:szCs w:val="28"/>
                </w:rPr>
              </m:ctrlPr>
            </m:radPr>
            <m:deg/>
            <m:e>
              <m:r>
                <w:rPr>
                  <w:rFonts w:ascii="Cambria Math" w:hAnsi="Cambria Math"/>
                  <w:sz w:val="28"/>
                  <w:szCs w:val="28"/>
                </w:rPr>
                <m:t>3</m:t>
              </m:r>
              <m:sSub>
                <m:sSubPr>
                  <m:ctrlPr>
                    <w:rPr>
                      <w:rFonts w:ascii="Cambria Math" w:hAnsi="Cambria Math"/>
                      <w:sz w:val="28"/>
                      <w:szCs w:val="28"/>
                    </w:rPr>
                  </m:ctrlPr>
                </m:sSubPr>
                <m:e>
                  <m:r>
                    <w:rPr>
                      <w:rFonts w:ascii="Cambria Math" w:hAnsi="Cambria Math"/>
                      <w:sz w:val="28"/>
                      <w:szCs w:val="28"/>
                    </w:rPr>
                    <m:t>μ</m:t>
                  </m:r>
                </m:e>
                <m:sub>
                  <m:r>
                    <w:rPr>
                      <w:rFonts w:ascii="Cambria Math" w:hAnsi="Cambria Math"/>
                      <w:sz w:val="28"/>
                      <w:szCs w:val="28"/>
                    </w:rPr>
                    <m:t>a</m:t>
                  </m:r>
                </m:sub>
              </m:sSub>
              <m:sSubSup>
                <m:sSubSupPr>
                  <m:ctrlPr>
                    <w:rPr>
                      <w:rFonts w:ascii="Cambria Math" w:hAnsi="Cambria Math"/>
                      <w:sz w:val="28"/>
                      <w:szCs w:val="28"/>
                    </w:rPr>
                  </m:ctrlPr>
                </m:sSubSupPr>
                <m:e>
                  <m:r>
                    <w:rPr>
                      <w:rFonts w:ascii="Cambria Math" w:hAnsi="Cambria Math"/>
                      <w:sz w:val="28"/>
                      <w:szCs w:val="28"/>
                    </w:rPr>
                    <m:t>μ</m:t>
                  </m:r>
                </m:e>
                <m:sub>
                  <m:r>
                    <w:rPr>
                      <w:rFonts w:ascii="Cambria Math" w:hAnsi="Cambria Math"/>
                      <w:sz w:val="28"/>
                      <w:szCs w:val="28"/>
                    </w:rPr>
                    <m:t>s</m:t>
                  </m:r>
                </m:sub>
                <m:sup>
                  <m:r>
                    <w:rPr>
                      <w:rFonts w:ascii="Cambria Math" w:hAnsi="Cambria Math"/>
                      <w:sz w:val="28"/>
                      <w:szCs w:val="28"/>
                    </w:rPr>
                    <m:t>'</m:t>
                  </m:r>
                </m:sup>
              </m:sSubSup>
              <m:r>
                <w:rPr>
                  <w:rFonts w:ascii="Cambria Math" w:hAnsi="Cambria Math"/>
                  <w:sz w:val="28"/>
                  <w:szCs w:val="28"/>
                </w:rPr>
                <m:t>/2</m:t>
              </m:r>
            </m:e>
          </m:rad>
          <m:sSup>
            <m:sSupPr>
              <m:ctrlPr>
                <w:rPr>
                  <w:rFonts w:ascii="Cambria Math" w:hAnsi="Cambria Math"/>
                  <w:sz w:val="28"/>
                  <w:szCs w:val="28"/>
                </w:rPr>
              </m:ctrlPr>
            </m:sSupPr>
            <m:e>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[1+</m:t>
                  </m:r>
                  <m:sSup>
                    <m:sSupPr>
                      <m:ctrlPr>
                        <w:rPr>
                          <w:rFonts w:ascii="Cambria Math" w:hAnsi="Cambria Math"/>
                          <w:sz w:val="28"/>
                          <w:szCs w:val="28"/>
                        </w:rPr>
                      </m:ctrlPr>
                    </m:sSupPr>
                    <m:e>
                      <m:r>
                        <w:rPr>
                          <w:rFonts w:ascii="Cambria Math" w:hAnsi="Cambria Math"/>
                          <w:sz w:val="28"/>
                          <w:szCs w:val="28"/>
                        </w:rPr>
                        <m:t>(ω/ν</m:t>
                      </m:r>
                      <m:sSub>
                        <m:sSubPr>
                          <m:ctrlPr>
                            <w:rPr>
                              <w:rFonts w:ascii="Cambria Math" w:hAnsi="Cambria Math"/>
                              <w:sz w:val="28"/>
                              <w:szCs w:val="28"/>
                            </w:rPr>
                          </m:ctrlPr>
                        </m:sSubPr>
                        <m:e>
                          <m:r>
                            <w:rPr>
                              <w:rFonts w:ascii="Cambria Math" w:hAnsi="Cambria Math"/>
                              <w:sz w:val="28"/>
                              <w:szCs w:val="28"/>
                            </w:rPr>
                            <m:t>μ</m:t>
                          </m:r>
                        </m:e>
                        <m:sub>
                          <m:r>
                            <w:rPr>
                              <w:rFonts w:ascii="Cambria Math" w:hAnsi="Cambria Math"/>
                              <w:sz w:val="28"/>
                              <w:szCs w:val="28"/>
                            </w:rPr>
                            <m:t>a</m:t>
                          </m:r>
                        </m:sub>
                      </m:sSub>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m:t>
                  </m:r>
                </m:e>
                <m:sup>
                  <m:f>
                    <m:fPr>
                      <m:type m:val="lin"/>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2</m:t>
                      </m:r>
                    </m:den>
                  </m:f>
                </m:sup>
              </m:sSup>
              <m:r>
                <w:rPr>
                  <w:rFonts w:ascii="Cambria Math" w:hAnsi="Cambria Math"/>
                  <w:sz w:val="28"/>
                  <w:szCs w:val="28"/>
                </w:rPr>
                <m:t>+1}</m:t>
              </m:r>
            </m:e>
            <m:sup>
              <m:f>
                <m:fPr>
                  <m:type m:val="lin"/>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2</m:t>
                  </m:r>
                </m:den>
              </m:f>
            </m:sup>
          </m:sSup>
        </m:oMath>
      </m:oMathPara>
    </w:p>
    <w:p w14:paraId="652BCAC9" w14:textId="77777777" w:rsidR="00981EEC" w:rsidRPr="00981EEC" w:rsidRDefault="00981EEC" w:rsidP="00981EEC">
      <w:r w:rsidRPr="00981EEC">
        <w:t>(7)</w:t>
      </w:r>
    </w:p>
    <w:p w14:paraId="301A5518" w14:textId="7F9CA2BF" w:rsidR="00F13A26" w:rsidRPr="00981EEC" w:rsidRDefault="00EF5C6C" w:rsidP="00981EEC">
      <m:oMathPara>
        <m:oMath>
          <m:sSub>
            <m:sSubPr>
              <m:ctrlPr>
                <w:rPr>
                  <w:rFonts w:ascii="Cambria Math" w:hAnsi="Cambria Math"/>
                  <w:sz w:val="28"/>
                  <w:szCs w:val="28"/>
                </w:rPr>
              </m:ctrlPr>
            </m:sSubPr>
            <m:e>
              <m:r>
                <w:rPr>
                  <w:rFonts w:ascii="Cambria Math" w:hAnsi="Cambria Math"/>
                  <w:sz w:val="28"/>
                  <w:szCs w:val="28"/>
                </w:rPr>
                <m:t>k</m:t>
              </m:r>
            </m:e>
            <m:sub>
              <m:r>
                <m:rPr>
                  <m:nor/>
                </m:rPr>
                <w:rPr>
                  <w:sz w:val="28"/>
                  <w:szCs w:val="28"/>
                </w:rPr>
                <m:t>real</m:t>
              </m:r>
            </m:sub>
          </m:sSub>
          <m:r>
            <w:rPr>
              <w:rFonts w:ascii="Cambria Math" w:hAnsi="Cambria Math"/>
              <w:sz w:val="28"/>
              <w:szCs w:val="28"/>
            </w:rPr>
            <m:t>=</m:t>
          </m:r>
          <m:rad>
            <m:radPr>
              <m:degHide m:val="1"/>
              <m:ctrlPr>
                <w:rPr>
                  <w:rFonts w:ascii="Cambria Math" w:hAnsi="Cambria Math"/>
                  <w:sz w:val="28"/>
                  <w:szCs w:val="28"/>
                </w:rPr>
              </m:ctrlPr>
            </m:radPr>
            <m:deg/>
            <m:e>
              <m:r>
                <w:rPr>
                  <w:rFonts w:ascii="Cambria Math" w:hAnsi="Cambria Math"/>
                  <w:sz w:val="28"/>
                  <w:szCs w:val="28"/>
                </w:rPr>
                <m:t>3</m:t>
              </m:r>
              <m:sSub>
                <m:sSubPr>
                  <m:ctrlPr>
                    <w:rPr>
                      <w:rFonts w:ascii="Cambria Math" w:hAnsi="Cambria Math"/>
                      <w:sz w:val="28"/>
                      <w:szCs w:val="28"/>
                    </w:rPr>
                  </m:ctrlPr>
                </m:sSubPr>
                <m:e>
                  <m:r>
                    <w:rPr>
                      <w:rFonts w:ascii="Cambria Math" w:hAnsi="Cambria Math"/>
                      <w:sz w:val="28"/>
                      <w:szCs w:val="28"/>
                    </w:rPr>
                    <m:t>μ</m:t>
                  </m:r>
                </m:e>
                <m:sub>
                  <m:r>
                    <w:rPr>
                      <w:rFonts w:ascii="Cambria Math" w:hAnsi="Cambria Math"/>
                      <w:sz w:val="28"/>
                      <w:szCs w:val="28"/>
                    </w:rPr>
                    <m:t>a</m:t>
                  </m:r>
                </m:sub>
              </m:sSub>
              <m:sSubSup>
                <m:sSubSupPr>
                  <m:ctrlPr>
                    <w:rPr>
                      <w:rFonts w:ascii="Cambria Math" w:hAnsi="Cambria Math"/>
                      <w:sz w:val="28"/>
                      <w:szCs w:val="28"/>
                    </w:rPr>
                  </m:ctrlPr>
                </m:sSubSupPr>
                <m:e>
                  <m:r>
                    <w:rPr>
                      <w:rFonts w:ascii="Cambria Math" w:hAnsi="Cambria Math"/>
                      <w:sz w:val="28"/>
                      <w:szCs w:val="28"/>
                    </w:rPr>
                    <m:t>μ</m:t>
                  </m:r>
                </m:e>
                <m:sub>
                  <m:r>
                    <w:rPr>
                      <w:rFonts w:ascii="Cambria Math" w:hAnsi="Cambria Math"/>
                      <w:sz w:val="28"/>
                      <w:szCs w:val="28"/>
                    </w:rPr>
                    <m:t>s</m:t>
                  </m:r>
                </m:sub>
                <m:sup>
                  <m:r>
                    <w:rPr>
                      <w:rFonts w:ascii="Cambria Math" w:hAnsi="Cambria Math"/>
                      <w:sz w:val="28"/>
                      <w:szCs w:val="28"/>
                    </w:rPr>
                    <m:t>'</m:t>
                  </m:r>
                </m:sup>
              </m:sSubSup>
              <m:r>
                <w:rPr>
                  <w:rFonts w:ascii="Cambria Math" w:hAnsi="Cambria Math"/>
                  <w:sz w:val="28"/>
                  <w:szCs w:val="28"/>
                </w:rPr>
                <m:t>/2</m:t>
              </m:r>
            </m:e>
          </m:rad>
          <m:sSup>
            <m:sSupPr>
              <m:ctrlPr>
                <w:rPr>
                  <w:rFonts w:ascii="Cambria Math" w:hAnsi="Cambria Math"/>
                  <w:sz w:val="28"/>
                  <w:szCs w:val="28"/>
                </w:rPr>
              </m:ctrlPr>
            </m:sSupPr>
            <m:e>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[1+</m:t>
                  </m:r>
                  <m:sSup>
                    <m:sSupPr>
                      <m:ctrlPr>
                        <w:rPr>
                          <w:rFonts w:ascii="Cambria Math" w:hAnsi="Cambria Math"/>
                          <w:sz w:val="28"/>
                          <w:szCs w:val="28"/>
                        </w:rPr>
                      </m:ctrlPr>
                    </m:sSupPr>
                    <m:e>
                      <m:r>
                        <w:rPr>
                          <w:rFonts w:ascii="Cambria Math" w:hAnsi="Cambria Math"/>
                          <w:sz w:val="28"/>
                          <w:szCs w:val="28"/>
                        </w:rPr>
                        <m:t>(ω/ν</m:t>
                      </m:r>
                      <m:sSub>
                        <m:sSubPr>
                          <m:ctrlPr>
                            <w:rPr>
                              <w:rFonts w:ascii="Cambria Math" w:hAnsi="Cambria Math"/>
                              <w:sz w:val="28"/>
                              <w:szCs w:val="28"/>
                            </w:rPr>
                          </m:ctrlPr>
                        </m:sSubPr>
                        <m:e>
                          <m:r>
                            <w:rPr>
                              <w:rFonts w:ascii="Cambria Math" w:hAnsi="Cambria Math"/>
                              <w:sz w:val="28"/>
                              <w:szCs w:val="28"/>
                            </w:rPr>
                            <m:t>μ</m:t>
                          </m:r>
                        </m:e>
                        <m:sub>
                          <m:r>
                            <w:rPr>
                              <w:rFonts w:ascii="Cambria Math" w:hAnsi="Cambria Math"/>
                              <w:sz w:val="28"/>
                              <w:szCs w:val="28"/>
                            </w:rPr>
                            <m:t>a</m:t>
                          </m:r>
                        </m:sub>
                      </m:sSub>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m:t>
                  </m:r>
                </m:e>
                <m:sup>
                  <m:f>
                    <m:fPr>
                      <m:type m:val="lin"/>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2</m:t>
                      </m:r>
                    </m:den>
                  </m:f>
                </m:sup>
              </m:sSup>
              <m:r>
                <w:rPr>
                  <w:rFonts w:ascii="Cambria Math" w:hAnsi="Cambria Math"/>
                  <w:sz w:val="28"/>
                  <w:szCs w:val="28"/>
                </w:rPr>
                <m:t>+1}</m:t>
              </m:r>
            </m:e>
            <m:sup>
              <m:f>
                <m:fPr>
                  <m:type m:val="lin"/>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2</m:t>
                  </m:r>
                </m:den>
              </m:f>
            </m:sup>
          </m:sSup>
        </m:oMath>
      </m:oMathPara>
    </w:p>
    <w:p w14:paraId="564562C3" w14:textId="77777777" w:rsidR="00981EEC" w:rsidRPr="00981EEC" w:rsidRDefault="00981EEC" w:rsidP="00981EEC">
      <w:r w:rsidRPr="00981EEC">
        <w:t>(8)</w:t>
      </w:r>
    </w:p>
    <w:p w14:paraId="4A3B08FD" w14:textId="430A5CE7" w:rsidR="00EF5C6C" w:rsidRPr="00981EEC" w:rsidRDefault="00082EDD" w:rsidP="00981EEC">
      <m:oMathPara>
        <m:oMath>
          <m:r>
            <w:rPr>
              <w:rFonts w:ascii="Cambria Math" w:hAnsi="Cambria Math"/>
              <w:sz w:val="28"/>
              <w:szCs w:val="28"/>
            </w:rPr>
            <m:t>D=1/3(</m:t>
          </m:r>
          <m:sSub>
            <m:sSubPr>
              <m:ctrlPr>
                <w:rPr>
                  <w:rFonts w:ascii="Cambria Math" w:hAnsi="Cambria Math"/>
                  <w:sz w:val="28"/>
                  <w:szCs w:val="28"/>
                </w:rPr>
              </m:ctrlPr>
            </m:sSubPr>
            <m:e>
              <m:r>
                <w:rPr>
                  <w:rFonts w:ascii="Cambria Math" w:hAnsi="Cambria Math"/>
                  <w:sz w:val="28"/>
                  <w:szCs w:val="28"/>
                </w:rPr>
                <m:t>μ</m:t>
              </m:r>
            </m:e>
            <m:sub>
              <m:r>
                <w:rPr>
                  <w:rFonts w:ascii="Cambria Math" w:hAnsi="Cambria Math"/>
                  <w:sz w:val="28"/>
                  <w:szCs w:val="28"/>
                </w:rPr>
                <m:t>a</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μ</m:t>
              </m:r>
            </m:e>
            <m:sub>
              <m:r>
                <w:rPr>
                  <w:rFonts w:ascii="Cambria Math" w:hAnsi="Cambria Math"/>
                  <w:sz w:val="28"/>
                  <w:szCs w:val="28"/>
                </w:rPr>
                <m:t>s</m:t>
              </m:r>
            </m:sub>
            <m:sup>
              <m:r>
                <w:rPr>
                  <w:rFonts w:ascii="Cambria Math" w:hAnsi="Cambria Math"/>
                  <w:sz w:val="28"/>
                  <w:szCs w:val="28"/>
                </w:rPr>
                <m:t>'</m:t>
              </m:r>
            </m:sup>
          </m:sSubSup>
          <m:r>
            <w:rPr>
              <w:rFonts w:ascii="Cambria Math" w:hAnsi="Cambria Math"/>
              <w:sz w:val="28"/>
              <w:szCs w:val="28"/>
            </w:rPr>
            <m:t>)</m:t>
          </m:r>
        </m:oMath>
      </m:oMathPara>
    </w:p>
    <w:p w14:paraId="4E0608D4" w14:textId="77777777" w:rsidR="00981EEC" w:rsidRPr="00981EEC" w:rsidRDefault="00981EEC" w:rsidP="00981EEC">
      <w:r w:rsidRPr="00981EEC">
        <w:t>(9)</w:t>
      </w:r>
    </w:p>
    <w:p w14:paraId="588D8727" w14:textId="10C7C4E3" w:rsidR="00981EEC" w:rsidRPr="00981EEC" w:rsidRDefault="00981EEC" w:rsidP="00981EEC">
      <w:r w:rsidRPr="00981EEC">
        <w:t>and </w:t>
      </w:r>
      <m:oMath>
        <m:sSub>
          <m:sSubPr>
            <m:ctrlPr>
              <w:rPr>
                <w:rFonts w:ascii="Cambria Math" w:hAnsi="Cambria Math"/>
                <w:i/>
                <w:iCs/>
              </w:rPr>
            </m:ctrlPr>
          </m:sSubPr>
          <m:e>
            <m:r>
              <w:rPr>
                <w:rFonts w:ascii="Cambria Math" w:hAnsi="Cambria Math"/>
              </w:rPr>
              <m:t>A</m:t>
            </m:r>
          </m:e>
          <m:sub>
            <m:r>
              <w:rPr>
                <w:rFonts w:ascii="Cambria Math" w:hAnsi="Cambria Math"/>
                <w:vertAlign w:val="subscript"/>
              </w:rPr>
              <m:t>0</m:t>
            </m:r>
          </m:sub>
        </m:sSub>
      </m:oMath>
      <w:r w:rsidRPr="00981EEC">
        <w:t> is the net amplitude response of the instrument, </w:t>
      </w:r>
      <m:oMath>
        <m:sSub>
          <m:sSubPr>
            <m:ctrlPr>
              <w:rPr>
                <w:rFonts w:ascii="Cambria Math" w:hAnsi="Cambria Math"/>
                <w:i/>
                <w:iCs/>
              </w:rPr>
            </m:ctrlPr>
          </m:sSubPr>
          <m:e>
            <m:r>
              <w:rPr>
                <w:rFonts w:ascii="Cambria Math" w:hAnsi="Cambria Math"/>
              </w:rPr>
              <m:t>ϕ</m:t>
            </m:r>
          </m:e>
          <m:sub>
            <m:r>
              <w:rPr>
                <w:rFonts w:ascii="Cambria Math" w:hAnsi="Cambria Math"/>
                <w:vertAlign w:val="subscript"/>
              </w:rPr>
              <m:t>0</m:t>
            </m:r>
          </m:sub>
        </m:sSub>
      </m:oMath>
      <w:r w:rsidRPr="00981EEC">
        <w:t> is the initial phase shift due to the cables and electronics, </w:t>
      </w:r>
      <m:oMath>
        <m:sSub>
          <m:sSubPr>
            <m:ctrlPr>
              <w:rPr>
                <w:rFonts w:ascii="Cambria Math" w:hAnsi="Cambria Math"/>
                <w:i/>
              </w:rPr>
            </m:ctrlPr>
          </m:sSubPr>
          <m:e>
            <m:r>
              <w:rPr>
                <w:rFonts w:ascii="Cambria Math" w:hAnsi="Cambria Math"/>
              </w:rPr>
              <m:t>R</m:t>
            </m:r>
          </m:e>
          <m:sub>
            <m:r>
              <m:rPr>
                <m:sty m:val="p"/>
              </m:rPr>
              <w:rPr>
                <w:rFonts w:ascii="Cambria Math" w:hAnsi="Cambria Math"/>
              </w:rPr>
              <m:t>eff</m:t>
            </m:r>
          </m:sub>
        </m:sSub>
      </m:oMath>
      <w:r w:rsidRPr="00981EEC">
        <w:t> is an effective reflection coefficient (</w:t>
      </w:r>
      <m:oMath>
        <m:sSub>
          <m:sSubPr>
            <m:ctrlPr>
              <w:rPr>
                <w:rFonts w:ascii="Cambria Math" w:hAnsi="Cambria Math"/>
                <w:i/>
              </w:rPr>
            </m:ctrlPr>
          </m:sSubPr>
          <m:e>
            <m:r>
              <w:rPr>
                <w:rFonts w:ascii="Cambria Math" w:hAnsi="Cambria Math"/>
              </w:rPr>
              <m:t>R</m:t>
            </m:r>
          </m:e>
          <m:sub>
            <m:r>
              <m:rPr>
                <m:sty m:val="p"/>
              </m:rPr>
              <w:rPr>
                <w:rFonts w:ascii="Cambria Math" w:hAnsi="Cambria Math"/>
              </w:rPr>
              <m:t>eff</m:t>
            </m:r>
          </m:sub>
        </m:sSub>
        <m:r>
          <w:rPr>
            <w:rFonts w:ascii="Cambria Math" w:hAnsi="Cambria Math"/>
          </w:rPr>
          <m:t>= 0.431</m:t>
        </m:r>
      </m:oMath>
      <w:r w:rsidRPr="00981EEC">
        <w:t xml:space="preserve"> for air-water and 0.493 for air-tissue interfaces), </w:t>
      </w:r>
      <m:oMath>
        <m:r>
          <w:rPr>
            <w:rFonts w:ascii="Cambria Math" w:hAnsi="Cambria Math"/>
          </w:rPr>
          <m:t>ν</m:t>
        </m:r>
      </m:oMath>
      <w:r w:rsidRPr="00981EEC">
        <w:t> is the velocity of light in the medium, and </w:t>
      </w:r>
      <m:oMath>
        <m:r>
          <w:rPr>
            <w:rFonts w:ascii="Cambria Math" w:hAnsi="Cambria Math"/>
          </w:rPr>
          <m:t>ω</m:t>
        </m:r>
        <m:r>
          <w:rPr>
            <w:rFonts w:ascii="Cambria Math" w:hAnsi="Cambria Math"/>
          </w:rPr>
          <m:t> = 2π</m:t>
        </m:r>
        <m:r>
          <w:rPr>
            <w:rFonts w:ascii="Cambria Math" w:hAnsi="Cambria Math"/>
          </w:rPr>
          <m:t>f</m:t>
        </m:r>
      </m:oMath>
      <w:r w:rsidRPr="00981EEC">
        <w:t> is the angular modulation frequency, where </w:t>
      </w:r>
      <m:oMath>
        <m:r>
          <w:rPr>
            <w:rFonts w:ascii="Cambria Math" w:hAnsi="Cambria Math"/>
          </w:rPr>
          <m:t>f</m:t>
        </m:r>
      </m:oMath>
      <w:r w:rsidRPr="00981EEC">
        <w:t> is the modulation radio frequency. The major modification is that an initial phase shift </w:t>
      </w:r>
      <m:oMath>
        <m:sSub>
          <m:sSubPr>
            <m:ctrlPr>
              <w:rPr>
                <w:rFonts w:ascii="Cambria Math" w:hAnsi="Cambria Math"/>
                <w:i/>
                <w:iCs/>
              </w:rPr>
            </m:ctrlPr>
          </m:sSubPr>
          <m:e>
            <m:r>
              <w:rPr>
                <w:rFonts w:ascii="Cambria Math" w:hAnsi="Cambria Math"/>
              </w:rPr>
              <m:t>ϕ</m:t>
            </m:r>
          </m:e>
          <m:sub>
            <m:r>
              <w:rPr>
                <w:rFonts w:ascii="Cambria Math" w:hAnsi="Cambria Math"/>
                <w:vertAlign w:val="subscript"/>
              </w:rPr>
              <m:t>0</m:t>
            </m:r>
          </m:sub>
        </m:sSub>
      </m:oMath>
      <w:r w:rsidRPr="00981EEC">
        <w:t> due to cables and electronics compared with that of the local reference RF signal is added to the total phase.</w:t>
      </w:r>
    </w:p>
    <w:p w14:paraId="4886D0B7" w14:textId="714D342F" w:rsidR="00981EEC" w:rsidRPr="00981EEC" w:rsidRDefault="00981EEC" w:rsidP="00981EEC">
      <w:r w:rsidRPr="00981EEC">
        <w:t xml:space="preserve">Assuming that the two source fibers had identical signal attenuation and initial phase delay, the relative amplitude attenuation </w:t>
      </w:r>
      <m:oMath>
        <m:r>
          <w:rPr>
            <w:rFonts w:ascii="Cambria Math" w:hAnsi="Cambria Math"/>
          </w:rPr>
          <m:t>(</m:t>
        </m:r>
        <m:r>
          <m:rPr>
            <m:sty m:val="p"/>
          </m:rPr>
          <w:rPr>
            <w:rFonts w:ascii="Cambria Math" w:hAnsi="Cambria Math"/>
          </w:rPr>
          <m:t>ΔAC</m:t>
        </m:r>
        <m:r>
          <w:rPr>
            <w:rFonts w:ascii="Cambria Math" w:hAnsi="Cambria Math"/>
          </w:rPr>
          <m:t xml:space="preserve"> (</m:t>
        </m:r>
        <m:r>
          <w:rPr>
            <w:rFonts w:ascii="Cambria Math" w:hAnsi="Cambria Math"/>
          </w:rPr>
          <m:t>λ, ω</m:t>
        </m:r>
        <m:r>
          <w:rPr>
            <w:rFonts w:ascii="Cambria Math" w:hAnsi="Cambria Math"/>
          </w:rPr>
          <m:t>))</m:t>
        </m:r>
      </m:oMath>
      <w:r w:rsidRPr="00981EEC">
        <w:t xml:space="preserve"> was obtained by dividing the amplitude of the long SDS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2</m:t>
            </m:r>
          </m:sub>
        </m:sSub>
      </m:oMath>
      <w:r w:rsidRPr="00981EEC">
        <w:t xml:space="preserve">) by that of the short SDS </w:t>
      </w:r>
      <m:oMath>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vertAlign w:val="subscript"/>
              </w:rPr>
              <m:t>1</m:t>
            </m:r>
          </m:sub>
        </m:sSub>
        <m:r>
          <w:rPr>
            <w:rFonts w:ascii="Cambria Math" w:hAnsi="Cambria Math"/>
          </w:rPr>
          <m:t>)</m:t>
        </m:r>
      </m:oMath>
      <w:r w:rsidRPr="00981EEC">
        <w:t xml:space="preserve"> and the relative phase-shift </w:t>
      </w:r>
      <m:oMath>
        <m:r>
          <w:rPr>
            <w:rFonts w:ascii="Cambria Math" w:hAnsi="Cambria Math"/>
          </w:rPr>
          <m:t>(</m:t>
        </m:r>
        <m:r>
          <m:rPr>
            <m:sty m:val="p"/>
          </m:rPr>
          <w:rPr>
            <w:rFonts w:ascii="Cambria Math" w:hAnsi="Cambria Math"/>
          </w:rPr>
          <m:t>Δ</m:t>
        </m:r>
        <m:r>
          <w:rPr>
            <w:rFonts w:ascii="Cambria Math" w:hAnsi="Cambria Math"/>
          </w:rPr>
          <m:t>Φ</m:t>
        </m:r>
        <m:r>
          <w:rPr>
            <w:rFonts w:ascii="Cambria Math" w:hAnsi="Cambria Math"/>
          </w:rPr>
          <m:t>(</m:t>
        </m:r>
        <m:r>
          <w:rPr>
            <w:rFonts w:ascii="Cambria Math" w:hAnsi="Cambria Math"/>
          </w:rPr>
          <m:t>λ, ω</m:t>
        </m:r>
        <m:r>
          <w:rPr>
            <w:rFonts w:ascii="Cambria Math" w:hAnsi="Cambria Math"/>
          </w:rPr>
          <m:t>))</m:t>
        </m:r>
      </m:oMath>
      <w:r w:rsidRPr="00981EEC">
        <w:t xml:space="preserve"> was calculated as the difference between the phases of the two SDSs:</w:t>
      </w:r>
    </w:p>
    <w:p w14:paraId="03E4B1EB" w14:textId="3CB0F8A5" w:rsidR="007F11C8" w:rsidRPr="00981EEC" w:rsidRDefault="007F11C8" w:rsidP="00981EEC">
      <m:oMathPara>
        <m:oMath>
          <m:eqArr>
            <m:eqArrPr>
              <m:ctrlPr>
                <w:rPr>
                  <w:rFonts w:ascii="Cambria Math" w:hAnsi="Cambria Math"/>
                  <w:sz w:val="24"/>
                  <w:szCs w:val="24"/>
                </w:rPr>
              </m:ctrlPr>
            </m:eqArrPr>
            <m:e>
              <m:r>
                <m:rPr>
                  <m:sty m:val="p"/>
                </m:rPr>
                <w:rPr>
                  <w:rFonts w:ascii="Cambria Math" w:hAnsi="Cambria Math"/>
                  <w:sz w:val="24"/>
                  <w:szCs w:val="24"/>
                </w:rPr>
                <m:t>Δ</m:t>
              </m:r>
              <m:r>
                <m:rPr>
                  <m:nor/>
                </m:rPr>
                <w:rPr>
                  <w:sz w:val="24"/>
                  <w:szCs w:val="24"/>
                </w:rPr>
                <m:t>AC</m:t>
              </m:r>
              <m:r>
                <w:rPr>
                  <w:rFonts w:ascii="Cambria Math" w:hAnsi="Cambria Math"/>
                  <w:sz w:val="24"/>
                  <w:szCs w:val="24"/>
                </w:rPr>
                <m:t>(λ,ω)=</m:t>
              </m:r>
              <m:r>
                <m:rPr>
                  <m:nor/>
                </m:rPr>
                <w:rPr>
                  <w:sz w:val="24"/>
                  <w:szCs w:val="24"/>
                </w:rPr>
                <m:t>AC</m:t>
              </m:r>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,λ,ω)/</m:t>
              </m:r>
              <m:r>
                <m:rPr>
                  <m:nor/>
                </m:rPr>
                <w:rPr>
                  <w:sz w:val="24"/>
                  <w:szCs w:val="24"/>
                </w:rPr>
                <m:t>AC</m:t>
              </m:r>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,λ,ω)</m:t>
              </m:r>
            </m:e>
            <m:e>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m:t>
                  </m:r>
                  <m:r>
                    <m:rPr>
                      <m:nor/>
                    </m:rPr>
                    <w:rPr>
                      <w:sz w:val="24"/>
                      <w:szCs w:val="24"/>
                    </w:rPr>
                    <m:t>REAL</m:t>
                  </m:r>
                  <m:sSup>
                    <m:sSupPr>
                      <m:ctrlPr>
                        <w:rPr>
                          <w:rFonts w:ascii="Cambria Math" w:hAnsi="Cambria Math"/>
                          <w:sz w:val="24"/>
                          <w:szCs w:val="24"/>
                        </w:rPr>
                      </m:ctrlPr>
                    </m:sSupPr>
                    <m:e>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,λ,ω)</m:t>
                      </m:r>
                    </m:e>
                    <m:sup>
                      <m:r>
                        <w:rPr>
                          <w:rFonts w:ascii="Cambria Math" w:hAnsi="Cambria Math"/>
                          <w:sz w:val="24"/>
                          <w:szCs w:val="24"/>
                        </w:rPr>
                        <m:t>2</m:t>
                      </m:r>
                    </m:sup>
                  </m:sSup>
                  <m:r>
                    <w:rPr>
                      <w:rFonts w:ascii="Cambria Math" w:hAnsi="Cambria Math"/>
                      <w:sz w:val="24"/>
                      <w:szCs w:val="24"/>
                    </w:rPr>
                    <m:t>+</m:t>
                  </m:r>
                  <m:r>
                    <m:rPr>
                      <m:nor/>
                    </m:rPr>
                    <w:rPr>
                      <w:sz w:val="24"/>
                      <w:szCs w:val="24"/>
                    </w:rPr>
                    <m:t>IMAG</m:t>
                  </m:r>
                  <m:sSup>
                    <m:sSupPr>
                      <m:ctrlPr>
                        <w:rPr>
                          <w:rFonts w:ascii="Cambria Math" w:hAnsi="Cambria Math"/>
                          <w:sz w:val="24"/>
                          <w:szCs w:val="24"/>
                        </w:rPr>
                      </m:ctrlPr>
                    </m:sSupPr>
                    <m:e>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,λ,ω)</m:t>
                      </m:r>
                    </m:e>
                    <m:sup>
                      <m:r>
                        <w:rPr>
                          <w:rFonts w:ascii="Cambria Math" w:hAnsi="Cambria Math"/>
                          <w:sz w:val="24"/>
                          <w:szCs w:val="24"/>
                        </w:rPr>
                        <m:t>2</m:t>
                      </m:r>
                    </m:sup>
                  </m:sSup>
                  <m:r>
                    <w:rPr>
                      <w:rFonts w:ascii="Cambria Math" w:hAnsi="Cambria Math"/>
                      <w:sz w:val="24"/>
                      <w:szCs w:val="24"/>
                    </w:rPr>
                    <m:t>]/[</m:t>
                  </m:r>
                  <m:r>
                    <m:rPr>
                      <m:nor/>
                    </m:rPr>
                    <w:rPr>
                      <w:sz w:val="24"/>
                      <w:szCs w:val="24"/>
                    </w:rPr>
                    <m:t>REAL</m:t>
                  </m:r>
                  <m:sSup>
                    <m:sSupPr>
                      <m:ctrlPr>
                        <w:rPr>
                          <w:rFonts w:ascii="Cambria Math" w:hAnsi="Cambria Math"/>
                          <w:sz w:val="24"/>
                          <w:szCs w:val="24"/>
                        </w:rPr>
                      </m:ctrlPr>
                    </m:sSupPr>
                    <m:e>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,λ,ω)</m:t>
                      </m:r>
                    </m:e>
                    <m:sup>
                      <m:r>
                        <w:rPr>
                          <w:rFonts w:ascii="Cambria Math" w:hAnsi="Cambria Math"/>
                          <w:sz w:val="24"/>
                          <w:szCs w:val="24"/>
                        </w:rPr>
                        <m:t>2</m:t>
                      </m:r>
                    </m:sup>
                  </m:sSup>
                  <m:r>
                    <w:rPr>
                      <w:rFonts w:ascii="Cambria Math" w:hAnsi="Cambria Math"/>
                      <w:sz w:val="24"/>
                      <w:szCs w:val="24"/>
                    </w:rPr>
                    <m:t>+</m:t>
                  </m:r>
                  <m:r>
                    <m:rPr>
                      <m:nor/>
                    </m:rPr>
                    <w:rPr>
                      <w:sz w:val="24"/>
                      <w:szCs w:val="24"/>
                    </w:rPr>
                    <m:t>IMAG</m:t>
                  </m:r>
                  <m:sSup>
                    <m:sSupPr>
                      <m:ctrlPr>
                        <w:rPr>
                          <w:rFonts w:ascii="Cambria Math" w:hAnsi="Cambria Math"/>
                          <w:sz w:val="24"/>
                          <w:szCs w:val="24"/>
                        </w:rPr>
                      </m:ctrlPr>
                    </m:sSupPr>
                    <m:e>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,λ,ω)</m:t>
                      </m:r>
                    </m:e>
                    <m:sup>
                      <m:r>
                        <w:rPr>
                          <w:rFonts w:ascii="Cambria Math" w:hAnsi="Cambria Math"/>
                          <w:sz w:val="24"/>
                          <w:szCs w:val="24"/>
                        </w:rPr>
                        <m:t>2</m:t>
                      </m:r>
                    </m:sup>
                  </m:sSup>
                  <m:r>
                    <w:rPr>
                      <w:rFonts w:ascii="Cambria Math" w:hAnsi="Cambria Math"/>
                      <w:sz w:val="24"/>
                      <w:szCs w:val="24"/>
                    </w:rPr>
                    <m:t>]}</m:t>
                  </m:r>
                </m:e>
                <m:sup>
                  <m:f>
                    <m:fPr>
                      <m:type m:val="lin"/>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2</m:t>
                      </m:r>
                    </m:den>
                  </m:f>
                </m:sup>
              </m:sSup>
            </m:e>
          </m:eqArr>
        </m:oMath>
      </m:oMathPara>
    </w:p>
    <w:p w14:paraId="19FE36B1" w14:textId="77777777" w:rsidR="00981EEC" w:rsidRPr="00981EEC" w:rsidRDefault="00981EEC" w:rsidP="00981EEC">
      <w:r w:rsidRPr="00981EEC">
        <w:t>(10)</w:t>
      </w:r>
    </w:p>
    <w:p w14:paraId="3E20342D" w14:textId="7060F778" w:rsidR="007F11C8" w:rsidRPr="00981EEC" w:rsidRDefault="009F7F7A" w:rsidP="00981EEC">
      <m:oMathPara>
        <m:oMath>
          <m:eqArr>
            <m:eqArrPr>
              <m:ctrlPr>
                <w:rPr>
                  <w:rFonts w:ascii="Cambria Math" w:hAnsi="Cambria Math"/>
                  <w:sz w:val="24"/>
                  <w:szCs w:val="24"/>
                </w:rPr>
              </m:ctrlPr>
            </m:eqArrPr>
            <m:e>
              <m:r>
                <m:rPr>
                  <m:sty m:val="p"/>
                </m:rPr>
                <w:rPr>
                  <w:rFonts w:ascii="Cambria Math" w:hAnsi="Cambria Math"/>
                  <w:sz w:val="24"/>
                  <w:szCs w:val="24"/>
                </w:rPr>
                <m:t>Δ</m:t>
              </m:r>
              <m:r>
                <w:rPr>
                  <w:rFonts w:ascii="Cambria Math" w:hAnsi="Cambria Math"/>
                  <w:sz w:val="24"/>
                  <w:szCs w:val="24"/>
                </w:rPr>
                <m:t>ϕ(λ,ω)=ϕ(</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,λ,ω)-ϕ(</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,λ,ω)</m:t>
              </m:r>
            </m:e>
            <m:e>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k</m:t>
                  </m:r>
                </m:e>
                <m:sub>
                  <m:r>
                    <m:rPr>
                      <m:nor/>
                    </m:rPr>
                    <w:rPr>
                      <w:sz w:val="24"/>
                      <w:szCs w:val="24"/>
                    </w:rPr>
                    <m:t>imag</m:t>
                  </m:r>
                </m:sub>
              </m:sSub>
              <m:d>
                <m:dPr>
                  <m:ctrlPr>
                    <w:rPr>
                      <w:rFonts w:ascii="Cambria Math" w:hAnsi="Cambria Math"/>
                      <w:i/>
                      <w:sz w:val="24"/>
                      <w:szCs w:val="24"/>
                    </w:rPr>
                  </m:ctrlPr>
                </m:dPr>
                <m:e>
                  <m:r>
                    <w:rPr>
                      <w:rFonts w:ascii="Cambria Math" w:hAnsi="Cambria Math"/>
                      <w:sz w:val="24"/>
                      <w:szCs w:val="24"/>
                    </w:rPr>
                    <m:t>λ,ω</m:t>
                  </m:r>
                </m:e>
              </m:d>
              <m:d>
                <m:dPr>
                  <m:begChr m:val="["/>
                  <m:endChr m:val="]"/>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0</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,λ</m:t>
                      </m:r>
                    </m:e>
                  </m:d>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0</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,λ</m:t>
                      </m:r>
                    </m:e>
                  </m:d>
                </m:e>
              </m:d>
              <m:r>
                <w:rPr>
                  <w:rFonts w:ascii="Cambria Math" w:hAnsi="Cambria Math"/>
                  <w:sz w:val="24"/>
                  <w:szCs w:val="24"/>
                </w:rPr>
                <m:t>-</m:t>
              </m:r>
              <m:func>
                <m:funcPr>
                  <m:ctrlPr>
                    <w:rPr>
                      <w:rFonts w:ascii="Cambria Math" w:hAnsi="Cambria Math"/>
                      <w:sz w:val="24"/>
                      <w:szCs w:val="24"/>
                    </w:rPr>
                  </m:ctrlPr>
                </m:funcPr>
                <m:fName>
                  <m:r>
                    <m:rPr>
                      <m:sty m:val="p"/>
                    </m:rPr>
                    <w:rPr>
                      <w:rFonts w:ascii="Cambria Math" w:hAnsi="Cambria Math"/>
                      <w:sz w:val="24"/>
                      <w:szCs w:val="24"/>
                    </w:rPr>
                    <m:t>arctan</m:t>
                  </m:r>
                  <m:ctrlPr>
                    <w:rPr>
                      <w:rFonts w:ascii="Cambria Math" w:hAnsi="Cambria Math"/>
                      <w:i/>
                      <w:sz w:val="24"/>
                      <w:szCs w:val="24"/>
                    </w:rPr>
                  </m:ctrlPr>
                </m:fName>
                <m:e>
                  <m:d>
                    <m:dPr>
                      <m:begChr m:val="["/>
                      <m:endChr m:val="]"/>
                      <m:ctrlPr>
                        <w:rPr>
                          <w:rFonts w:ascii="Cambria Math" w:hAnsi="Cambria Math"/>
                          <w:i/>
                          <w:sz w:val="24"/>
                          <w:szCs w:val="24"/>
                        </w:rPr>
                      </m:ctrlPr>
                    </m:dPr>
                    <m:e>
                      <m:f>
                        <m:fPr>
                          <m:type m:val="lin"/>
                          <m:ctrlPr>
                            <w:rPr>
                              <w:rFonts w:ascii="Cambria Math" w:hAnsi="Cambria Math"/>
                              <w:i/>
                              <w:sz w:val="24"/>
                              <w:szCs w:val="24"/>
                            </w:rPr>
                          </m:ctrlPr>
                        </m:fPr>
                        <m:num>
                          <m:r>
                            <m:rPr>
                              <m:nor/>
                            </m:rPr>
                            <w:rPr>
                              <w:sz w:val="24"/>
                              <w:szCs w:val="24"/>
                            </w:rPr>
                            <m:t>IMAG</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,λ,ω</m:t>
                              </m:r>
                            </m:e>
                          </m:d>
                        </m:num>
                        <m:den>
                          <m:r>
                            <m:rPr>
                              <m:nor/>
                            </m:rPr>
                            <w:rPr>
                              <w:sz w:val="24"/>
                              <w:szCs w:val="24"/>
                            </w:rPr>
                            <m:t>REAL</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,λ,ω</m:t>
                              </m:r>
                            </m:e>
                          </m:d>
                        </m:den>
                      </m:f>
                    </m:e>
                  </m:d>
                </m:e>
              </m:func>
              <m:r>
                <w:rPr>
                  <w:rFonts w:ascii="Cambria Math" w:hAnsi="Cambria Math"/>
                  <w:sz w:val="24"/>
                  <w:szCs w:val="24"/>
                </w:rPr>
                <m:t>+</m:t>
              </m:r>
              <m:ctrlPr>
                <w:rPr>
                  <w:rFonts w:ascii="Cambria Math" w:eastAsia="Cambria Math" w:hAnsi="Cambria Math" w:cs="Cambria Math"/>
                  <w:i/>
                  <w:sz w:val="24"/>
                  <w:szCs w:val="24"/>
                </w:rPr>
              </m:ctrlPr>
            </m:e>
            <m:e>
              <m:r>
                <w:rPr>
                  <w:rFonts w:ascii="Cambria Math" w:hAnsi="Cambria Math"/>
                  <w:sz w:val="24"/>
                  <w:szCs w:val="24"/>
                </w:rPr>
                <m:t>arctan[</m:t>
              </m:r>
              <m:r>
                <m:rPr>
                  <m:nor/>
                </m:rPr>
                <w:rPr>
                  <w:sz w:val="24"/>
                  <w:szCs w:val="24"/>
                </w:rPr>
                <m:t>IMAG</m:t>
              </m:r>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,λ,ω)/</m:t>
              </m:r>
              <m:r>
                <m:rPr>
                  <m:nor/>
                </m:rPr>
                <w:rPr>
                  <w:sz w:val="24"/>
                  <w:szCs w:val="24"/>
                </w:rPr>
                <m:t>REAL</m:t>
              </m:r>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,λ,ω)]</m:t>
              </m:r>
            </m:e>
          </m:eqArr>
        </m:oMath>
      </m:oMathPara>
    </w:p>
    <w:p w14:paraId="2CDDAD61" w14:textId="77777777" w:rsidR="00981EEC" w:rsidRPr="00981EEC" w:rsidRDefault="00981EEC" w:rsidP="00981EEC">
      <w:r w:rsidRPr="00981EEC">
        <w:t>(11)</w:t>
      </w:r>
    </w:p>
    <w:p w14:paraId="4F512440" w14:textId="0271C6A5" w:rsidR="00981EEC" w:rsidRPr="00981EEC" w:rsidRDefault="00981EEC" w:rsidP="00981EEC">
      <w:r w:rsidRPr="00981EEC">
        <w:t>By using two source-detector separations, the source term </w:t>
      </w:r>
      <m:oMath>
        <m:sSub>
          <m:sSubPr>
            <m:ctrlPr>
              <w:rPr>
                <w:rFonts w:ascii="Cambria Math" w:hAnsi="Cambria Math"/>
                <w:i/>
                <w:iCs/>
              </w:rPr>
            </m:ctrlPr>
          </m:sSubPr>
          <m:e>
            <m:r>
              <w:rPr>
                <w:rFonts w:ascii="Cambria Math" w:hAnsi="Cambria Math"/>
              </w:rPr>
              <m:t>A</m:t>
            </m:r>
          </m:e>
          <m:sub>
            <m:r>
              <w:rPr>
                <w:rFonts w:ascii="Cambria Math" w:hAnsi="Cambria Math"/>
                <w:vertAlign w:val="subscript"/>
              </w:rPr>
              <m:t>0</m:t>
            </m:r>
          </m:sub>
        </m:sSub>
      </m:oMath>
      <w:r w:rsidRPr="00981EEC">
        <w:t> and initial phase shift </w:t>
      </w:r>
      <m:oMath>
        <m:sSub>
          <m:sSubPr>
            <m:ctrlPr>
              <w:rPr>
                <w:rFonts w:ascii="Cambria Math" w:hAnsi="Cambria Math"/>
                <w:i/>
                <w:iCs/>
              </w:rPr>
            </m:ctrlPr>
          </m:sSubPr>
          <m:e>
            <m:r>
              <w:rPr>
                <w:rFonts w:ascii="Cambria Math" w:hAnsi="Cambria Math"/>
              </w:rPr>
              <m:t>ϕ</m:t>
            </m:r>
          </m:e>
          <m:sub>
            <m:r>
              <w:rPr>
                <w:rFonts w:ascii="Cambria Math" w:hAnsi="Cambria Math"/>
                <w:vertAlign w:val="subscript"/>
              </w:rPr>
              <m:t>0</m:t>
            </m:r>
          </m:sub>
        </m:sSub>
      </m:oMath>
      <w:r w:rsidRPr="00981EEC">
        <w:t> can be removed, which makes the system inse</w:t>
      </w:r>
      <w:proofErr w:type="spellStart"/>
      <w:r w:rsidRPr="00981EEC">
        <w:t>nsitive</w:t>
      </w:r>
      <w:proofErr w:type="spellEnd"/>
      <w:r w:rsidRPr="00981EEC">
        <w:t xml:space="preserve"> to the absolute instrument throughput and phase shift as well as fluctuations. The relative attenuation and the phase-shift of these photon density waves in a semi-finite medium are determined by three wave characteristics, the modulation frequency </w:t>
      </w:r>
      <m:oMath>
        <m:r>
          <w:rPr>
            <w:rFonts w:ascii="Cambria Math" w:hAnsi="Cambria Math"/>
          </w:rPr>
          <m:t>f</m:t>
        </m:r>
      </m:oMath>
      <w:r w:rsidRPr="00981EEC">
        <w:rPr>
          <w:i/>
          <w:iCs/>
        </w:rPr>
        <w:t>,</w:t>
      </w:r>
      <w:r w:rsidRPr="00981EEC">
        <w:t> the source-detector separations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1</m:t>
            </m:r>
          </m:sub>
        </m:sSub>
      </m:oMath>
      <w:r w:rsidRPr="00981EEC">
        <w:t> and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2</m:t>
            </m:r>
          </m:sub>
        </m:sSub>
      </m:oMath>
      <w:r w:rsidRPr="00981EEC">
        <w:t>), and the medium characteristics (</w:t>
      </w:r>
      <m:oMath>
        <m:sSub>
          <m:sSubPr>
            <m:ctrlPr>
              <w:rPr>
                <w:rFonts w:ascii="Cambria Math" w:hAnsi="Cambria Math"/>
                <w:i/>
                <w:iCs/>
              </w:rPr>
            </m:ctrlPr>
          </m:sSubPr>
          <m:e>
            <m:r>
              <w:rPr>
                <w:rFonts w:ascii="Cambria Math" w:hAnsi="Cambria Math"/>
              </w:rPr>
              <m:t>μ</m:t>
            </m:r>
          </m:e>
          <m:sub>
            <m:r>
              <w:rPr>
                <w:rFonts w:ascii="Cambria Math" w:hAnsi="Cambria Math"/>
                <w:vertAlign w:val="subscript"/>
              </w:rPr>
              <m:t>a</m:t>
            </m:r>
          </m:sub>
        </m:sSub>
      </m:oMath>
      <w:r w:rsidRPr="00981EEC">
        <w:t> and </w:t>
      </w: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oMath>
      <w:r w:rsidRPr="00981EEC">
        <w:t>).</w:t>
      </w:r>
    </w:p>
    <w:p w14:paraId="76E8860F" w14:textId="46348E2C" w:rsidR="00981EEC" w:rsidRPr="00981EEC" w:rsidRDefault="00981EEC" w:rsidP="00981EEC">
      <w:r w:rsidRPr="00981EEC">
        <w:t>The tissue or phantom optical properties </w:t>
      </w: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r>
          <w:rPr>
            <w:rFonts w:ascii="Cambria Math" w:hAnsi="Cambria Math"/>
          </w:rPr>
          <m:t>(λ)</m:t>
        </m:r>
      </m:oMath>
      <w:r w:rsidRPr="00981EEC">
        <w:t> at each wavelength </w:t>
      </w:r>
      <m:oMath>
        <m:r>
          <w:rPr>
            <w:rFonts w:ascii="Cambria Math" w:hAnsi="Cambria Math"/>
          </w:rPr>
          <m:t>λi</m:t>
        </m:r>
      </m:oMath>
      <w:r w:rsidRPr="00981EEC">
        <w:t> were independently extracted by fitting the measured relative diffuse reflectance data to the theoretical model based on </w:t>
      </w:r>
      <w:proofErr w:type="spellStart"/>
      <w:r w:rsidRPr="0020536E">
        <w:t>Eqs</w:t>
      </w:r>
      <w:proofErr w:type="spellEnd"/>
      <w:r w:rsidRPr="0020536E">
        <w:t>. (3)</w:t>
      </w:r>
      <w:proofErr w:type="gramStart"/>
      <w:r w:rsidRPr="00981EEC">
        <w:t>–</w:t>
      </w:r>
      <w:r w:rsidRPr="0020536E">
        <w:t>(</w:t>
      </w:r>
      <w:proofErr w:type="gramEnd"/>
      <w:r w:rsidRPr="0020536E">
        <w:t>11)</w:t>
      </w:r>
      <w:r w:rsidRPr="00981EEC">
        <w:t xml:space="preserve">. The data analysis algorithm was implemented by a MATLAB (MathWorks, Inc., Natick, MA) script node in LabVIEW (National Instruments Corp., Austin, TX). A Levenberg-Marquardt nonlinear least square minimization algorithm was adapted to simultaneously fit the relative amplitude </w:t>
      </w:r>
      <m:oMath>
        <m:r>
          <m:rPr>
            <m:sty m:val="p"/>
          </m:rPr>
          <w:rPr>
            <w:rFonts w:ascii="Cambria Math" w:hAnsi="Cambria Math"/>
          </w:rPr>
          <m:t>ΔAC</m:t>
        </m:r>
        <m:r>
          <w:rPr>
            <w:rFonts w:ascii="Cambria Math" w:hAnsi="Cambria Math"/>
          </w:rPr>
          <m:t xml:space="preserve"> (</m:t>
        </m:r>
        <m:r>
          <w:rPr>
            <w:rFonts w:ascii="Cambria Math" w:hAnsi="Cambria Math"/>
          </w:rPr>
          <m:t>λ</m:t>
        </m:r>
        <m:r>
          <w:rPr>
            <w:rFonts w:ascii="Cambria Math" w:hAnsi="Cambria Math"/>
          </w:rPr>
          <m:t>, </m:t>
        </m:r>
        <m:r>
          <w:rPr>
            <w:rFonts w:ascii="Cambria Math" w:hAnsi="Cambria Math"/>
          </w:rPr>
          <m:t>ω</m:t>
        </m:r>
        <m:r>
          <w:rPr>
            <w:rFonts w:ascii="Cambria Math" w:hAnsi="Cambria Math"/>
          </w:rPr>
          <m:t>)</m:t>
        </m:r>
      </m:oMath>
      <w:r w:rsidRPr="00981EEC">
        <w:t xml:space="preserve"> with a weight </w:t>
      </w:r>
      <m:oMath>
        <m:r>
          <w:rPr>
            <w:rFonts w:ascii="Cambria Math" w:hAnsi="Cambria Math"/>
          </w:rPr>
          <m:t>α</m:t>
        </m:r>
      </m:oMath>
      <w:r w:rsidRPr="00981EEC">
        <w:t> and ph</w:t>
      </w:r>
      <w:proofErr w:type="spellStart"/>
      <w:r w:rsidRPr="00981EEC">
        <w:t>ase</w:t>
      </w:r>
      <w:proofErr w:type="spellEnd"/>
      <w:r w:rsidRPr="00981EEC">
        <w:t xml:space="preserve">-shift </w:t>
      </w:r>
      <m:oMath>
        <m:r>
          <m:rPr>
            <m:sty m:val="p"/>
          </m:rPr>
          <w:rPr>
            <w:rFonts w:ascii="Cambria Math" w:hAnsi="Cambria Math"/>
          </w:rPr>
          <m:t>Δ</m:t>
        </m:r>
        <m:r>
          <w:rPr>
            <w:rFonts w:ascii="Cambria Math" w:hAnsi="Cambria Math"/>
          </w:rPr>
          <m:t>Φ</m:t>
        </m:r>
        <m:r>
          <w:rPr>
            <w:rFonts w:ascii="Cambria Math" w:hAnsi="Cambria Math"/>
          </w:rPr>
          <m:t> (</m:t>
        </m:r>
        <m:r>
          <w:rPr>
            <w:rFonts w:ascii="Cambria Math" w:hAnsi="Cambria Math"/>
          </w:rPr>
          <m:t>λ, ω</m:t>
        </m:r>
        <m:r>
          <w:rPr>
            <w:rFonts w:ascii="Cambria Math" w:hAnsi="Cambria Math"/>
          </w:rPr>
          <m:t>)</m:t>
        </m:r>
      </m:oMath>
      <w:r w:rsidRPr="00981EEC">
        <w:t xml:space="preserve"> with a weight </w:t>
      </w:r>
      <m:oMath>
        <m:r>
          <w:rPr>
            <w:rFonts w:ascii="Cambria Math" w:hAnsi="Cambria Math"/>
          </w:rPr>
          <m:t>(1 - </m:t>
        </m:r>
        <m:r>
          <w:rPr>
            <w:rFonts w:ascii="Cambria Math" w:hAnsi="Cambria Math"/>
          </w:rPr>
          <m:t>α</m:t>
        </m:r>
        <m:r>
          <w:rPr>
            <w:rFonts w:ascii="Cambria Math" w:hAnsi="Cambria Math"/>
          </w:rPr>
          <m:t>)</m:t>
        </m:r>
      </m:oMath>
      <w:r w:rsidRPr="00981EEC">
        <w:t>. An optimal </w:t>
      </w:r>
      <m:oMath>
        <m:r>
          <w:rPr>
            <w:rFonts w:ascii="Cambria Math" w:hAnsi="Cambria Math"/>
          </w:rPr>
          <m:t>α</m:t>
        </m:r>
        <m:r>
          <w:rPr>
            <w:rFonts w:ascii="Cambria Math" w:hAnsi="Cambria Math"/>
          </w:rPr>
          <m:t> = 0.8</m:t>
        </m:r>
      </m:oMath>
      <w:r w:rsidRPr="00981EEC">
        <w:t xml:space="preserve"> has been used for both the phantom and animal studies described in </w:t>
      </w:r>
      <w:r w:rsidRPr="00981EEC">
        <w:lastRenderedPageBreak/>
        <w:t xml:space="preserve">this paper. Various initial guesses of </w:t>
      </w:r>
      <m:oMath>
        <m:r>
          <w:rPr>
            <w:rFonts w:ascii="Cambria Math" w:hAnsi="Cambria Math"/>
          </w:rPr>
          <m:t>{</m:t>
        </m:r>
        <m:sSub>
          <m:sSubPr>
            <m:ctrlPr>
              <w:rPr>
                <w:rFonts w:ascii="Cambria Math" w:hAnsi="Cambria Math"/>
                <w:i/>
                <w:iCs/>
              </w:rPr>
            </m:ctrlPr>
          </m:sSubPr>
          <m:e>
            <m:r>
              <w:rPr>
                <w:rFonts w:ascii="Cambria Math" w:hAnsi="Cambria Math"/>
              </w:rPr>
              <m:t>μ</m:t>
            </m:r>
          </m:e>
          <m:sub>
            <m:r>
              <w:rPr>
                <w:rFonts w:ascii="Cambria Math" w:hAnsi="Cambria Math"/>
                <w:vertAlign w:val="subscript"/>
              </w:rPr>
              <m:t>a</m:t>
            </m:r>
            <m:r>
              <w:rPr>
                <w:rFonts w:ascii="Cambria Math" w:hAnsi="Cambria Math"/>
                <w:vertAlign w:val="subscript"/>
              </w:rPr>
              <m:t>0</m:t>
            </m:r>
          </m:sub>
        </m:sSub>
        <m:r>
          <w:rPr>
            <w:rFonts w:ascii="Cambria Math" w:hAnsi="Cambria Math"/>
          </w:rPr>
          <m:t>(</m:t>
        </m:r>
        <m:r>
          <w:rPr>
            <w:rFonts w:ascii="Cambria Math" w:hAnsi="Cambria Math"/>
          </w:rPr>
          <m:t>λ</m:t>
        </m:r>
        <m:r>
          <w:rPr>
            <w:rFonts w:ascii="Cambria Math" w:hAnsi="Cambria Math"/>
          </w:rPr>
          <m:t>), </m:t>
        </m:r>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r>
          <w:rPr>
            <w:rFonts w:ascii="Cambria Math" w:hAnsi="Cambria Math"/>
          </w:rPr>
          <m:t>(λ), </m:t>
        </m:r>
        <m:sSub>
          <m:sSubPr>
            <m:ctrlPr>
              <w:rPr>
                <w:rFonts w:ascii="Cambria Math" w:hAnsi="Cambria Math"/>
                <w:i/>
                <w:iCs/>
              </w:rPr>
            </m:ctrlPr>
          </m:sSubPr>
          <m:e>
            <m:r>
              <w:rPr>
                <w:rFonts w:ascii="Cambria Math" w:hAnsi="Cambria Math"/>
              </w:rPr>
              <m:t>α</m:t>
            </m:r>
          </m:e>
          <m:sub>
            <m:r>
              <w:rPr>
                <w:rFonts w:ascii="Cambria Math" w:hAnsi="Cambria Math"/>
                <w:vertAlign w:val="subscript"/>
              </w:rPr>
              <m:t>0</m:t>
            </m:r>
          </m:sub>
        </m:sSub>
        <m:r>
          <w:rPr>
            <w:rFonts w:ascii="Cambria Math" w:hAnsi="Cambria Math"/>
          </w:rPr>
          <m:t>}</m:t>
        </m:r>
      </m:oMath>
      <w:r w:rsidRPr="00981EEC">
        <w:t xml:space="preserve"> were used to guarantee that the chi-squared value (goodness-of-fit metric) was at the global minimum.</w:t>
      </w:r>
    </w:p>
    <w:p w14:paraId="516BF358" w14:textId="091CAF70" w:rsidR="00981EEC" w:rsidRPr="00981EEC" w:rsidRDefault="00981EEC" w:rsidP="00981EEC">
      <w:r w:rsidRPr="00981EEC">
        <w:t>To account for the difference between the theoretical model and experimental data and difference in the attenuation and optical path length of the two source fibers, the relative amplitude and phase shift obtained from one or multiple reference phantoms were fit to the diffusion model to generate three correction factor matrices: an amplitude multiplication factor </w:t>
      </w:r>
      <m:oMath>
        <m:r>
          <w:rPr>
            <w:rFonts w:ascii="Cambria Math" w:hAnsi="Cambria Math"/>
          </w:rPr>
          <m:t>X</m:t>
        </m:r>
        <m:r>
          <w:rPr>
            <w:rFonts w:ascii="Cambria Math" w:hAnsi="Cambria Math"/>
          </w:rPr>
          <m:t>(</m:t>
        </m:r>
        <m:sSub>
          <m:sSubPr>
            <m:ctrlPr>
              <w:rPr>
                <w:rFonts w:ascii="Cambria Math" w:hAnsi="Cambria Math"/>
                <w:i/>
                <w:iCs/>
              </w:rPr>
            </m:ctrlPr>
          </m:sSubPr>
          <m:e>
            <m:r>
              <w:rPr>
                <w:rFonts w:ascii="Cambria Math" w:hAnsi="Cambria Math"/>
              </w:rPr>
              <m:t>λ</m:t>
            </m:r>
          </m:e>
          <m:sub>
            <m:r>
              <w:rPr>
                <w:rFonts w:ascii="Cambria Math" w:hAnsi="Cambria Math"/>
                <w:vertAlign w:val="subscript"/>
              </w:rPr>
              <m:t>i</m:t>
            </m:r>
          </m:sub>
        </m:sSub>
        <m:r>
          <w:rPr>
            <w:rFonts w:ascii="Cambria Math" w:hAnsi="Cambria Math"/>
          </w:rPr>
          <m:t>)</m:t>
        </m:r>
      </m:oMath>
      <w:r w:rsidRPr="00981EEC">
        <w:t>, an amplitude offset factor </w:t>
      </w:r>
      <m:oMath>
        <m:r>
          <w:rPr>
            <w:rFonts w:ascii="Cambria Math" w:hAnsi="Cambria Math"/>
          </w:rPr>
          <m:t>Y</m:t>
        </m:r>
        <m:r>
          <w:rPr>
            <w:rFonts w:ascii="Cambria Math" w:hAnsi="Cambria Math"/>
          </w:rPr>
          <m:t>(</m:t>
        </m:r>
        <m:sSub>
          <m:sSubPr>
            <m:ctrlPr>
              <w:rPr>
                <w:rFonts w:ascii="Cambria Math" w:hAnsi="Cambria Math"/>
                <w:i/>
                <w:iCs/>
              </w:rPr>
            </m:ctrlPr>
          </m:sSubPr>
          <m:e>
            <m:r>
              <w:rPr>
                <w:rFonts w:ascii="Cambria Math" w:hAnsi="Cambria Math"/>
              </w:rPr>
              <m:t>λ</m:t>
            </m:r>
          </m:e>
          <m:sub>
            <m:r>
              <w:rPr>
                <w:rFonts w:ascii="Cambria Math" w:hAnsi="Cambria Math"/>
                <w:vertAlign w:val="subscript"/>
              </w:rPr>
              <m:t>i</m:t>
            </m:r>
          </m:sub>
        </m:sSub>
        <m:r>
          <w:rPr>
            <w:rFonts w:ascii="Cambria Math" w:hAnsi="Cambria Math"/>
          </w:rPr>
          <m:t>)</m:t>
        </m:r>
      </m:oMath>
      <w:r w:rsidRPr="00981EEC">
        <w:t xml:space="preserve"> and a frequency-dependent phase offset factor </w:t>
      </w:r>
      <m:oMath>
        <m:r>
          <w:rPr>
            <w:rFonts w:ascii="Cambria Math" w:hAnsi="Cambria Math"/>
          </w:rPr>
          <m:t>Z</m:t>
        </m:r>
        <m:r>
          <w:rPr>
            <w:rFonts w:ascii="Cambria Math" w:hAnsi="Cambria Math"/>
          </w:rPr>
          <m:t>(</m:t>
        </m:r>
        <m:sSub>
          <m:sSubPr>
            <m:ctrlPr>
              <w:rPr>
                <w:rFonts w:ascii="Cambria Math" w:hAnsi="Cambria Math"/>
                <w:i/>
                <w:iCs/>
              </w:rPr>
            </m:ctrlPr>
          </m:sSubPr>
          <m:e>
            <m:r>
              <w:rPr>
                <w:rFonts w:ascii="Cambria Math" w:hAnsi="Cambria Math"/>
              </w:rPr>
              <m:t>λ</m:t>
            </m:r>
          </m:e>
          <m:sub>
            <m:r>
              <w:rPr>
                <w:rFonts w:ascii="Cambria Math" w:hAnsi="Cambria Math"/>
                <w:vertAlign w:val="subscript"/>
              </w:rPr>
              <m:t>i</m:t>
            </m:r>
          </m:sub>
        </m:sSub>
        <m:r>
          <w:rPr>
            <w:rFonts w:ascii="Cambria Math" w:hAnsi="Cambria Math"/>
          </w:rPr>
          <m:t>, </m:t>
        </m:r>
        <m:r>
          <w:rPr>
            <w:rFonts w:ascii="Cambria Math" w:hAnsi="Cambria Math"/>
          </w:rPr>
          <m:t>f</m:t>
        </m:r>
        <m:r>
          <w:rPr>
            <w:rFonts w:ascii="Cambria Math" w:hAnsi="Cambria Math"/>
          </w:rPr>
          <m:t>)</m:t>
        </m:r>
      </m:oMath>
      <w:r w:rsidRPr="00981EEC">
        <w:t xml:space="preserve"> as given by:</w:t>
      </w:r>
    </w:p>
    <w:p w14:paraId="35636796" w14:textId="1FFCE618" w:rsidR="00981EEC" w:rsidRDefault="007669A6" w:rsidP="00981EEC">
      <m:oMathPara>
        <m:oMath>
          <m:sSub>
            <m:sSubPr>
              <m:ctrlPr>
                <w:rPr>
                  <w:rFonts w:ascii="Cambria Math" w:hAnsi="Cambria Math"/>
                  <w:iCs/>
                  <w:sz w:val="28"/>
                  <w:szCs w:val="28"/>
                </w:rPr>
              </m:ctrlPr>
            </m:sSubPr>
            <m:e>
              <m:r>
                <m:rPr>
                  <m:sty m:val="p"/>
                </m:rPr>
                <w:rPr>
                  <w:rFonts w:ascii="Cambria Math" w:hAnsi="Cambria Math"/>
                  <w:sz w:val="28"/>
                  <w:szCs w:val="28"/>
                </w:rPr>
                <m:t>ΔAC</m:t>
              </m:r>
            </m:e>
            <m:sub>
              <m:r>
                <m:rPr>
                  <m:sty m:val="p"/>
                </m:rPr>
                <w:rPr>
                  <w:rFonts w:ascii="Cambria Math" w:hAnsi="Cambria Math"/>
                  <w:sz w:val="28"/>
                  <w:szCs w:val="28"/>
                  <w:vertAlign w:val="subscript"/>
                </w:rPr>
                <m:t>theoretical</m:t>
              </m:r>
              <m:r>
                <w:rPr>
                  <w:rFonts w:ascii="Cambria Math" w:hAnsi="Cambria Math"/>
                  <w:sz w:val="28"/>
                  <w:szCs w:val="28"/>
                </w:rPr>
                <m:t> </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λ</m:t>
              </m:r>
            </m:e>
            <m:sub>
              <m:r>
                <w:rPr>
                  <w:rFonts w:ascii="Cambria Math" w:hAnsi="Cambria Math"/>
                  <w:sz w:val="28"/>
                  <w:szCs w:val="28"/>
                  <w:vertAlign w:val="subscript"/>
                </w:rPr>
                <m:t>i</m:t>
              </m:r>
            </m:sub>
          </m:sSub>
          <m:r>
            <w:rPr>
              <w:rFonts w:ascii="Cambria Math" w:hAnsi="Cambria Math"/>
              <w:sz w:val="28"/>
              <w:szCs w:val="28"/>
            </w:rPr>
            <m:t>) = </m:t>
          </m:r>
          <m:r>
            <w:rPr>
              <w:rFonts w:ascii="Cambria Math" w:hAnsi="Cambria Math"/>
              <w:sz w:val="28"/>
              <w:szCs w:val="28"/>
            </w:rPr>
            <m:t>X</m:t>
          </m:r>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λ</m:t>
              </m:r>
            </m:e>
            <m:sub>
              <m:r>
                <w:rPr>
                  <w:rFonts w:ascii="Cambria Math" w:hAnsi="Cambria Math"/>
                  <w:sz w:val="28"/>
                  <w:szCs w:val="28"/>
                  <w:vertAlign w:val="subscript"/>
                </w:rPr>
                <m:t>i</m:t>
              </m:r>
            </m:sub>
          </m:sSub>
          <m:r>
            <w:rPr>
              <w:rFonts w:ascii="Cambria Math" w:hAnsi="Cambria Math"/>
              <w:sz w:val="28"/>
              <w:szCs w:val="28"/>
            </w:rPr>
            <m:t>) · </m:t>
          </m:r>
          <m:sSub>
            <m:sSubPr>
              <m:ctrlPr>
                <w:rPr>
                  <w:rFonts w:ascii="Cambria Math" w:hAnsi="Cambria Math"/>
                  <w:iCs/>
                  <w:sz w:val="28"/>
                  <w:szCs w:val="28"/>
                </w:rPr>
              </m:ctrlPr>
            </m:sSubPr>
            <m:e>
              <m:r>
                <m:rPr>
                  <m:sty m:val="p"/>
                </m:rPr>
                <w:rPr>
                  <w:rFonts w:ascii="Cambria Math" w:hAnsi="Cambria Math"/>
                  <w:sz w:val="28"/>
                  <w:szCs w:val="28"/>
                </w:rPr>
                <m:t>ΔAC</m:t>
              </m:r>
            </m:e>
            <m:sub>
              <m:r>
                <m:rPr>
                  <m:sty m:val="p"/>
                </m:rPr>
                <w:rPr>
                  <w:rFonts w:ascii="Cambria Math" w:hAnsi="Cambria Math"/>
                  <w:sz w:val="28"/>
                  <w:szCs w:val="28"/>
                  <w:vertAlign w:val="subscript"/>
                </w:rPr>
                <m:t>ref_phantom</m:t>
              </m:r>
            </m:sub>
          </m:sSub>
          <m:r>
            <w:rPr>
              <w:rFonts w:ascii="Cambria Math" w:hAnsi="Cambria Math"/>
              <w:sz w:val="28"/>
              <w:szCs w:val="28"/>
            </w:rPr>
            <m:t> (</m:t>
          </m:r>
          <m:sSub>
            <m:sSubPr>
              <m:ctrlPr>
                <w:rPr>
                  <w:rFonts w:ascii="Cambria Math" w:hAnsi="Cambria Math"/>
                  <w:i/>
                  <w:iCs/>
                  <w:sz w:val="28"/>
                  <w:szCs w:val="28"/>
                </w:rPr>
              </m:ctrlPr>
            </m:sSubPr>
            <m:e>
              <m:r>
                <w:rPr>
                  <w:rFonts w:ascii="Cambria Math" w:hAnsi="Cambria Math"/>
                  <w:sz w:val="28"/>
                  <w:szCs w:val="28"/>
                </w:rPr>
                <m:t>λ</m:t>
              </m:r>
            </m:e>
            <m:sub>
              <m:r>
                <w:rPr>
                  <w:rFonts w:ascii="Cambria Math" w:hAnsi="Cambria Math"/>
                  <w:sz w:val="28"/>
                  <w:szCs w:val="28"/>
                  <w:vertAlign w:val="subscript"/>
                </w:rPr>
                <m:t>a</m:t>
              </m:r>
            </m:sub>
          </m:sSub>
          <m:r>
            <w:rPr>
              <w:rFonts w:ascii="Cambria Math" w:hAnsi="Cambria Math"/>
              <w:sz w:val="28"/>
              <w:szCs w:val="28"/>
            </w:rPr>
            <m:t>) + </m:t>
          </m:r>
          <m:r>
            <w:rPr>
              <w:rFonts w:ascii="Cambria Math" w:hAnsi="Cambria Math"/>
              <w:sz w:val="28"/>
              <w:szCs w:val="28"/>
            </w:rPr>
            <m:t>Y</m:t>
          </m:r>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λ</m:t>
              </m:r>
            </m:e>
            <m:sub>
              <m:r>
                <w:rPr>
                  <w:rFonts w:ascii="Cambria Math" w:hAnsi="Cambria Math"/>
                  <w:sz w:val="28"/>
                  <w:szCs w:val="28"/>
                  <w:vertAlign w:val="subscript"/>
                </w:rPr>
                <m:t>i</m:t>
              </m:r>
            </m:sub>
          </m:sSub>
          <m:r>
            <w:rPr>
              <w:rFonts w:ascii="Cambria Math" w:hAnsi="Cambria Math"/>
              <w:sz w:val="28"/>
              <w:szCs w:val="28"/>
            </w:rPr>
            <m:t>)</m:t>
          </m:r>
        </m:oMath>
      </m:oMathPara>
    </w:p>
    <w:p w14:paraId="4189BF8E" w14:textId="77777777" w:rsidR="00981EEC" w:rsidRPr="00981EEC" w:rsidRDefault="00981EEC" w:rsidP="00981EEC">
      <w:r w:rsidRPr="00981EEC">
        <w:t>(12)</w:t>
      </w:r>
    </w:p>
    <w:p w14:paraId="5C869129" w14:textId="2AE659DB" w:rsidR="00981EEC" w:rsidRDefault="00E107B6" w:rsidP="00981EEC">
      <m:oMathPara>
        <m:oMath>
          <m:sSub>
            <m:sSubPr>
              <m:ctrlPr>
                <w:rPr>
                  <w:rFonts w:ascii="Cambria Math" w:hAnsi="Cambria Math"/>
                  <w:iCs/>
                  <w:sz w:val="28"/>
                  <w:szCs w:val="28"/>
                </w:rPr>
              </m:ctrlPr>
            </m:sSubPr>
            <m:e>
              <m:r>
                <m:rPr>
                  <m:sty m:val="p"/>
                </m:rPr>
                <w:rPr>
                  <w:rFonts w:ascii="Cambria Math" w:hAnsi="Cambria Math"/>
                  <w:sz w:val="28"/>
                  <w:szCs w:val="28"/>
                </w:rPr>
                <m:t>Δ</m:t>
              </m:r>
              <m:r>
                <w:rPr>
                  <w:rFonts w:ascii="Cambria Math" w:hAnsi="Cambria Math"/>
                  <w:sz w:val="28"/>
                  <w:szCs w:val="28"/>
                </w:rPr>
                <m:t>ϕ</m:t>
              </m:r>
            </m:e>
            <m:sub>
              <m:r>
                <m:rPr>
                  <m:sty m:val="p"/>
                </m:rPr>
                <w:rPr>
                  <w:rFonts w:ascii="Cambria Math" w:hAnsi="Cambria Math"/>
                  <w:sz w:val="28"/>
                  <w:szCs w:val="28"/>
                  <w:vertAlign w:val="subscript"/>
                </w:rPr>
                <m:t>theoretical</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λ</m:t>
              </m:r>
            </m:e>
            <m:sub>
              <m:r>
                <w:rPr>
                  <w:rFonts w:ascii="Cambria Math" w:hAnsi="Cambria Math"/>
                  <w:sz w:val="28"/>
                  <w:szCs w:val="28"/>
                  <w:vertAlign w:val="subscript"/>
                </w:rPr>
                <m:t>i</m:t>
              </m:r>
            </m:sub>
          </m:sSub>
          <m:r>
            <w:rPr>
              <w:rFonts w:ascii="Cambria Math" w:hAnsi="Cambria Math"/>
              <w:sz w:val="28"/>
              <w:szCs w:val="28"/>
            </w:rPr>
            <m:t>, </m:t>
          </m:r>
          <m:r>
            <w:rPr>
              <w:rFonts w:ascii="Cambria Math" w:hAnsi="Cambria Math"/>
              <w:sz w:val="28"/>
              <w:szCs w:val="28"/>
            </w:rPr>
            <m:t>f</m:t>
          </m:r>
          <m:r>
            <w:rPr>
              <w:rFonts w:ascii="Cambria Math" w:hAnsi="Cambria Math"/>
              <w:sz w:val="28"/>
              <w:szCs w:val="28"/>
            </w:rPr>
            <m:t>) = </m:t>
          </m:r>
          <m:sSub>
            <m:sSubPr>
              <m:ctrlPr>
                <w:rPr>
                  <w:rFonts w:ascii="Cambria Math" w:hAnsi="Cambria Math"/>
                  <w:iCs/>
                  <w:sz w:val="28"/>
                  <w:szCs w:val="28"/>
                </w:rPr>
              </m:ctrlPr>
            </m:sSubPr>
            <m:e>
              <m:r>
                <m:rPr>
                  <m:sty m:val="p"/>
                </m:rPr>
                <w:rPr>
                  <w:rFonts w:ascii="Cambria Math" w:hAnsi="Cambria Math"/>
                  <w:sz w:val="28"/>
                  <w:szCs w:val="28"/>
                </w:rPr>
                <m:t>Δ</m:t>
              </m:r>
              <m:r>
                <w:rPr>
                  <w:rFonts w:ascii="Cambria Math" w:hAnsi="Cambria Math"/>
                  <w:sz w:val="28"/>
                  <w:szCs w:val="28"/>
                </w:rPr>
                <m:t>ϕ</m:t>
              </m:r>
            </m:e>
            <m:sub>
              <m:r>
                <m:rPr>
                  <m:sty m:val="p"/>
                </m:rPr>
                <w:rPr>
                  <w:rFonts w:ascii="Cambria Math" w:hAnsi="Cambria Math"/>
                  <w:sz w:val="28"/>
                  <w:szCs w:val="28"/>
                  <w:vertAlign w:val="subscript"/>
                </w:rPr>
                <m:t>ref_phantom</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λ</m:t>
              </m:r>
            </m:e>
            <m:sub>
              <m:r>
                <w:rPr>
                  <w:rFonts w:ascii="Cambria Math" w:hAnsi="Cambria Math"/>
                  <w:sz w:val="28"/>
                  <w:szCs w:val="28"/>
                  <w:vertAlign w:val="subscript"/>
                </w:rPr>
                <m:t>i</m:t>
              </m:r>
            </m:sub>
          </m:sSub>
          <m:r>
            <w:rPr>
              <w:rFonts w:ascii="Cambria Math" w:hAnsi="Cambria Math"/>
              <w:sz w:val="28"/>
              <w:szCs w:val="28"/>
            </w:rPr>
            <m:t>, </m:t>
          </m:r>
          <m:r>
            <w:rPr>
              <w:rFonts w:ascii="Cambria Math" w:hAnsi="Cambria Math"/>
              <w:sz w:val="28"/>
              <w:szCs w:val="28"/>
            </w:rPr>
            <m:t>f</m:t>
          </m:r>
          <m:r>
            <w:rPr>
              <w:rFonts w:ascii="Cambria Math" w:hAnsi="Cambria Math"/>
              <w:sz w:val="28"/>
              <w:szCs w:val="28"/>
            </w:rPr>
            <m:t>) + </m:t>
          </m:r>
          <m:r>
            <w:rPr>
              <w:rFonts w:ascii="Cambria Math" w:hAnsi="Cambria Math"/>
              <w:sz w:val="28"/>
              <w:szCs w:val="28"/>
            </w:rPr>
            <m:t>Z</m:t>
          </m:r>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λ</m:t>
              </m:r>
            </m:e>
            <m:sub>
              <m:r>
                <w:rPr>
                  <w:rFonts w:ascii="Cambria Math" w:hAnsi="Cambria Math"/>
                  <w:sz w:val="28"/>
                  <w:szCs w:val="28"/>
                  <w:vertAlign w:val="subscript"/>
                </w:rPr>
                <m:t>i</m:t>
              </m:r>
            </m:sub>
          </m:sSub>
          <m:r>
            <w:rPr>
              <w:rFonts w:ascii="Cambria Math" w:hAnsi="Cambria Math"/>
              <w:sz w:val="28"/>
              <w:szCs w:val="28"/>
            </w:rPr>
            <m:t>, </m:t>
          </m:r>
          <m:r>
            <w:rPr>
              <w:rFonts w:ascii="Cambria Math" w:hAnsi="Cambria Math"/>
              <w:sz w:val="28"/>
              <w:szCs w:val="28"/>
            </w:rPr>
            <m:t>f</m:t>
          </m:r>
          <m:r>
            <w:rPr>
              <w:rFonts w:ascii="Cambria Math" w:hAnsi="Cambria Math"/>
              <w:sz w:val="28"/>
              <w:szCs w:val="28"/>
            </w:rPr>
            <m:t>)</m:t>
          </m:r>
        </m:oMath>
      </m:oMathPara>
    </w:p>
    <w:p w14:paraId="317BC549" w14:textId="77777777" w:rsidR="00981EEC" w:rsidRPr="00981EEC" w:rsidRDefault="00981EEC" w:rsidP="00981EEC">
      <w:r w:rsidRPr="00981EEC">
        <w:t>(13)</w:t>
      </w:r>
    </w:p>
    <w:p w14:paraId="744C50DE" w14:textId="77777777" w:rsidR="00981EEC" w:rsidRPr="00981EEC" w:rsidRDefault="00981EEC" w:rsidP="00981EEC">
      <w:r w:rsidRPr="00981EEC">
        <w:t>The correction factors were then applied to the relative amplitude and phase shift measured from the animals before the nonlinear least square fitting.</w:t>
      </w:r>
    </w:p>
    <w:p w14:paraId="2EC73C33" w14:textId="6B9EAC16" w:rsidR="00981EEC" w:rsidRPr="00981EEC" w:rsidRDefault="00981EEC" w:rsidP="00981EEC">
      <w:r w:rsidRPr="00981EEC">
        <w:t xml:space="preserve">Next, tissue physiological parameters, including </w:t>
      </w:r>
      <m:oMath>
        <m:r>
          <m:rPr>
            <m:sty m:val="p"/>
          </m:rPr>
          <w:rPr>
            <w:rFonts w:ascii="Cambria Math" w:hAnsi="Cambria Math"/>
            <w:vertAlign w:val="subscript"/>
          </w:rPr>
          <m:t>Hb</m:t>
        </m:r>
        <m:sSub>
          <m:sSubPr>
            <m:ctrlPr>
              <w:rPr>
                <w:rFonts w:ascii="Cambria Math" w:hAnsi="Cambria Math"/>
                <w:iCs/>
                <w:vertAlign w:val="subscript"/>
              </w:rPr>
            </m:ctrlPr>
          </m:sSubPr>
          <m:e>
            <m:r>
              <m:rPr>
                <m:sty m:val="p"/>
              </m:rPr>
              <w:rPr>
                <w:rFonts w:ascii="Cambria Math" w:hAnsi="Cambria Math"/>
                <w:vertAlign w:val="subscript"/>
              </w:rPr>
              <m:t>O</m:t>
            </m:r>
          </m:e>
          <m:sub>
            <m:r>
              <m:rPr>
                <m:sty m:val="p"/>
              </m:rPr>
              <w:rPr>
                <w:rFonts w:ascii="Cambria Math" w:hAnsi="Cambria Math"/>
                <w:vertAlign w:val="subscript"/>
              </w:rPr>
              <m:t>2</m:t>
            </m:r>
          </m:sub>
        </m:sSub>
      </m:oMath>
      <w:r w:rsidRPr="00981EEC">
        <w:t xml:space="preserve"> concentration </w:t>
      </w: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vertAlign w:val="subscript"/>
              </w:rPr>
              <m:t>Hb</m:t>
            </m:r>
            <m:sSub>
              <m:sSubPr>
                <m:ctrlPr>
                  <w:rPr>
                    <w:rFonts w:ascii="Cambria Math" w:hAnsi="Cambria Math"/>
                    <w:iCs/>
                    <w:vertAlign w:val="subscript"/>
                  </w:rPr>
                </m:ctrlPr>
              </m:sSubPr>
              <m:e>
                <m:r>
                  <m:rPr>
                    <m:sty m:val="p"/>
                  </m:rPr>
                  <w:rPr>
                    <w:rFonts w:ascii="Cambria Math" w:hAnsi="Cambria Math"/>
                    <w:vertAlign w:val="subscript"/>
                  </w:rPr>
                  <m:t>O</m:t>
                </m:r>
              </m:e>
              <m:sub>
                <m:r>
                  <m:rPr>
                    <m:sty m:val="p"/>
                  </m:rPr>
                  <w:rPr>
                    <w:rFonts w:ascii="Cambria Math" w:hAnsi="Cambria Math"/>
                    <w:vertAlign w:val="subscript"/>
                  </w:rPr>
                  <m:t>2</m:t>
                </m:r>
              </m:sub>
            </m:sSub>
          </m:sub>
        </m:sSub>
      </m:oMath>
      <w:r w:rsidRPr="00981EEC">
        <w:t xml:space="preserve">, Hb concentration </w:t>
      </w: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vertAlign w:val="subscript"/>
              </w:rPr>
              <m:t>Hb</m:t>
            </m:r>
          </m:sub>
        </m:sSub>
      </m:oMath>
      <w:r w:rsidRPr="00981EEC">
        <w:t>, total hemoglobin concentration (THb) and tissue oxygenation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were calculated from the absorption coefficients that were extracted from the tissue spectra, using the </w:t>
      </w:r>
      <w:proofErr w:type="spellStart"/>
      <w:r w:rsidRPr="0020536E">
        <w:t>Eqs</w:t>
      </w:r>
      <w:proofErr w:type="spellEnd"/>
      <w:r w:rsidRPr="0020536E">
        <w:t>. (14)</w:t>
      </w:r>
      <w:proofErr w:type="gramStart"/>
      <w:r w:rsidRPr="00981EEC">
        <w:t>–</w:t>
      </w:r>
      <w:r w:rsidRPr="0020536E">
        <w:t>(</w:t>
      </w:r>
      <w:proofErr w:type="gramEnd"/>
      <w:r w:rsidRPr="0020536E">
        <w:t>16)</w:t>
      </w:r>
      <w:r w:rsidRPr="00981EEC">
        <w:t>:</w:t>
      </w:r>
    </w:p>
    <w:p w14:paraId="2C5D4B91" w14:textId="5FF1B216" w:rsidR="00981EEC" w:rsidRPr="00981EEC" w:rsidRDefault="00AC768B" w:rsidP="00981EEC">
      <m:oMathPara>
        <m:oMath>
          <m:sSub>
            <m:sSubPr>
              <m:ctrlPr>
                <w:rPr>
                  <w:rFonts w:ascii="Cambria Math" w:hAnsi="Cambria Math"/>
                  <w:i/>
                  <w:iCs/>
                  <w:sz w:val="28"/>
                  <w:szCs w:val="28"/>
                </w:rPr>
              </m:ctrlPr>
            </m:sSubPr>
            <m:e>
              <m:r>
                <w:rPr>
                  <w:rFonts w:ascii="Cambria Math" w:hAnsi="Cambria Math"/>
                  <w:sz w:val="28"/>
                  <w:szCs w:val="28"/>
                </w:rPr>
                <m:t>μ</m:t>
              </m:r>
            </m:e>
            <m:sub>
              <m:r>
                <w:rPr>
                  <w:rFonts w:ascii="Cambria Math" w:hAnsi="Cambria Math"/>
                  <w:sz w:val="28"/>
                  <w:szCs w:val="28"/>
                  <w:vertAlign w:val="subscript"/>
                </w:rPr>
                <m:t>a</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λ</m:t>
              </m:r>
            </m:e>
            <m:sub>
              <m:r>
                <w:rPr>
                  <w:rFonts w:ascii="Cambria Math" w:hAnsi="Cambria Math"/>
                  <w:sz w:val="28"/>
                  <w:szCs w:val="28"/>
                  <w:vertAlign w:val="subscript"/>
                </w:rPr>
                <m:t>i</m:t>
              </m:r>
            </m:sub>
          </m:sSub>
          <m:r>
            <w:rPr>
              <w:rFonts w:ascii="Cambria Math" w:hAnsi="Cambria Math"/>
              <w:sz w:val="28"/>
              <w:szCs w:val="28"/>
            </w:rPr>
            <m:t>) = 2.303 · [</m:t>
          </m:r>
          <m:sSub>
            <m:sSubPr>
              <m:ctrlPr>
                <w:rPr>
                  <w:rFonts w:ascii="Cambria Math" w:hAnsi="Cambria Math"/>
                  <w:i/>
                  <w:iCs/>
                  <w:sz w:val="28"/>
                  <w:szCs w:val="28"/>
                </w:rPr>
              </m:ctrlPr>
            </m:sSubPr>
            <m:e>
              <m:r>
                <w:rPr>
                  <w:rFonts w:ascii="Cambria Math" w:hAnsi="Cambria Math"/>
                  <w:sz w:val="28"/>
                  <w:szCs w:val="28"/>
                </w:rPr>
                <m:t>ε</m:t>
              </m:r>
            </m:e>
            <m:sub>
              <m:r>
                <w:rPr>
                  <w:rFonts w:ascii="Cambria Math" w:hAnsi="Cambria Math"/>
                  <w:sz w:val="28"/>
                  <w:szCs w:val="28"/>
                  <w:vertAlign w:val="subscript"/>
                </w:rPr>
                <m:t>(</m:t>
              </m:r>
              <m:sSub>
                <m:sSubPr>
                  <m:ctrlPr>
                    <w:rPr>
                      <w:rFonts w:ascii="Cambria Math" w:hAnsi="Cambria Math"/>
                      <w:iCs/>
                      <w:sz w:val="28"/>
                      <w:szCs w:val="28"/>
                      <w:vertAlign w:val="subscript"/>
                    </w:rPr>
                  </m:ctrlPr>
                </m:sSubPr>
                <m:e>
                  <m:r>
                    <m:rPr>
                      <m:sty m:val="p"/>
                    </m:rPr>
                    <w:rPr>
                      <w:rFonts w:ascii="Cambria Math" w:hAnsi="Cambria Math"/>
                      <w:sz w:val="28"/>
                      <w:szCs w:val="28"/>
                      <w:vertAlign w:val="subscript"/>
                    </w:rPr>
                    <m:t>HbO</m:t>
                  </m:r>
                </m:e>
                <m:sub>
                  <m:r>
                    <w:rPr>
                      <w:rFonts w:ascii="Cambria Math" w:hAnsi="Cambria Math"/>
                      <w:sz w:val="28"/>
                      <w:szCs w:val="28"/>
                      <w:vertAlign w:val="subscript"/>
                    </w:rPr>
                    <m:t>2</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λ</m:t>
                  </m:r>
                </m:e>
                <m:sub>
                  <m:r>
                    <w:rPr>
                      <w:rFonts w:ascii="Cambria Math" w:hAnsi="Cambria Math"/>
                      <w:sz w:val="28"/>
                      <w:szCs w:val="28"/>
                      <w:vertAlign w:val="subscript"/>
                    </w:rPr>
                    <m:t>i</m:t>
                  </m:r>
                </m:sub>
              </m:sSub>
              <m:r>
                <w:rPr>
                  <w:rFonts w:ascii="Cambria Math" w:hAnsi="Cambria Math"/>
                  <w:sz w:val="28"/>
                  <w:szCs w:val="28"/>
                </w:rPr>
                <m:t>)</m:t>
              </m:r>
            </m:sub>
          </m:sSub>
          <m:sSub>
            <m:sSubPr>
              <m:ctrlPr>
                <w:rPr>
                  <w:rFonts w:ascii="Cambria Math" w:hAnsi="Cambria Math"/>
                  <w:iCs/>
                  <w:sz w:val="28"/>
                  <w:szCs w:val="28"/>
                </w:rPr>
              </m:ctrlPr>
            </m:sSubPr>
            <m:e>
              <m:r>
                <m:rPr>
                  <m:sty m:val="p"/>
                </m:rPr>
                <w:rPr>
                  <w:rFonts w:ascii="Cambria Math" w:hAnsi="Cambria Math"/>
                  <w:sz w:val="28"/>
                  <w:szCs w:val="28"/>
                </w:rPr>
                <m:t>C</m:t>
              </m:r>
            </m:e>
            <m:sub>
              <m:sSub>
                <m:sSubPr>
                  <m:ctrlPr>
                    <w:rPr>
                      <w:rFonts w:ascii="Cambria Math" w:hAnsi="Cambria Math"/>
                      <w:iCs/>
                      <w:sz w:val="28"/>
                      <w:szCs w:val="28"/>
                      <w:vertAlign w:val="subscript"/>
                    </w:rPr>
                  </m:ctrlPr>
                </m:sSubPr>
                <m:e>
                  <m:r>
                    <m:rPr>
                      <m:sty m:val="p"/>
                    </m:rPr>
                    <w:rPr>
                      <w:rFonts w:ascii="Cambria Math" w:hAnsi="Cambria Math"/>
                      <w:sz w:val="28"/>
                      <w:szCs w:val="28"/>
                      <w:vertAlign w:val="subscript"/>
                    </w:rPr>
                    <m:t>HbO</m:t>
                  </m:r>
                </m:e>
                <m:sub>
                  <m:r>
                    <w:rPr>
                      <w:rFonts w:ascii="Cambria Math" w:hAnsi="Cambria Math"/>
                      <w:sz w:val="28"/>
                      <w:szCs w:val="28"/>
                      <w:vertAlign w:val="subscript"/>
                    </w:rPr>
                    <m:t>2</m:t>
                  </m:r>
                </m:sub>
              </m:sSub>
            </m:sub>
          </m:sSub>
          <m:r>
            <w:rPr>
              <w:rFonts w:ascii="Cambria Math" w:hAnsi="Cambria Math"/>
              <w:sz w:val="28"/>
              <w:szCs w:val="28"/>
            </w:rPr>
            <m:t> + </m:t>
          </m:r>
          <m:sSub>
            <m:sSubPr>
              <m:ctrlPr>
                <w:rPr>
                  <w:rFonts w:ascii="Cambria Math" w:hAnsi="Cambria Math"/>
                  <w:i/>
                  <w:iCs/>
                  <w:sz w:val="28"/>
                  <w:szCs w:val="28"/>
                </w:rPr>
              </m:ctrlPr>
            </m:sSubPr>
            <m:e>
              <m:r>
                <w:rPr>
                  <w:rFonts w:ascii="Cambria Math" w:hAnsi="Cambria Math"/>
                  <w:sz w:val="28"/>
                  <w:szCs w:val="28"/>
                </w:rPr>
                <m:t>ε</m:t>
              </m:r>
            </m:e>
            <m:sub>
              <m:r>
                <w:rPr>
                  <w:rFonts w:ascii="Cambria Math" w:hAnsi="Cambria Math"/>
                  <w:sz w:val="28"/>
                  <w:szCs w:val="28"/>
                  <w:vertAlign w:val="subscript"/>
                </w:rPr>
                <m:t>(</m:t>
              </m:r>
              <m:r>
                <m:rPr>
                  <m:sty m:val="p"/>
                </m:rPr>
                <w:rPr>
                  <w:rFonts w:ascii="Cambria Math" w:hAnsi="Cambria Math"/>
                  <w:sz w:val="28"/>
                  <w:szCs w:val="28"/>
                  <w:vertAlign w:val="subscript"/>
                </w:rPr>
                <m:t>Hb</m:t>
              </m:r>
              <m:r>
                <w:rPr>
                  <w:rFonts w:ascii="Cambria Math" w:hAnsi="Cambria Math"/>
                  <w:sz w:val="28"/>
                  <w:szCs w:val="28"/>
                  <w:vertAlign w:val="subscript"/>
                </w:rPr>
                <m:t>,</m:t>
              </m:r>
              <m:sSub>
                <m:sSubPr>
                  <m:ctrlPr>
                    <w:rPr>
                      <w:rFonts w:ascii="Cambria Math" w:hAnsi="Cambria Math"/>
                      <w:i/>
                      <w:iCs/>
                      <w:sz w:val="28"/>
                      <w:szCs w:val="28"/>
                      <w:vertAlign w:val="subscript"/>
                    </w:rPr>
                  </m:ctrlPr>
                </m:sSubPr>
                <m:e>
                  <m:r>
                    <w:rPr>
                      <w:rFonts w:ascii="Cambria Math" w:hAnsi="Cambria Math"/>
                      <w:sz w:val="28"/>
                      <w:szCs w:val="28"/>
                      <w:vertAlign w:val="subscript"/>
                    </w:rPr>
                    <m:t>λ</m:t>
                  </m:r>
                </m:e>
                <m:sub>
                  <m:r>
                    <w:rPr>
                      <w:rFonts w:ascii="Cambria Math" w:hAnsi="Cambria Math"/>
                      <w:sz w:val="28"/>
                      <w:szCs w:val="28"/>
                      <w:vertAlign w:val="subscript"/>
                    </w:rPr>
                    <m:t>i</m:t>
                  </m:r>
                </m:sub>
              </m:sSub>
              <m:r>
                <w:rPr>
                  <w:rFonts w:ascii="Cambria Math" w:hAnsi="Cambria Math"/>
                  <w:sz w:val="28"/>
                  <w:szCs w:val="28"/>
                </w:rPr>
                <m:t>)</m:t>
              </m:r>
            </m:sub>
          </m:sSub>
          <m:sSub>
            <m:sSubPr>
              <m:ctrlPr>
                <w:rPr>
                  <w:rFonts w:ascii="Cambria Math" w:hAnsi="Cambria Math"/>
                  <w:iCs/>
                  <w:sz w:val="28"/>
                  <w:szCs w:val="28"/>
                </w:rPr>
              </m:ctrlPr>
            </m:sSubPr>
            <m:e>
              <m:r>
                <m:rPr>
                  <m:sty m:val="p"/>
                </m:rPr>
                <w:rPr>
                  <w:rFonts w:ascii="Cambria Math" w:hAnsi="Cambria Math"/>
                  <w:sz w:val="28"/>
                  <w:szCs w:val="28"/>
                </w:rPr>
                <m:t>C</m:t>
              </m:r>
            </m:e>
            <m:sub>
              <m:r>
                <m:rPr>
                  <m:sty m:val="p"/>
                </m:rPr>
                <w:rPr>
                  <w:rFonts w:ascii="Cambria Math" w:hAnsi="Cambria Math"/>
                  <w:sz w:val="28"/>
                  <w:szCs w:val="28"/>
                  <w:vertAlign w:val="subscript"/>
                </w:rPr>
                <m:t>Hb</m:t>
              </m:r>
            </m:sub>
          </m:sSub>
          <m:r>
            <w:rPr>
              <w:rFonts w:ascii="Cambria Math" w:hAnsi="Cambria Math"/>
              <w:sz w:val="28"/>
              <w:szCs w:val="28"/>
            </w:rPr>
            <m:t>]</m:t>
          </m:r>
        </m:oMath>
      </m:oMathPara>
    </w:p>
    <w:p w14:paraId="1228C7C1" w14:textId="77777777" w:rsidR="00981EEC" w:rsidRPr="00981EEC" w:rsidRDefault="00981EEC" w:rsidP="00981EEC">
      <w:r w:rsidRPr="00981EEC">
        <w:t>(14)</w:t>
      </w:r>
    </w:p>
    <w:p w14:paraId="4183F4EE" w14:textId="05306B8C" w:rsidR="00981EEC" w:rsidRPr="00C15F3D" w:rsidRDefault="00C15F3D" w:rsidP="00981EEC">
      <w:pPr>
        <w:rPr>
          <w:iCs/>
        </w:rPr>
      </w:pPr>
      <m:oMathPara>
        <m:oMath>
          <m:r>
            <m:rPr>
              <m:sty m:val="p"/>
            </m:rPr>
            <w:rPr>
              <w:rFonts w:ascii="Cambria Math" w:hAnsi="Cambria Math"/>
              <w:sz w:val="28"/>
              <w:szCs w:val="28"/>
            </w:rPr>
            <m:t>THb = </m:t>
          </m:r>
          <m:sSub>
            <m:sSubPr>
              <m:ctrlPr>
                <w:rPr>
                  <w:rFonts w:ascii="Cambria Math" w:hAnsi="Cambria Math"/>
                  <w:iCs/>
                  <w:sz w:val="28"/>
                  <w:szCs w:val="28"/>
                </w:rPr>
              </m:ctrlPr>
            </m:sSubPr>
            <m:e>
              <m:r>
                <m:rPr>
                  <m:sty m:val="p"/>
                </m:rPr>
                <w:rPr>
                  <w:rFonts w:ascii="Cambria Math" w:hAnsi="Cambria Math"/>
                  <w:sz w:val="28"/>
                  <w:szCs w:val="28"/>
                </w:rPr>
                <m:t>C</m:t>
              </m:r>
            </m:e>
            <m:sub>
              <m:r>
                <m:rPr>
                  <m:sty m:val="p"/>
                </m:rPr>
                <w:rPr>
                  <w:rFonts w:ascii="Cambria Math" w:hAnsi="Cambria Math"/>
                  <w:sz w:val="28"/>
                  <w:szCs w:val="28"/>
                  <w:vertAlign w:val="subscript"/>
                </w:rPr>
                <m:t>Hb</m:t>
              </m:r>
              <m:sSub>
                <m:sSubPr>
                  <m:ctrlPr>
                    <w:rPr>
                      <w:rFonts w:ascii="Cambria Math" w:hAnsi="Cambria Math"/>
                      <w:iCs/>
                      <w:sz w:val="28"/>
                      <w:szCs w:val="28"/>
                      <w:vertAlign w:val="subscript"/>
                    </w:rPr>
                  </m:ctrlPr>
                </m:sSubPr>
                <m:e>
                  <m:r>
                    <m:rPr>
                      <m:sty m:val="p"/>
                    </m:rPr>
                    <w:rPr>
                      <w:rFonts w:ascii="Cambria Math" w:hAnsi="Cambria Math"/>
                      <w:sz w:val="28"/>
                      <w:szCs w:val="28"/>
                      <w:vertAlign w:val="subscript"/>
                    </w:rPr>
                    <m:t>O</m:t>
                  </m:r>
                </m:e>
                <m:sub>
                  <m:r>
                    <m:rPr>
                      <m:sty m:val="p"/>
                    </m:rPr>
                    <w:rPr>
                      <w:rFonts w:ascii="Cambria Math" w:hAnsi="Cambria Math"/>
                      <w:sz w:val="28"/>
                      <w:szCs w:val="28"/>
                      <w:vertAlign w:val="subscript"/>
                    </w:rPr>
                    <m:t>2</m:t>
                  </m:r>
                </m:sub>
              </m:sSub>
            </m:sub>
          </m:sSub>
          <m:r>
            <m:rPr>
              <m:sty m:val="p"/>
            </m:rPr>
            <w:rPr>
              <w:rFonts w:ascii="Cambria Math" w:hAnsi="Cambria Math"/>
              <w:sz w:val="28"/>
              <w:szCs w:val="28"/>
            </w:rPr>
            <m:t> + </m:t>
          </m:r>
          <m:sSub>
            <m:sSubPr>
              <m:ctrlPr>
                <w:rPr>
                  <w:rFonts w:ascii="Cambria Math" w:hAnsi="Cambria Math"/>
                  <w:iCs/>
                  <w:sz w:val="28"/>
                  <w:szCs w:val="28"/>
                </w:rPr>
              </m:ctrlPr>
            </m:sSubPr>
            <m:e>
              <m:r>
                <m:rPr>
                  <m:sty m:val="p"/>
                </m:rPr>
                <w:rPr>
                  <w:rFonts w:ascii="Cambria Math" w:hAnsi="Cambria Math"/>
                  <w:sz w:val="28"/>
                  <w:szCs w:val="28"/>
                </w:rPr>
                <m:t>C</m:t>
              </m:r>
            </m:e>
            <m:sub>
              <m:r>
                <m:rPr>
                  <m:sty m:val="p"/>
                </m:rPr>
                <w:rPr>
                  <w:rFonts w:ascii="Cambria Math" w:hAnsi="Cambria Math"/>
                  <w:sz w:val="28"/>
                  <w:szCs w:val="28"/>
                  <w:vertAlign w:val="subscript"/>
                </w:rPr>
                <m:t>Hb</m:t>
              </m:r>
            </m:sub>
          </m:sSub>
        </m:oMath>
      </m:oMathPara>
    </w:p>
    <w:p w14:paraId="7E5822AD" w14:textId="77777777" w:rsidR="00981EEC" w:rsidRPr="00981EEC" w:rsidRDefault="00981EEC" w:rsidP="00981EEC">
      <w:r w:rsidRPr="00981EEC">
        <w:t>(15)</w:t>
      </w:r>
    </w:p>
    <w:p w14:paraId="16374D59" w14:textId="1573424B" w:rsidR="00981EEC" w:rsidRPr="00C15F3D" w:rsidRDefault="00C15F3D" w:rsidP="00981EEC">
      <w:pPr>
        <w:rPr>
          <w:iCs/>
        </w:rPr>
      </w:pPr>
      <m:oMathPara>
        <m:oMath>
          <m:sSub>
            <m:sSubPr>
              <m:ctrlPr>
                <w:rPr>
                  <w:rFonts w:ascii="Cambria Math" w:hAnsi="Cambria Math"/>
                  <w:iCs/>
                  <w:sz w:val="28"/>
                  <w:szCs w:val="28"/>
                </w:rPr>
              </m:ctrlPr>
            </m:sSubPr>
            <m:e>
              <m:r>
                <m:rPr>
                  <m:sty m:val="p"/>
                </m:rPr>
                <w:rPr>
                  <w:rFonts w:ascii="Cambria Math" w:hAnsi="Cambria Math"/>
                  <w:sz w:val="28"/>
                  <w:szCs w:val="28"/>
                </w:rPr>
                <m:t>SO</m:t>
              </m:r>
            </m:e>
            <m:sub>
              <m:r>
                <m:rPr>
                  <m:sty m:val="p"/>
                </m:rPr>
                <w:rPr>
                  <w:rFonts w:ascii="Cambria Math" w:hAnsi="Cambria Math"/>
                  <w:sz w:val="28"/>
                  <w:szCs w:val="28"/>
                  <w:vertAlign w:val="subscript"/>
                </w:rPr>
                <m:t>2</m:t>
              </m:r>
            </m:sub>
          </m:sSub>
          <m:r>
            <m:rPr>
              <m:sty m:val="p"/>
            </m:rPr>
            <w:rPr>
              <w:rFonts w:ascii="Cambria Math" w:hAnsi="Cambria Math"/>
              <w:sz w:val="28"/>
              <w:szCs w:val="28"/>
            </w:rPr>
            <m:t> = </m:t>
          </m:r>
          <m:sSub>
            <m:sSubPr>
              <m:ctrlPr>
                <w:rPr>
                  <w:rFonts w:ascii="Cambria Math" w:hAnsi="Cambria Math"/>
                  <w:iCs/>
                  <w:sz w:val="28"/>
                  <w:szCs w:val="28"/>
                </w:rPr>
              </m:ctrlPr>
            </m:sSubPr>
            <m:e>
              <m:r>
                <m:rPr>
                  <m:sty m:val="p"/>
                </m:rPr>
                <w:rPr>
                  <w:rFonts w:ascii="Cambria Math" w:hAnsi="Cambria Math"/>
                  <w:sz w:val="28"/>
                  <w:szCs w:val="28"/>
                </w:rPr>
                <m:t>C</m:t>
              </m:r>
            </m:e>
            <m:sub>
              <m:r>
                <m:rPr>
                  <m:sty m:val="p"/>
                </m:rPr>
                <w:rPr>
                  <w:rFonts w:ascii="Cambria Math" w:hAnsi="Cambria Math"/>
                  <w:sz w:val="28"/>
                  <w:szCs w:val="28"/>
                  <w:vertAlign w:val="subscript"/>
                </w:rPr>
                <m:t>Hb</m:t>
              </m:r>
              <m:sSub>
                <m:sSubPr>
                  <m:ctrlPr>
                    <w:rPr>
                      <w:rFonts w:ascii="Cambria Math" w:hAnsi="Cambria Math"/>
                      <w:iCs/>
                      <w:sz w:val="28"/>
                      <w:szCs w:val="28"/>
                      <w:vertAlign w:val="subscript"/>
                    </w:rPr>
                  </m:ctrlPr>
                </m:sSubPr>
                <m:e>
                  <m:r>
                    <m:rPr>
                      <m:sty m:val="p"/>
                    </m:rPr>
                    <w:rPr>
                      <w:rFonts w:ascii="Cambria Math" w:hAnsi="Cambria Math"/>
                      <w:sz w:val="28"/>
                      <w:szCs w:val="28"/>
                      <w:vertAlign w:val="subscript"/>
                    </w:rPr>
                    <m:t>O</m:t>
                  </m:r>
                </m:e>
                <m:sub>
                  <m:r>
                    <m:rPr>
                      <m:sty m:val="p"/>
                    </m:rPr>
                    <w:rPr>
                      <w:rFonts w:ascii="Cambria Math" w:hAnsi="Cambria Math"/>
                      <w:sz w:val="28"/>
                      <w:szCs w:val="28"/>
                      <w:vertAlign w:val="subscript"/>
                    </w:rPr>
                    <m:t>2</m:t>
                  </m:r>
                </m:sub>
              </m:sSub>
            </m:sub>
          </m:sSub>
          <m:r>
            <m:rPr>
              <m:sty m:val="p"/>
            </m:rPr>
            <w:rPr>
              <w:rFonts w:ascii="Cambria Math" w:hAnsi="Cambria Math"/>
              <w:sz w:val="28"/>
              <w:szCs w:val="28"/>
            </w:rPr>
            <m:t>/THb</m:t>
          </m:r>
        </m:oMath>
      </m:oMathPara>
    </w:p>
    <w:p w14:paraId="629F049B" w14:textId="77777777" w:rsidR="00981EEC" w:rsidRPr="00981EEC" w:rsidRDefault="00981EEC" w:rsidP="00981EEC">
      <w:r w:rsidRPr="00981EEC">
        <w:t>(16)</w:t>
      </w:r>
    </w:p>
    <w:p w14:paraId="09808DC5" w14:textId="526E1357" w:rsidR="00981EEC" w:rsidRPr="00981EEC" w:rsidRDefault="00981EEC" w:rsidP="00981EEC">
      <w:r w:rsidRPr="00981EEC">
        <w:t>where </w:t>
      </w:r>
      <m:oMath>
        <m:sSub>
          <m:sSubPr>
            <m:ctrlPr>
              <w:rPr>
                <w:rFonts w:ascii="Cambria Math" w:hAnsi="Cambria Math"/>
                <w:i/>
                <w:iCs/>
              </w:rPr>
            </m:ctrlPr>
          </m:sSubPr>
          <m:e>
            <m:r>
              <w:rPr>
                <w:rFonts w:ascii="Cambria Math" w:hAnsi="Cambria Math"/>
              </w:rPr>
              <m:t>ε</m:t>
            </m:r>
          </m:e>
          <m:sub>
            <m:r>
              <w:rPr>
                <w:rFonts w:ascii="Cambria Math" w:hAnsi="Cambria Math"/>
                <w:vertAlign w:val="subscript"/>
              </w:rPr>
              <m:t>(</m:t>
            </m:r>
            <m:sSub>
              <m:sSubPr>
                <m:ctrlPr>
                  <w:rPr>
                    <w:rFonts w:ascii="Cambria Math" w:hAnsi="Cambria Math"/>
                    <w:iCs/>
                    <w:vertAlign w:val="subscript"/>
                  </w:rPr>
                </m:ctrlPr>
              </m:sSubPr>
              <m:e>
                <m:r>
                  <m:rPr>
                    <m:sty m:val="p"/>
                  </m:rPr>
                  <w:rPr>
                    <w:rFonts w:ascii="Cambria Math" w:hAnsi="Cambria Math"/>
                    <w:vertAlign w:val="subscript"/>
                  </w:rPr>
                  <m:t>HbO</m:t>
                </m:r>
              </m:e>
              <m:sub>
                <m:r>
                  <w:rPr>
                    <w:rFonts w:ascii="Cambria Math" w:hAnsi="Cambria Math"/>
                    <w:vertAlign w:val="subscript"/>
                  </w:rPr>
                  <m:t>2</m:t>
                </m:r>
              </m:sub>
            </m:sSub>
            <m:r>
              <w:rPr>
                <w:rFonts w:ascii="Cambria Math" w:hAnsi="Cambria Math"/>
              </w:rPr>
              <m:t>,</m:t>
            </m:r>
            <m:sSub>
              <m:sSubPr>
                <m:ctrlPr>
                  <w:rPr>
                    <w:rFonts w:ascii="Cambria Math" w:hAnsi="Cambria Math"/>
                    <w:i/>
                    <w:iCs/>
                  </w:rPr>
                </m:ctrlPr>
              </m:sSubPr>
              <m:e>
                <m:r>
                  <w:rPr>
                    <w:rFonts w:ascii="Cambria Math" w:hAnsi="Cambria Math"/>
                  </w:rPr>
                  <m:t>λ</m:t>
                </m:r>
              </m:e>
              <m:sub>
                <m:r>
                  <w:rPr>
                    <w:rFonts w:ascii="Cambria Math" w:hAnsi="Cambria Math"/>
                    <w:vertAlign w:val="subscript"/>
                  </w:rPr>
                  <m:t>i</m:t>
                </m:r>
              </m:sub>
            </m:sSub>
            <m:r>
              <w:rPr>
                <w:rFonts w:ascii="Cambria Math" w:hAnsi="Cambria Math"/>
              </w:rPr>
              <m:t>)</m:t>
            </m:r>
          </m:sub>
        </m:sSub>
      </m:oMath>
      <w:r w:rsidRPr="00981EEC">
        <w:t> and </w:t>
      </w:r>
      <m:oMath>
        <m:sSub>
          <m:sSubPr>
            <m:ctrlPr>
              <w:rPr>
                <w:rFonts w:ascii="Cambria Math" w:hAnsi="Cambria Math"/>
                <w:i/>
                <w:iCs/>
              </w:rPr>
            </m:ctrlPr>
          </m:sSubPr>
          <m:e>
            <m:r>
              <w:rPr>
                <w:rFonts w:ascii="Cambria Math" w:hAnsi="Cambria Math"/>
              </w:rPr>
              <m:t>ε</m:t>
            </m:r>
          </m:e>
          <m:sub>
            <m:r>
              <w:rPr>
                <w:rFonts w:ascii="Cambria Math" w:hAnsi="Cambria Math"/>
                <w:vertAlign w:val="subscript"/>
              </w:rPr>
              <m:t>(</m:t>
            </m:r>
            <m:r>
              <m:rPr>
                <m:sty m:val="p"/>
              </m:rPr>
              <w:rPr>
                <w:rFonts w:ascii="Cambria Math" w:hAnsi="Cambria Math"/>
                <w:vertAlign w:val="subscript"/>
              </w:rPr>
              <m:t>Hb</m:t>
            </m:r>
            <m:r>
              <w:rPr>
                <w:rFonts w:ascii="Cambria Math" w:hAnsi="Cambria Math"/>
                <w:vertAlign w:val="subscript"/>
              </w:rPr>
              <m:t>,</m:t>
            </m:r>
            <m:sSub>
              <m:sSubPr>
                <m:ctrlPr>
                  <w:rPr>
                    <w:rFonts w:ascii="Cambria Math" w:hAnsi="Cambria Math"/>
                    <w:i/>
                    <w:iCs/>
                    <w:vertAlign w:val="subscript"/>
                  </w:rPr>
                </m:ctrlPr>
              </m:sSubPr>
              <m:e>
                <m:r>
                  <w:rPr>
                    <w:rFonts w:ascii="Cambria Math" w:hAnsi="Cambria Math"/>
                    <w:vertAlign w:val="subscript"/>
                  </w:rPr>
                  <m:t>λ</m:t>
                </m:r>
              </m:e>
              <m:sub>
                <m:r>
                  <w:rPr>
                    <w:rFonts w:ascii="Cambria Math" w:hAnsi="Cambria Math"/>
                    <w:vertAlign w:val="subscript"/>
                  </w:rPr>
                  <m:t>i</m:t>
                </m:r>
              </m:sub>
            </m:sSub>
            <m:r>
              <w:rPr>
                <w:rFonts w:ascii="Cambria Math" w:hAnsi="Cambria Math"/>
              </w:rPr>
              <m:t>)</m:t>
            </m:r>
          </m:sub>
        </m:sSub>
      </m:oMath>
      <w:r w:rsidRPr="00981EEC">
        <w:t xml:space="preserve"> are the extinction coefficients of </w:t>
      </w:r>
      <m:oMath>
        <m:r>
          <m:rPr>
            <m:sty m:val="p"/>
          </m:rPr>
          <w:rPr>
            <w:rFonts w:ascii="Cambria Math" w:hAnsi="Cambria Math"/>
            <w:vertAlign w:val="subscript"/>
          </w:rPr>
          <m:t>Hb</m:t>
        </m:r>
        <m:sSub>
          <m:sSubPr>
            <m:ctrlPr>
              <w:rPr>
                <w:rFonts w:ascii="Cambria Math" w:hAnsi="Cambria Math"/>
                <w:iCs/>
                <w:vertAlign w:val="subscript"/>
              </w:rPr>
            </m:ctrlPr>
          </m:sSubPr>
          <m:e>
            <m:r>
              <m:rPr>
                <m:sty m:val="p"/>
              </m:rPr>
              <w:rPr>
                <w:rFonts w:ascii="Cambria Math" w:hAnsi="Cambria Math"/>
                <w:vertAlign w:val="subscript"/>
              </w:rPr>
              <m:t>O</m:t>
            </m:r>
          </m:e>
          <m:sub>
            <m:r>
              <m:rPr>
                <m:sty m:val="p"/>
              </m:rPr>
              <w:rPr>
                <w:rFonts w:ascii="Cambria Math" w:hAnsi="Cambria Math"/>
                <w:vertAlign w:val="subscript"/>
              </w:rPr>
              <m:t>2</m:t>
            </m:r>
          </m:sub>
        </m:sSub>
      </m:oMath>
      <w:r w:rsidRPr="00981EEC">
        <w:t> and Hb, respectively.</w:t>
      </w:r>
    </w:p>
    <w:p w14:paraId="23CB81C7" w14:textId="6AC47676" w:rsidR="00981EEC" w:rsidRPr="00981EEC" w:rsidRDefault="00981EEC" w:rsidP="00981EEC">
      <w:r w:rsidRPr="00981EEC">
        <w:t>In both the carbogen inhalation and forced CH experiments, one-way repeated measures ANOVA was employed to examine if there is statistically significant difference between the tissue physiological parameters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and THb) under different oxygen supply levels.</w:t>
      </w:r>
    </w:p>
    <w:p w14:paraId="66BB138C" w14:textId="77777777" w:rsidR="00981EEC" w:rsidRPr="00981EEC" w:rsidRDefault="00981EEC" w:rsidP="004C6B81">
      <w:pPr>
        <w:pStyle w:val="Heading1"/>
      </w:pPr>
      <w:r w:rsidRPr="00981EEC">
        <w:t>3. Results</w:t>
      </w:r>
    </w:p>
    <w:p w14:paraId="31E9D866" w14:textId="77777777" w:rsidR="00981EEC" w:rsidRPr="00981EEC" w:rsidRDefault="00981EEC" w:rsidP="004C6B81">
      <w:pPr>
        <w:pStyle w:val="Heading2"/>
      </w:pPr>
      <w:r w:rsidRPr="00981EEC">
        <w:t>3.1 Phantom study</w:t>
      </w:r>
    </w:p>
    <w:p w14:paraId="1AD17F8B" w14:textId="6F5F3396" w:rsidR="00981EEC" w:rsidRPr="0020536E" w:rsidRDefault="00981EEC" w:rsidP="0019114F">
      <w:r w:rsidRPr="00981EEC">
        <w:t>The diffuse reflectance spectra measured from 15 Intralipid phantoms were analyzed using </w:t>
      </w:r>
      <w:proofErr w:type="spellStart"/>
      <w:r w:rsidRPr="0020536E">
        <w:t>Eqs</w:t>
      </w:r>
      <w:proofErr w:type="spellEnd"/>
      <w:r w:rsidRPr="0020536E">
        <w:t>. (3)</w:t>
      </w:r>
      <w:proofErr w:type="gramStart"/>
      <w:r w:rsidRPr="00981EEC">
        <w:t>–</w:t>
      </w:r>
      <w:r w:rsidRPr="0020536E">
        <w:t>(</w:t>
      </w:r>
      <w:proofErr w:type="gramEnd"/>
      <w:r w:rsidRPr="0020536E">
        <w:t>13)</w:t>
      </w:r>
      <w:r w:rsidRPr="00981EEC">
        <w:t> at each wavelength. </w:t>
      </w:r>
      <w:r w:rsidRPr="0020536E">
        <w:t>Figure 4(a)</w:t>
      </w:r>
      <w:r w:rsidRPr="00981EEC">
        <w:t> shows the raw, calibrated and expected (modeled) ΔAC and Δ</w:t>
      </w:r>
      <w:r w:rsidRPr="00981EEC">
        <w:rPr>
          <w:i/>
          <w:iCs/>
        </w:rPr>
        <w:t>Φ</w:t>
      </w:r>
      <w:r w:rsidRPr="00981EEC">
        <w:t xml:space="preserve"> between 50–250 MHz at 654 nm for phantoms #1, 8 and 15 with low, </w:t>
      </w:r>
      <w:proofErr w:type="gramStart"/>
      <w:r w:rsidRPr="00981EEC">
        <w:t>medium</w:t>
      </w:r>
      <w:proofErr w:type="gramEnd"/>
      <w:r w:rsidRPr="00981EEC">
        <w:t xml:space="preserve"> and high (</w:t>
      </w:r>
      <m:oMath>
        <m:sSub>
          <m:sSubPr>
            <m:ctrlPr>
              <w:rPr>
                <w:rFonts w:ascii="Cambria Math" w:hAnsi="Cambria Math"/>
                <w:i/>
                <w:iCs/>
              </w:rPr>
            </m:ctrlPr>
          </m:sSubPr>
          <m:e>
            <m:r>
              <w:rPr>
                <w:rFonts w:ascii="Cambria Math" w:hAnsi="Cambria Math"/>
              </w:rPr>
              <m:t>μ</m:t>
            </m:r>
          </m:e>
          <m:sub>
            <m:r>
              <w:rPr>
                <w:rFonts w:ascii="Cambria Math" w:hAnsi="Cambria Math"/>
                <w:vertAlign w:val="subscript"/>
              </w:rPr>
              <m:t>a</m:t>
            </m:r>
          </m:sub>
        </m:sSub>
      </m:oMath>
      <w:r w:rsidRPr="00981EEC">
        <w:t>, </w:t>
      </w: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oMath>
      <w:r w:rsidRPr="00981EEC">
        <w:t xml:space="preserve">), respectively. Using a modulation frequency </w:t>
      </w:r>
      <w:proofErr w:type="gramStart"/>
      <w:r w:rsidRPr="00981EEC">
        <w:t>depend</w:t>
      </w:r>
      <w:proofErr w:type="gramEnd"/>
      <w:r w:rsidRPr="00981EEC">
        <w:t xml:space="preserve"> calibration factor </w:t>
      </w:r>
      <m:oMath>
        <m:r>
          <w:rPr>
            <w:rFonts w:ascii="Cambria Math" w:hAnsi="Cambria Math"/>
          </w:rPr>
          <m:t>Z(</m:t>
        </m:r>
        <m:sSub>
          <m:sSubPr>
            <m:ctrlPr>
              <w:rPr>
                <w:rFonts w:ascii="Cambria Math" w:hAnsi="Cambria Math"/>
                <w:i/>
                <w:iCs/>
              </w:rPr>
            </m:ctrlPr>
          </m:sSubPr>
          <m:e>
            <m:r>
              <w:rPr>
                <w:rFonts w:ascii="Cambria Math" w:hAnsi="Cambria Math"/>
              </w:rPr>
              <m:t>λ</m:t>
            </m:r>
          </m:e>
          <m:sub>
            <m:r>
              <w:rPr>
                <w:rFonts w:ascii="Cambria Math" w:hAnsi="Cambria Math"/>
                <w:vertAlign w:val="subscript"/>
              </w:rPr>
              <m:t>i</m:t>
            </m:r>
          </m:sub>
        </m:sSub>
        <m:r>
          <w:rPr>
            <w:rFonts w:ascii="Cambria Math" w:hAnsi="Cambria Math"/>
          </w:rPr>
          <m:t>, </m:t>
        </m:r>
        <m:r>
          <w:rPr>
            <w:rFonts w:ascii="Cambria Math" w:hAnsi="Cambria Math"/>
          </w:rPr>
          <m:t>f</m:t>
        </m:r>
        <m:r>
          <w:rPr>
            <w:rFonts w:ascii="Cambria Math" w:hAnsi="Cambria Math"/>
          </w:rPr>
          <m:t>)</m:t>
        </m:r>
      </m:oMath>
      <w:r w:rsidRPr="00981EEC">
        <w:t xml:space="preserve"> significantly improved the fits between the experimental and modeled phase spectra </w:t>
      </w:r>
      <m:oMath>
        <m:r>
          <m:rPr>
            <m:sty m:val="p"/>
          </m:rPr>
          <w:rPr>
            <w:rFonts w:ascii="Cambria Math" w:hAnsi="Cambria Math"/>
          </w:rPr>
          <m:t>Δ</m:t>
        </m:r>
        <m:r>
          <w:rPr>
            <w:rFonts w:ascii="Cambria Math" w:hAnsi="Cambria Math"/>
          </w:rPr>
          <m:t>Φ</m:t>
        </m:r>
        <m:r>
          <w:rPr>
            <w:rFonts w:ascii="Cambria Math" w:hAnsi="Cambria Math"/>
          </w:rPr>
          <m:t>(</m:t>
        </m:r>
        <m:r>
          <w:rPr>
            <w:rFonts w:ascii="Cambria Math" w:hAnsi="Cambria Math"/>
          </w:rPr>
          <m:t>λ</m:t>
        </m:r>
        <m:r>
          <w:rPr>
            <w:rFonts w:ascii="Cambria Math" w:hAnsi="Cambria Math"/>
          </w:rPr>
          <m:t>, </m:t>
        </m:r>
        <m:r>
          <w:rPr>
            <w:rFonts w:ascii="Cambria Math" w:hAnsi="Cambria Math"/>
          </w:rPr>
          <m:t>ω</m:t>
        </m:r>
        <m:r>
          <w:rPr>
            <w:rFonts w:ascii="Cambria Math" w:hAnsi="Cambria Math"/>
          </w:rPr>
          <m:t>)</m:t>
        </m:r>
      </m:oMath>
      <w:r w:rsidRPr="00981EEC">
        <w:t xml:space="preserve"> compared with calibration with a frequency-independent phase offset factor </w:t>
      </w:r>
      <m:oMath>
        <m:r>
          <w:rPr>
            <w:rFonts w:ascii="Cambria Math" w:hAnsi="Cambria Math"/>
          </w:rPr>
          <m:t>Z(</m:t>
        </m:r>
        <m:sSub>
          <m:sSubPr>
            <m:ctrlPr>
              <w:rPr>
                <w:rFonts w:ascii="Cambria Math" w:hAnsi="Cambria Math"/>
                <w:i/>
                <w:iCs/>
              </w:rPr>
            </m:ctrlPr>
          </m:sSubPr>
          <m:e>
            <m:r>
              <w:rPr>
                <w:rFonts w:ascii="Cambria Math" w:hAnsi="Cambria Math"/>
              </w:rPr>
              <m:t>λ</m:t>
            </m:r>
          </m:e>
          <m:sub>
            <m:r>
              <w:rPr>
                <w:rFonts w:ascii="Cambria Math" w:hAnsi="Cambria Math"/>
                <w:vertAlign w:val="subscript"/>
              </w:rPr>
              <m:t>i</m:t>
            </m:r>
          </m:sub>
        </m:sSub>
        <m:r>
          <w:rPr>
            <w:rFonts w:ascii="Cambria Math" w:hAnsi="Cambria Math"/>
          </w:rPr>
          <m:t>)</m:t>
        </m:r>
      </m:oMath>
      <w:r w:rsidRPr="00981EEC">
        <w:t xml:space="preserve"> that was used in the previous biopsy study [</w:t>
      </w:r>
      <w:r w:rsidRPr="0020536E">
        <w:t>28</w:t>
      </w:r>
      <w:r w:rsidRPr="00981EEC">
        <w:t>]. The calibrated relative amplitude and phase shift were used to extract the phantom </w:t>
      </w:r>
      <m:oMath>
        <m:sSub>
          <m:sSubPr>
            <m:ctrlPr>
              <w:rPr>
                <w:rFonts w:ascii="Cambria Math" w:hAnsi="Cambria Math"/>
                <w:i/>
                <w:iCs/>
              </w:rPr>
            </m:ctrlPr>
          </m:sSubPr>
          <m:e>
            <m:r>
              <w:rPr>
                <w:rFonts w:ascii="Cambria Math" w:hAnsi="Cambria Math"/>
              </w:rPr>
              <m:t>μ</m:t>
            </m:r>
          </m:e>
          <m:sub>
            <m:r>
              <w:rPr>
                <w:rFonts w:ascii="Cambria Math" w:hAnsi="Cambria Math"/>
                <w:vertAlign w:val="subscript"/>
              </w:rPr>
              <m:t>a</m:t>
            </m:r>
          </m:sub>
        </m:sSub>
      </m:oMath>
      <w:r w:rsidRPr="00981EEC">
        <w:t> and </w:t>
      </w: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oMath>
      <w:r w:rsidRPr="00981EEC">
        <w:t> at all wavelengths. </w:t>
      </w:r>
      <w:r w:rsidRPr="0020536E">
        <w:t>Figure 4(b)</w:t>
      </w:r>
      <w:r w:rsidRPr="00981EEC">
        <w:t xml:space="preserve"> is a scattered plot of the extracted </w:t>
      </w:r>
      <w:r w:rsidRPr="00981EEC">
        <w:lastRenderedPageBreak/>
        <w:t>vs. expected phantom </w:t>
      </w:r>
      <m:oMath>
        <m:sSub>
          <m:sSubPr>
            <m:ctrlPr>
              <w:rPr>
                <w:rFonts w:ascii="Cambria Math" w:hAnsi="Cambria Math"/>
                <w:i/>
                <w:iCs/>
              </w:rPr>
            </m:ctrlPr>
          </m:sSubPr>
          <m:e>
            <m:r>
              <w:rPr>
                <w:rFonts w:ascii="Cambria Math" w:hAnsi="Cambria Math"/>
              </w:rPr>
              <m:t>μ</m:t>
            </m:r>
          </m:e>
          <m:sub>
            <m:r>
              <w:rPr>
                <w:rFonts w:ascii="Cambria Math" w:hAnsi="Cambria Math"/>
                <w:vertAlign w:val="subscript"/>
              </w:rPr>
              <m:t>a</m:t>
            </m:r>
          </m:sub>
        </m:sSub>
      </m:oMath>
      <w:r w:rsidRPr="00981EEC">
        <w:t> and </w:t>
      </w: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oMath>
      <w:r w:rsidRPr="00981EEC">
        <w:t> at all the 6 wavelengths for all 15 phantoms. The errors for </w:t>
      </w:r>
      <m:oMath>
        <m:sSub>
          <m:sSubPr>
            <m:ctrlPr>
              <w:rPr>
                <w:rFonts w:ascii="Cambria Math" w:hAnsi="Cambria Math"/>
                <w:i/>
                <w:iCs/>
              </w:rPr>
            </m:ctrlPr>
          </m:sSubPr>
          <m:e>
            <m:r>
              <w:rPr>
                <w:rFonts w:ascii="Cambria Math" w:hAnsi="Cambria Math"/>
              </w:rPr>
              <m:t>μ</m:t>
            </m:r>
          </m:e>
          <m:sub>
            <m:r>
              <w:rPr>
                <w:rFonts w:ascii="Cambria Math" w:hAnsi="Cambria Math"/>
                <w:vertAlign w:val="subscript"/>
              </w:rPr>
              <m:t>a</m:t>
            </m:r>
          </m:sub>
        </m:sSub>
      </m:oMath>
      <w:r w:rsidRPr="00981EEC">
        <w:t> and </w:t>
      </w: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oMath>
      <w:r w:rsidRPr="00981EEC">
        <w:t xml:space="preserve"> extraction </w:t>
      </w:r>
      <w:proofErr w:type="gramStart"/>
      <w:r w:rsidRPr="00981EEC">
        <w:t>are</w:t>
      </w:r>
      <w:proofErr w:type="gramEnd"/>
      <w:r w:rsidRPr="00981EEC">
        <w:t xml:space="preserve"> 9.4 ± 2.8% and 3.4 ± 1.4% with frequency dependent phase calibration, and 14.6 ± 7.7% and 7.3 ± 1.4% with frequency independent phase calibration, respectively.</w:t>
      </w:r>
    </w:p>
    <w:p w14:paraId="7216BBC1" w14:textId="3EFAC3D9" w:rsidR="00981EEC" w:rsidRPr="00981EEC" w:rsidRDefault="00981EEC" w:rsidP="00575B62">
      <w:pPr>
        <w:pStyle w:val="NoSpacing"/>
      </w:pPr>
      <w:r w:rsidRPr="0020536E">
        <w:rPr>
          <w:noProof/>
        </w:rPr>
        <w:drawing>
          <wp:inline distT="0" distB="0" distL="0" distR="0" wp14:anchorId="431738CF" wp14:editId="4FA6B5B8">
            <wp:extent cx="2743200" cy="4178808"/>
            <wp:effectExtent l="0" t="0" r="0" b="0"/>
            <wp:docPr id="8" name="Picture 8">
              <a:hlinkClick xmlns:a="http://schemas.openxmlformats.org/drawingml/2006/main" r:id="rId16"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16"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4178808"/>
                    </a:xfrm>
                    <a:prstGeom prst="rect">
                      <a:avLst/>
                    </a:prstGeom>
                    <a:noFill/>
                    <a:ln>
                      <a:noFill/>
                    </a:ln>
                  </pic:spPr>
                </pic:pic>
              </a:graphicData>
            </a:graphic>
          </wp:inline>
        </w:drawing>
      </w:r>
    </w:p>
    <w:p w14:paraId="103E470A" w14:textId="57E4F796" w:rsidR="00981EEC" w:rsidRDefault="00981EEC" w:rsidP="00575B62">
      <w:pPr>
        <w:pStyle w:val="NoSpacing"/>
      </w:pPr>
      <w:r w:rsidRPr="00B01BE6">
        <w:t>Figure 4</w:t>
      </w:r>
      <w:r w:rsidR="00B01BE6">
        <w:t xml:space="preserve"> </w:t>
      </w:r>
      <w:r w:rsidRPr="00981EEC">
        <w:t>Phantom results: (</w:t>
      </w:r>
      <w:r w:rsidRPr="00981EEC">
        <w:rPr>
          <w:b/>
          <w:bCs/>
        </w:rPr>
        <w:t>a</w:t>
      </w:r>
      <w:r w:rsidRPr="00981EEC">
        <w:t>) Raw and calibrated relative amplitude and phase spectra (in frequency domain) for phantoms #1, 8 and 15. (</w:t>
      </w:r>
      <w:r w:rsidRPr="00981EEC">
        <w:rPr>
          <w:b/>
          <w:bCs/>
        </w:rPr>
        <w:t>b</w:t>
      </w:r>
      <w:r w:rsidRPr="00981EEC">
        <w:t xml:space="preserve">) Extracted </w:t>
      </w:r>
      <w:proofErr w:type="spellStart"/>
      <w:r w:rsidRPr="00981EEC">
        <w:t>v.s</w:t>
      </w:r>
      <w:proofErr w:type="spellEnd"/>
      <w:r w:rsidRPr="00981EEC">
        <w:t>. expected </w:t>
      </w:r>
      <m:oMath>
        <m:sSub>
          <m:sSubPr>
            <m:ctrlPr>
              <w:rPr>
                <w:rFonts w:ascii="Cambria Math" w:hAnsi="Cambria Math"/>
                <w:i/>
                <w:iCs/>
              </w:rPr>
            </m:ctrlPr>
          </m:sSubPr>
          <m:e>
            <m:r>
              <w:rPr>
                <w:rFonts w:ascii="Cambria Math" w:hAnsi="Cambria Math"/>
              </w:rPr>
              <m:t>μ</m:t>
            </m:r>
          </m:e>
          <m:sub>
            <m:r>
              <w:rPr>
                <w:rFonts w:ascii="Cambria Math" w:hAnsi="Cambria Math"/>
                <w:vertAlign w:val="subscript"/>
              </w:rPr>
              <m:t>a</m:t>
            </m:r>
          </m:sub>
        </m:sSub>
      </m:oMath>
      <w:r w:rsidRPr="00981EEC">
        <w:t> and </w:t>
      </w: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oMath>
      <w:r w:rsidRPr="00981EEC">
        <w:t> at all wavelengths for all phantoms. The errors for </w:t>
      </w:r>
      <m:oMath>
        <m:sSub>
          <m:sSubPr>
            <m:ctrlPr>
              <w:rPr>
                <w:rFonts w:ascii="Cambria Math" w:hAnsi="Cambria Math"/>
                <w:i/>
                <w:iCs/>
              </w:rPr>
            </m:ctrlPr>
          </m:sSubPr>
          <m:e>
            <m:r>
              <w:rPr>
                <w:rFonts w:ascii="Cambria Math" w:hAnsi="Cambria Math"/>
              </w:rPr>
              <m:t>μ</m:t>
            </m:r>
          </m:e>
          <m:sub>
            <m:r>
              <w:rPr>
                <w:rFonts w:ascii="Cambria Math" w:hAnsi="Cambria Math"/>
                <w:vertAlign w:val="subscript"/>
              </w:rPr>
              <m:t>a</m:t>
            </m:r>
          </m:sub>
        </m:sSub>
      </m:oMath>
      <w:r w:rsidRPr="00981EEC">
        <w:t> and </w:t>
      </w: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oMath>
      <w:r w:rsidRPr="00981EEC">
        <w:t xml:space="preserve"> extraction </w:t>
      </w:r>
      <w:proofErr w:type="gramStart"/>
      <w:r w:rsidRPr="00981EEC">
        <w:t>are</w:t>
      </w:r>
      <w:proofErr w:type="gramEnd"/>
      <w:r w:rsidRPr="00981EEC">
        <w:t xml:space="preserve"> 9.4 ± 2.8% and 3.4 ± 1.4% with frequency dependent phase calibration and 14.6 ± 7.7% and 7.3 ± 1.4% with frequency independent phase calibration, respectively.</w:t>
      </w:r>
    </w:p>
    <w:p w14:paraId="1C3DC838" w14:textId="77777777" w:rsidR="00575B62" w:rsidRPr="00981EEC" w:rsidRDefault="00575B62" w:rsidP="00981EEC"/>
    <w:p w14:paraId="403807B3" w14:textId="77777777" w:rsidR="00981EEC" w:rsidRPr="00981EEC" w:rsidRDefault="00981EEC" w:rsidP="00575B62">
      <w:pPr>
        <w:pStyle w:val="Heading2"/>
      </w:pPr>
      <w:r w:rsidRPr="00981EEC">
        <w:t>3.2 Rat study</w:t>
      </w:r>
    </w:p>
    <w:p w14:paraId="408C394A" w14:textId="1AAB5B92" w:rsidR="00981EEC" w:rsidRPr="00981EEC" w:rsidRDefault="00981EEC" w:rsidP="00575B62">
      <w:pPr>
        <w:pStyle w:val="Heading3"/>
      </w:pPr>
      <w:r w:rsidRPr="00981EEC">
        <w:t xml:space="preserve">3.2.1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and THb baselines </w:t>
      </w:r>
    </w:p>
    <w:p w14:paraId="3D072C1A" w14:textId="00C5CA9E" w:rsidR="00981EEC" w:rsidRPr="0020536E" w:rsidRDefault="00981EEC" w:rsidP="007F6C1A">
      <w:r w:rsidRPr="00981EEC">
        <w:t>The tissue physiological parameters were extracted from the FDPM measurements at each time point for each animal using </w:t>
      </w:r>
      <w:proofErr w:type="spellStart"/>
      <w:r w:rsidRPr="0020536E">
        <w:t>Eqs</w:t>
      </w:r>
      <w:proofErr w:type="spellEnd"/>
      <w:r w:rsidRPr="0020536E">
        <w:t>. (14)</w:t>
      </w:r>
      <w:proofErr w:type="gramStart"/>
      <w:r w:rsidRPr="00981EEC">
        <w:t>–</w:t>
      </w:r>
      <w:r w:rsidRPr="0020536E">
        <w:t>(</w:t>
      </w:r>
      <w:proofErr w:type="gramEnd"/>
      <w:r w:rsidRPr="0020536E">
        <w:t>16)</w:t>
      </w:r>
      <w:r w:rsidRPr="00981EEC">
        <w:t>. </w:t>
      </w:r>
      <w:r w:rsidRPr="0020536E">
        <w:t>Figure 5</w:t>
      </w:r>
      <w:r w:rsidRPr="00981EEC">
        <w:t xml:space="preserve"> shows boxplots of the baseline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xml:space="preserve"> and THb obtained during carbogen inhalation (8 animals) and forced CH (10 + 4 animals) studies. No significant difference in the baseline THb and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was found across all the three animal groups indicating that all the animals used for the study had similar basel</w:t>
      </w:r>
      <w:proofErr w:type="spellStart"/>
      <w:r w:rsidRPr="00981EEC">
        <w:t>ines</w:t>
      </w:r>
      <w:proofErr w:type="spellEnd"/>
      <w:r w:rsidRPr="00981EEC">
        <w:t xml:space="preserve"> in their physiology prior to </w:t>
      </w:r>
      <w:proofErr w:type="spellStart"/>
      <w:r w:rsidRPr="00981EEC">
        <w:t>hyperoxic</w:t>
      </w:r>
      <w:proofErr w:type="spellEnd"/>
      <w:r w:rsidRPr="00981EEC">
        <w:t xml:space="preserve"> or hypoxia gas breathing. Slightly raising the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xml:space="preserve"> concentration from 21% to 30% didn’t significantly change the measured tissue oxygenation showing that the tissue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xml:space="preserve"> isn’t very sensitive to a small increase in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from room air.</w:t>
      </w:r>
    </w:p>
    <w:p w14:paraId="5733B6CA" w14:textId="41C98787" w:rsidR="00981EEC" w:rsidRPr="00981EEC" w:rsidRDefault="00981EEC" w:rsidP="00575B62">
      <w:pPr>
        <w:pStyle w:val="NoSpacing"/>
      </w:pPr>
      <w:r w:rsidRPr="0020536E">
        <w:rPr>
          <w:noProof/>
        </w:rPr>
        <w:lastRenderedPageBreak/>
        <w:drawing>
          <wp:inline distT="0" distB="0" distL="0" distR="0" wp14:anchorId="6CEB47F8" wp14:editId="49963001">
            <wp:extent cx="2743200" cy="5001768"/>
            <wp:effectExtent l="0" t="0" r="0" b="8890"/>
            <wp:docPr id="7" name="Picture 7">
              <a:hlinkClick xmlns:a="http://schemas.openxmlformats.org/drawingml/2006/main" r:id="rId18"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8"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5001768"/>
                    </a:xfrm>
                    <a:prstGeom prst="rect">
                      <a:avLst/>
                    </a:prstGeom>
                    <a:noFill/>
                    <a:ln>
                      <a:noFill/>
                    </a:ln>
                  </pic:spPr>
                </pic:pic>
              </a:graphicData>
            </a:graphic>
          </wp:inline>
        </w:drawing>
      </w:r>
    </w:p>
    <w:p w14:paraId="4EADACC0" w14:textId="488F14FC" w:rsidR="00981EEC" w:rsidRDefault="00981EEC" w:rsidP="00575B62">
      <w:pPr>
        <w:pStyle w:val="NoSpacing"/>
      </w:pPr>
      <w:r w:rsidRPr="00B01BE6">
        <w:t>Figure 5</w:t>
      </w:r>
      <w:r w:rsidR="00B01BE6">
        <w:t xml:space="preserve"> </w:t>
      </w:r>
      <w:r w:rsidRPr="00981EEC">
        <w:t>Boxplots of baseline (</w:t>
      </w:r>
      <w:r w:rsidRPr="00981EEC">
        <w:rPr>
          <w:b/>
          <w:bCs/>
        </w:rPr>
        <w:t>a</w:t>
      </w:r>
      <w:r w:rsidRPr="00981EEC">
        <w:t xml:space="preserv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and (</w:t>
      </w:r>
      <w:r w:rsidRPr="00981EEC">
        <w:rPr>
          <w:b/>
          <w:bCs/>
        </w:rPr>
        <w:t>b</w:t>
      </w:r>
      <w:r w:rsidRPr="00981EEC">
        <w:t>) THb for tumors and controls in the carbogen gas and forced CH studies.</w:t>
      </w:r>
    </w:p>
    <w:p w14:paraId="278F8754" w14:textId="77777777" w:rsidR="00575B62" w:rsidRPr="00981EEC" w:rsidRDefault="00575B62" w:rsidP="00981EEC"/>
    <w:p w14:paraId="77C91FEF" w14:textId="77777777" w:rsidR="00981EEC" w:rsidRPr="00981EEC" w:rsidRDefault="00981EEC" w:rsidP="00575B62">
      <w:pPr>
        <w:pStyle w:val="Heading3"/>
      </w:pPr>
      <w:r w:rsidRPr="00981EEC">
        <w:t>3.2.2 Carbogen inhalation </w:t>
      </w:r>
    </w:p>
    <w:p w14:paraId="79DAFA06" w14:textId="12E3A1F9" w:rsidR="00981EEC" w:rsidRPr="00981EEC" w:rsidRDefault="00981EEC" w:rsidP="00981EEC">
      <w:r w:rsidRPr="00981EEC">
        <w:t>The physiological responses of a typical rat tumor (Rat #5) to carbogen gas inhalation measured with the side-firing probe are presented in </w:t>
      </w:r>
      <w:r w:rsidRPr="0020536E">
        <w:t>Figure 6</w:t>
      </w:r>
      <w:r w:rsidRPr="00981EEC">
        <w:t xml:space="preserve">. The tumor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xml:space="preserve"> fluctuation was within 4% during the baseline. The mean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ju</w:t>
      </w:r>
      <w:proofErr w:type="spellStart"/>
      <w:r w:rsidRPr="00981EEC">
        <w:t>mped</w:t>
      </w:r>
      <w:proofErr w:type="spellEnd"/>
      <w:r w:rsidRPr="00981EEC">
        <w:t xml:space="preserve"> from 58% to 71.5% upon carbogen gas </w:t>
      </w:r>
      <w:proofErr w:type="gramStart"/>
      <w:r w:rsidRPr="00981EEC">
        <w:t>breathing, but</w:t>
      </w:r>
      <w:proofErr w:type="gramEnd"/>
      <w:r w:rsidRPr="00981EEC">
        <w:t xml:space="preserve"> did not fully return to the baseline within 20 minutes after being switched back to room air. The fluctuation in THb during the baseline was less than 3 μM. The mean THb dropped from 92.5 to 88.7 μM upon carbogen gas breathing and returned to the baseline within 20 minutes after being switched back to room air. While similar trend for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has been observed, a slow increase in THb has been recorded in other rats in this group.</w:t>
      </w:r>
    </w:p>
    <w:p w14:paraId="60B6AF17" w14:textId="05BB44A8" w:rsidR="00981EEC" w:rsidRPr="0020536E" w:rsidRDefault="00981EEC" w:rsidP="00575B62">
      <w:pPr>
        <w:pStyle w:val="NoSpacing"/>
      </w:pPr>
    </w:p>
    <w:p w14:paraId="5B67E962" w14:textId="532D2397" w:rsidR="00981EEC" w:rsidRPr="00981EEC" w:rsidRDefault="00981EEC" w:rsidP="00575B62">
      <w:pPr>
        <w:pStyle w:val="NoSpacing"/>
      </w:pPr>
      <w:r w:rsidRPr="0020536E">
        <w:rPr>
          <w:noProof/>
        </w:rPr>
        <w:lastRenderedPageBreak/>
        <w:drawing>
          <wp:inline distT="0" distB="0" distL="0" distR="0" wp14:anchorId="1934EF14" wp14:editId="21BC803D">
            <wp:extent cx="2743200" cy="3300984"/>
            <wp:effectExtent l="0" t="0" r="0" b="0"/>
            <wp:docPr id="6" name="Picture 6">
              <a:hlinkClick xmlns:a="http://schemas.openxmlformats.org/drawingml/2006/main" r:id="rId20"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20"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3300984"/>
                    </a:xfrm>
                    <a:prstGeom prst="rect">
                      <a:avLst/>
                    </a:prstGeom>
                    <a:noFill/>
                    <a:ln>
                      <a:noFill/>
                    </a:ln>
                  </pic:spPr>
                </pic:pic>
              </a:graphicData>
            </a:graphic>
          </wp:inline>
        </w:drawing>
      </w:r>
    </w:p>
    <w:p w14:paraId="5FE0F643" w14:textId="05776EEB" w:rsidR="00981EEC" w:rsidRDefault="00981EEC" w:rsidP="00575B62">
      <w:pPr>
        <w:pStyle w:val="NoSpacing"/>
      </w:pPr>
      <w:r w:rsidRPr="00B01BE6">
        <w:t>Figure 6</w:t>
      </w:r>
      <w:r w:rsidR="00B01BE6">
        <w:t xml:space="preserve"> </w:t>
      </w:r>
      <w:r w:rsidRPr="00981EEC">
        <w:t>(</w:t>
      </w:r>
      <w:r w:rsidRPr="00981EEC">
        <w:rPr>
          <w:b/>
          <w:bCs/>
        </w:rPr>
        <w:t>a</w:t>
      </w:r>
      <w:r w:rsidRPr="00981EEC">
        <w:t xml:space="preserv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and (</w:t>
      </w:r>
      <w:r w:rsidRPr="00981EEC">
        <w:rPr>
          <w:b/>
          <w:bCs/>
        </w:rPr>
        <w:t>b</w:t>
      </w:r>
      <w:r w:rsidRPr="00981EEC">
        <w:t>) THb measured from Rat #5 in pre-, during and post carbogen inhalation.</w:t>
      </w:r>
    </w:p>
    <w:p w14:paraId="24AF5EFA" w14:textId="77777777" w:rsidR="00575B62" w:rsidRPr="00981EEC" w:rsidRDefault="00575B62" w:rsidP="00981EEC"/>
    <w:p w14:paraId="54544327" w14:textId="61A006AE" w:rsidR="00981EEC" w:rsidRPr="00981EEC" w:rsidRDefault="00981EEC" w:rsidP="00981EEC">
      <w:r w:rsidRPr="0020536E">
        <w:t>Figure 7</w:t>
      </w:r>
      <w:r w:rsidRPr="00981EEC">
        <w:t xml:space="preserve"> shows the boxplots of changes in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and THb from the first baseline datapoint (</w:t>
      </w:r>
      <w:r w:rsidRPr="00981EEC">
        <w:rPr>
          <w:i/>
          <w:iCs/>
        </w:rPr>
        <w:t>t</w:t>
      </w:r>
      <w:r w:rsidRPr="00981EEC">
        <w:t xml:space="preserve"> = 0 minute) for all 8 rats. Significant increase in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xml:space="preserve"> from </w:t>
      </w:r>
      <w:proofErr w:type="gramStart"/>
      <w:r w:rsidRPr="00981EEC">
        <w:t>base-line</w:t>
      </w:r>
      <w:proofErr w:type="gramEnd"/>
      <w:r w:rsidRPr="00981EEC">
        <w:t xml:space="preserve"> (</w:t>
      </w:r>
      <w:r w:rsidRPr="00981EEC">
        <w:rPr>
          <w:i/>
          <w:iCs/>
        </w:rPr>
        <w:t>p</w:t>
      </w:r>
      <w:r w:rsidRPr="00981EEC">
        <w:t> = 3.4</w:t>
      </w:r>
      <w:r w:rsidRPr="00981EEC">
        <w:rPr>
          <w:i/>
          <w:iCs/>
        </w:rPr>
        <w:t>e</w:t>
      </w:r>
      <w:r w:rsidRPr="00981EEC">
        <w:t xml:space="preserve">-5) was observed during carbogen inhalation. There was also a significant difference in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between the baseline and recovery phase (</w:t>
      </w:r>
      <w:r w:rsidRPr="00981EEC">
        <w:rPr>
          <w:i/>
          <w:iCs/>
        </w:rPr>
        <w:t>p</w:t>
      </w:r>
      <w:r w:rsidRPr="00981EEC">
        <w:t xml:space="preserve"> = 0.01) indicating that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xml:space="preserve"> did not fully return to the </w:t>
      </w:r>
      <w:proofErr w:type="gramStart"/>
      <w:r w:rsidRPr="00981EEC">
        <w:t>base-line</w:t>
      </w:r>
      <w:proofErr w:type="gramEnd"/>
      <w:r w:rsidRPr="00981EEC">
        <w:t xml:space="preserve"> during the 20 minutes recovery period. Although there was a small increase in the THb, there was no significant change between the hyperoxia and recovery phases from the baseline (</w:t>
      </w:r>
      <w:r w:rsidRPr="00981EEC">
        <w:rPr>
          <w:i/>
          <w:iCs/>
        </w:rPr>
        <w:t>p</w:t>
      </w:r>
      <w:r w:rsidRPr="00981EEC">
        <w:t> = 0.74 and 0.12, respectively).</w:t>
      </w:r>
    </w:p>
    <w:p w14:paraId="3FA10EB4" w14:textId="48FE1F9B" w:rsidR="00981EEC" w:rsidRPr="0020536E" w:rsidRDefault="00981EEC" w:rsidP="00575B62">
      <w:pPr>
        <w:pStyle w:val="NoSpacing"/>
      </w:pPr>
    </w:p>
    <w:p w14:paraId="20BDD992" w14:textId="5D66BA18" w:rsidR="00981EEC" w:rsidRPr="00981EEC" w:rsidRDefault="00981EEC" w:rsidP="00575B62">
      <w:pPr>
        <w:pStyle w:val="NoSpacing"/>
      </w:pPr>
      <w:r w:rsidRPr="0020536E">
        <w:rPr>
          <w:noProof/>
        </w:rPr>
        <w:lastRenderedPageBreak/>
        <w:drawing>
          <wp:inline distT="0" distB="0" distL="0" distR="0" wp14:anchorId="1EC4A105" wp14:editId="579070E3">
            <wp:extent cx="2743200" cy="3575304"/>
            <wp:effectExtent l="0" t="0" r="0" b="6350"/>
            <wp:docPr id="5" name="Picture 5">
              <a:hlinkClick xmlns:a="http://schemas.openxmlformats.org/drawingml/2006/main" r:id="rId22"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22"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3575304"/>
                    </a:xfrm>
                    <a:prstGeom prst="rect">
                      <a:avLst/>
                    </a:prstGeom>
                    <a:noFill/>
                    <a:ln>
                      <a:noFill/>
                    </a:ln>
                  </pic:spPr>
                </pic:pic>
              </a:graphicData>
            </a:graphic>
          </wp:inline>
        </w:drawing>
      </w:r>
    </w:p>
    <w:p w14:paraId="62A9C80C" w14:textId="50DB83BF" w:rsidR="00981EEC" w:rsidRDefault="00981EEC" w:rsidP="00575B62">
      <w:pPr>
        <w:pStyle w:val="NoSpacing"/>
      </w:pPr>
      <w:r w:rsidRPr="00B01BE6">
        <w:t>Figure 7</w:t>
      </w:r>
      <w:r w:rsidR="00B01BE6">
        <w:t xml:space="preserve"> </w:t>
      </w:r>
      <w:r w:rsidRPr="00981EEC">
        <w:t>Boxplots of changes in (</w:t>
      </w:r>
      <w:r w:rsidRPr="00981EEC">
        <w:rPr>
          <w:b/>
          <w:bCs/>
        </w:rPr>
        <w:t>a</w:t>
      </w:r>
      <w:r w:rsidRPr="00981EEC">
        <w:t xml:space="preserv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and (</w:t>
      </w:r>
      <w:r w:rsidRPr="00981EEC">
        <w:rPr>
          <w:b/>
          <w:bCs/>
        </w:rPr>
        <w:t>b</w:t>
      </w:r>
      <w:r w:rsidRPr="00981EEC">
        <w:t>) THb from the first baseline datapoint (</w:t>
      </w:r>
      <w:r w:rsidRPr="00981EEC">
        <w:rPr>
          <w:i/>
          <w:iCs/>
        </w:rPr>
        <w:t>t</w:t>
      </w:r>
      <w:r w:rsidRPr="00981EEC">
        <w:t> = 0 minute) for all 8 rats in the carbogen inhalation study.</w:t>
      </w:r>
    </w:p>
    <w:p w14:paraId="2F65EC04" w14:textId="77777777" w:rsidR="00575B62" w:rsidRPr="00981EEC" w:rsidRDefault="00575B62" w:rsidP="00981EEC"/>
    <w:p w14:paraId="266C6760" w14:textId="77777777" w:rsidR="00981EEC" w:rsidRPr="00981EEC" w:rsidRDefault="00981EEC" w:rsidP="00575B62">
      <w:pPr>
        <w:pStyle w:val="Heading3"/>
      </w:pPr>
      <w:r w:rsidRPr="00981EEC">
        <w:t>3.2.3 Forced CH </w:t>
      </w:r>
    </w:p>
    <w:p w14:paraId="27C6A0BF" w14:textId="51BD11F5" w:rsidR="00981EEC" w:rsidRPr="00981EEC" w:rsidRDefault="00981EEC" w:rsidP="00981EEC">
      <w:r w:rsidRPr="00981EEC">
        <w:t>The physiological responses of a typical rat tumor (Rat #10) and a normal control (Rat #16) to forced cyclic hypoxia measured with both the side-firing probe and mouse oximeter are shown in </w:t>
      </w:r>
      <w:r w:rsidRPr="0020536E">
        <w:t>Figure 8</w:t>
      </w:r>
      <w:r w:rsidRPr="00981EEC">
        <w:t>. The THb for both the tumor and control (</w:t>
      </w:r>
      <w:r w:rsidRPr="0020536E">
        <w:t>Figure 8(a) and (c)</w:t>
      </w:r>
      <w:r w:rsidRPr="00981EEC">
        <w:t>) showed a slow increase with some fluctuations through the 50-minute study period, while both the tissue oxygenation measured by the side-firing probe (</w:t>
      </w:r>
      <w:r w:rsidRPr="0020536E">
        <w:t>Figure 8(b)</w:t>
      </w:r>
      <w:r w:rsidRPr="00981EEC">
        <w:t xml:space="preserve">) and arterial blood oxygenation recorded by the </w:t>
      </w:r>
      <w:proofErr w:type="spellStart"/>
      <w:r w:rsidRPr="00981EEC">
        <w:t>MouseOx</w:t>
      </w:r>
      <w:proofErr w:type="spellEnd"/>
      <w:r w:rsidRPr="00981EEC">
        <w:t xml:space="preserve"> (</w:t>
      </w:r>
      <w:r w:rsidRPr="0020536E">
        <w:t>Figure 8(d)</w:t>
      </w:r>
      <w:r w:rsidRPr="00981EEC">
        <w:t>) followed the cycles of the oxygen supply pattern as shown in </w:t>
      </w:r>
      <w:r w:rsidRPr="0020536E">
        <w:t>Figure 3(b)</w:t>
      </w:r>
      <w:r w:rsidRPr="00981EEC">
        <w:t xml:space="preserve">. It is worth noting that the tissue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is an average over the tissue volume under the side-firing probe which is roughly about 1 cm in diameter and thus is lower than the arterial blood saturation measured with the MouseOx. This is to be expected as there are longitudinal gradients in oxygen when going from the heart to the peripheral arterial circulation as reported by Dewhirst [</w:t>
      </w:r>
      <w:r w:rsidRPr="0020536E">
        <w:t>17</w:t>
      </w:r>
      <w:r w:rsidRPr="00981EEC">
        <w:t>]. We also noticed that the response in the tissue oxygenation has a slight delay from that of the arterial blood saturation.</w:t>
      </w:r>
    </w:p>
    <w:p w14:paraId="0A11952F" w14:textId="4B31A767" w:rsidR="00981EEC" w:rsidRPr="0020536E" w:rsidRDefault="00981EEC" w:rsidP="0012097F">
      <w:pPr>
        <w:pStyle w:val="NoSpacing"/>
      </w:pPr>
    </w:p>
    <w:p w14:paraId="5F94DEB9" w14:textId="736D826E" w:rsidR="00981EEC" w:rsidRPr="00981EEC" w:rsidRDefault="00981EEC" w:rsidP="0012097F">
      <w:pPr>
        <w:pStyle w:val="NoSpacing"/>
      </w:pPr>
      <w:r w:rsidRPr="0020536E">
        <w:rPr>
          <w:noProof/>
        </w:rPr>
        <w:lastRenderedPageBreak/>
        <w:drawing>
          <wp:inline distT="0" distB="0" distL="0" distR="0" wp14:anchorId="7861EC9E" wp14:editId="5B478E4D">
            <wp:extent cx="2743200" cy="6035040"/>
            <wp:effectExtent l="0" t="0" r="0" b="3810"/>
            <wp:docPr id="4" name="Picture 4">
              <a:hlinkClick xmlns:a="http://schemas.openxmlformats.org/drawingml/2006/main" r:id="rId24"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24"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6035040"/>
                    </a:xfrm>
                    <a:prstGeom prst="rect">
                      <a:avLst/>
                    </a:prstGeom>
                    <a:noFill/>
                    <a:ln>
                      <a:noFill/>
                    </a:ln>
                  </pic:spPr>
                </pic:pic>
              </a:graphicData>
            </a:graphic>
          </wp:inline>
        </w:drawing>
      </w:r>
    </w:p>
    <w:p w14:paraId="18EF9EC9" w14:textId="75775234" w:rsidR="00981EEC" w:rsidRDefault="00981EEC" w:rsidP="0012097F">
      <w:pPr>
        <w:pStyle w:val="NoSpacing"/>
      </w:pPr>
      <w:r w:rsidRPr="0012097F">
        <w:t>Figure 8</w:t>
      </w:r>
      <w:r w:rsidR="0012097F">
        <w:t xml:space="preserve"> </w:t>
      </w:r>
      <w:r w:rsidRPr="00981EEC">
        <w:t xml:space="preserve">Typical THb and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measured in the forced CH study from a rat tumor (Rat #10, (</w:t>
      </w:r>
      <w:r w:rsidRPr="00981EEC">
        <w:rPr>
          <w:b/>
          <w:bCs/>
        </w:rPr>
        <w:t>a</w:t>
      </w:r>
      <w:r w:rsidRPr="00981EEC">
        <w:t>) and (</w:t>
      </w:r>
      <w:r w:rsidRPr="00981EEC">
        <w:rPr>
          <w:b/>
          <w:bCs/>
        </w:rPr>
        <w:t>b</w:t>
      </w:r>
      <w:r w:rsidRPr="00981EEC">
        <w:t>)) and a normal control (Rat #16, (</w:t>
      </w:r>
      <w:r w:rsidRPr="00981EEC">
        <w:rPr>
          <w:b/>
          <w:bCs/>
        </w:rPr>
        <w:t>c</w:t>
      </w:r>
      <w:r w:rsidRPr="00981EEC">
        <w:t>) and (</w:t>
      </w:r>
      <w:r w:rsidRPr="00981EEC">
        <w:rPr>
          <w:b/>
          <w:bCs/>
        </w:rPr>
        <w:t>d</w:t>
      </w:r>
      <w:r w:rsidRPr="00981EEC">
        <w:t>)).</w:t>
      </w:r>
    </w:p>
    <w:p w14:paraId="46DEC41F" w14:textId="77777777" w:rsidR="0012097F" w:rsidRPr="00981EEC" w:rsidRDefault="0012097F" w:rsidP="00981EEC"/>
    <w:p w14:paraId="3BAB4F46" w14:textId="6539BF51" w:rsidR="00981EEC" w:rsidRPr="00981EEC" w:rsidRDefault="00981EEC" w:rsidP="00981EEC">
      <w:r w:rsidRPr="0020536E">
        <w:t>Figure 9</w:t>
      </w:r>
      <w:r w:rsidRPr="00981EEC">
        <w:t xml:space="preserve"> shows the boxplots of changes in THb and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(from </w:t>
      </w:r>
      <w:r w:rsidRPr="00981EEC">
        <w:rPr>
          <w:i/>
          <w:iCs/>
        </w:rPr>
        <w:t>t</w:t>
      </w:r>
      <w:r w:rsidRPr="00981EEC">
        <w:t xml:space="preserve"> = 0 minute) for normal tissue during </w:t>
      </w:r>
      <w:proofErr w:type="spellStart"/>
      <w:r w:rsidRPr="00981EEC">
        <w:t>normoxia</w:t>
      </w:r>
      <w:proofErr w:type="spellEnd"/>
      <w:r w:rsidRPr="00981EEC">
        <w:t xml:space="preserve"> (NN, 4 rats), normal tissue during hypoxia (NH, 4 rats), tumor tissue during </w:t>
      </w:r>
      <w:proofErr w:type="spellStart"/>
      <w:r w:rsidRPr="00981EEC">
        <w:t>normoxia</w:t>
      </w:r>
      <w:proofErr w:type="spellEnd"/>
      <w:r w:rsidRPr="00981EEC">
        <w:t xml:space="preserve"> (TN, 10 rats) and tumor tissue during hypoxia (TH, 10 rats). The </w:t>
      </w:r>
      <w:proofErr w:type="spellStart"/>
      <w:r w:rsidRPr="00981EEC">
        <w:t>normoxia</w:t>
      </w:r>
      <w:proofErr w:type="spellEnd"/>
      <w:r w:rsidRPr="00981EEC">
        <w:t xml:space="preserve"> (NN and TN) includes all the data points collected during 30%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xml:space="preserve"> breathing and the hypoxia (NH and TH) includes all data points measured during 12%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bre</w:t>
      </w:r>
      <w:proofErr w:type="spellStart"/>
      <w:r w:rsidRPr="00981EEC">
        <w:t>athing</w:t>
      </w:r>
      <w:proofErr w:type="spellEnd"/>
      <w:r w:rsidRPr="00981EEC">
        <w:t>. Significant differences in Δ</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were found between normoxia and hypoxia for both normal (</w:t>
      </w:r>
      <w:r w:rsidRPr="00981EEC">
        <w:rPr>
          <w:i/>
          <w:iCs/>
        </w:rPr>
        <w:t>p</w:t>
      </w:r>
      <w:r w:rsidRPr="00981EEC">
        <w:t> = 0.024) and tumors (</w:t>
      </w:r>
      <w:r w:rsidRPr="00981EEC">
        <w:rPr>
          <w:i/>
          <w:iCs/>
        </w:rPr>
        <w:t>p</w:t>
      </w:r>
      <w:r w:rsidRPr="00981EEC">
        <w:t> = 4.2–6) (</w:t>
      </w:r>
      <w:r w:rsidRPr="0020536E">
        <w:t>Figure 9(a)</w:t>
      </w:r>
      <w:r w:rsidRPr="00981EEC">
        <w:t xml:space="preserve">). </w:t>
      </w:r>
      <w:proofErr w:type="spellStart"/>
      <w:r w:rsidRPr="00981EEC">
        <w:t>ΔTHb</w:t>
      </w:r>
      <w:proofErr w:type="spellEnd"/>
      <w:r w:rsidRPr="00981EEC">
        <w:t xml:space="preserve"> was significantly higher only for tumors during hypoxia (</w:t>
      </w:r>
      <w:r w:rsidRPr="0020536E">
        <w:t>Figure 9(b)</w:t>
      </w:r>
      <w:r w:rsidRPr="00981EEC">
        <w:t>).</w:t>
      </w:r>
    </w:p>
    <w:p w14:paraId="360D0A7F" w14:textId="0E88A67E" w:rsidR="00981EEC" w:rsidRPr="0020536E" w:rsidRDefault="00981EEC" w:rsidP="002563E7">
      <w:pPr>
        <w:pStyle w:val="NoSpacing"/>
      </w:pPr>
    </w:p>
    <w:p w14:paraId="2D586A5A" w14:textId="29D5EA42" w:rsidR="00981EEC" w:rsidRPr="00981EEC" w:rsidRDefault="00981EEC" w:rsidP="002563E7">
      <w:pPr>
        <w:pStyle w:val="NoSpacing"/>
      </w:pPr>
      <w:r w:rsidRPr="0020536E">
        <w:rPr>
          <w:noProof/>
        </w:rPr>
        <w:lastRenderedPageBreak/>
        <w:drawing>
          <wp:inline distT="0" distB="0" distL="0" distR="0" wp14:anchorId="5FBF6541" wp14:editId="632B1802">
            <wp:extent cx="2743200" cy="5248656"/>
            <wp:effectExtent l="0" t="0" r="0" b="9525"/>
            <wp:docPr id="3" name="Picture 3">
              <a:hlinkClick xmlns:a="http://schemas.openxmlformats.org/drawingml/2006/main" r:id="rId26"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26"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5248656"/>
                    </a:xfrm>
                    <a:prstGeom prst="rect">
                      <a:avLst/>
                    </a:prstGeom>
                    <a:noFill/>
                    <a:ln>
                      <a:noFill/>
                    </a:ln>
                  </pic:spPr>
                </pic:pic>
              </a:graphicData>
            </a:graphic>
          </wp:inline>
        </w:drawing>
      </w:r>
    </w:p>
    <w:p w14:paraId="5138478E" w14:textId="21F70F70" w:rsidR="00981EEC" w:rsidRDefault="00981EEC" w:rsidP="002563E7">
      <w:pPr>
        <w:pStyle w:val="NoSpacing"/>
      </w:pPr>
      <w:r w:rsidRPr="002563E7">
        <w:t>Figure 9</w:t>
      </w:r>
      <w:r w:rsidR="002563E7">
        <w:t xml:space="preserve"> </w:t>
      </w:r>
      <w:r w:rsidRPr="00981EEC">
        <w:t>Boxplots of changes (from the 1</w:t>
      </w:r>
      <w:r w:rsidRPr="00981EEC">
        <w:rPr>
          <w:vertAlign w:val="superscript"/>
        </w:rPr>
        <w:t>st</w:t>
      </w:r>
      <w:r w:rsidRPr="00981EEC">
        <w:t> data point) in (</w:t>
      </w:r>
      <w:r w:rsidRPr="00981EEC">
        <w:rPr>
          <w:b/>
          <w:bCs/>
        </w:rPr>
        <w:t>a</w:t>
      </w:r>
      <w:r w:rsidRPr="00981EEC">
        <w:t xml:space="preserv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and (</w:t>
      </w:r>
      <w:r w:rsidRPr="00981EEC">
        <w:rPr>
          <w:b/>
          <w:bCs/>
        </w:rPr>
        <w:t>b</w:t>
      </w:r>
      <w:r w:rsidRPr="00981EEC">
        <w:t xml:space="preserve">) THb for normal tissue during </w:t>
      </w:r>
      <w:proofErr w:type="spellStart"/>
      <w:r w:rsidRPr="00981EEC">
        <w:t>normoxia</w:t>
      </w:r>
      <w:proofErr w:type="spellEnd"/>
      <w:r w:rsidRPr="00981EEC">
        <w:t xml:space="preserve"> (NN), normal tissue during hypoxia (NH), tumor tissue during </w:t>
      </w:r>
      <w:proofErr w:type="spellStart"/>
      <w:r w:rsidRPr="00981EEC">
        <w:t>normoxia</w:t>
      </w:r>
      <w:proofErr w:type="spellEnd"/>
      <w:r w:rsidRPr="00981EEC">
        <w:t xml:space="preserve"> (TN) and tumor tissue during hypoxia (TH). The </w:t>
      </w:r>
      <w:proofErr w:type="spellStart"/>
      <w:r w:rsidRPr="00981EEC">
        <w:t>normoxia</w:t>
      </w:r>
      <w:proofErr w:type="spellEnd"/>
      <w:r w:rsidRPr="00981EEC">
        <w:t xml:space="preserve"> (NN and TN) includes all the data points collected under 30%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supply and the hypoxia (NH a</w:t>
      </w:r>
      <w:proofErr w:type="spellStart"/>
      <w:r w:rsidRPr="00981EEC">
        <w:t>nd</w:t>
      </w:r>
      <w:proofErr w:type="spellEnd"/>
      <w:r w:rsidRPr="00981EEC">
        <w:t xml:space="preserve"> TH) includes all data points measured under 12%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supply.</w:t>
      </w:r>
    </w:p>
    <w:p w14:paraId="11A5EC19" w14:textId="77777777" w:rsidR="002563E7" w:rsidRPr="00981EEC" w:rsidRDefault="002563E7" w:rsidP="00981EEC"/>
    <w:p w14:paraId="771DFA22" w14:textId="77777777" w:rsidR="00981EEC" w:rsidRPr="00981EEC" w:rsidRDefault="00981EEC" w:rsidP="002563E7">
      <w:pPr>
        <w:pStyle w:val="Heading3"/>
      </w:pPr>
      <w:r w:rsidRPr="00981EEC">
        <w:t>3.2.4 Natural CH </w:t>
      </w:r>
    </w:p>
    <w:p w14:paraId="5411EB9A" w14:textId="641F8FA0" w:rsidR="00981EEC" w:rsidRPr="00981EEC" w:rsidRDefault="00981EEC" w:rsidP="00981EEC">
      <w:r w:rsidRPr="00981EEC">
        <w:t>A total of 4 rats in Group 3 were used to evaluate the capability of the side-firing probe in capturing natural CH in the tumor. In one of the 2 rats in Group 3A, the probe wasn’t in good contact with the tumor surface because the tumor was too stiff. </w:t>
      </w:r>
      <w:r w:rsidRPr="0020536E">
        <w:t>Figure 10(a)</w:t>
      </w:r>
      <w:r w:rsidRPr="00981EEC">
        <w:t xml:space="preserve"> shows the tissue oxygenation measured from the other rat in Group 3A on both the right flank muscles and a tumor at a size of 2 cm × 1.7 cm on the left flank. In the normal flank, small fluctuations at a frequency around 2–3 minutes per cycle with a slow increase in the mean tissue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were recorded. In the opposite flank bearing the FaDu tumor, large fluctuations on top of the small cycles were observed. Similar trend was observed in the concurrently measured THb for both the flank muscles (data not shown in the figures) and and tumor (</w:t>
      </w:r>
      <w:r w:rsidRPr="0020536E">
        <w:t>Figure 10(b)</w:t>
      </w:r>
      <w:r w:rsidRPr="00981EEC">
        <w:t xml:space="preserve">. The tumor THb is plotted with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in </w:t>
      </w:r>
      <w:r w:rsidRPr="0020536E">
        <w:t>Figure 10(b)</w:t>
      </w:r>
      <w:r w:rsidRPr="00981EEC">
        <w:t>, indicating that tumor oxygenation followed the same trend as total hemoglobin content.</w:t>
      </w:r>
    </w:p>
    <w:p w14:paraId="4E885986" w14:textId="20200068" w:rsidR="00981EEC" w:rsidRPr="0020536E" w:rsidRDefault="00981EEC" w:rsidP="002563E7">
      <w:pPr>
        <w:pStyle w:val="NoSpacing"/>
      </w:pPr>
    </w:p>
    <w:p w14:paraId="5FDF36B4" w14:textId="234B704D" w:rsidR="00981EEC" w:rsidRPr="00981EEC" w:rsidRDefault="00981EEC" w:rsidP="002563E7">
      <w:pPr>
        <w:pStyle w:val="NoSpacing"/>
      </w:pPr>
      <w:r w:rsidRPr="0020536E">
        <w:rPr>
          <w:noProof/>
        </w:rPr>
        <w:lastRenderedPageBreak/>
        <w:drawing>
          <wp:inline distT="0" distB="0" distL="0" distR="0" wp14:anchorId="4C9C5231" wp14:editId="0744DE1F">
            <wp:extent cx="2743200" cy="3739896"/>
            <wp:effectExtent l="0" t="0" r="0" b="0"/>
            <wp:docPr id="2" name="Picture 2">
              <a:hlinkClick xmlns:a="http://schemas.openxmlformats.org/drawingml/2006/main" r:id="rId28"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28"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3739896"/>
                    </a:xfrm>
                    <a:prstGeom prst="rect">
                      <a:avLst/>
                    </a:prstGeom>
                    <a:noFill/>
                    <a:ln>
                      <a:noFill/>
                    </a:ln>
                  </pic:spPr>
                </pic:pic>
              </a:graphicData>
            </a:graphic>
          </wp:inline>
        </w:drawing>
      </w:r>
    </w:p>
    <w:p w14:paraId="412C05FF" w14:textId="25A273CB" w:rsidR="00981EEC" w:rsidRPr="00981EEC" w:rsidRDefault="00981EEC" w:rsidP="002563E7">
      <w:pPr>
        <w:pStyle w:val="NoSpacing"/>
      </w:pPr>
      <w:r w:rsidRPr="002563E7">
        <w:t>Figure 10</w:t>
      </w:r>
      <w:r w:rsidR="002563E7">
        <w:t xml:space="preserve"> </w:t>
      </w:r>
      <w:r w:rsidRPr="00981EEC">
        <w:t>Results measured from the rat in Group 3A: (</w:t>
      </w:r>
      <w:r w:rsidRPr="00981EEC">
        <w:rPr>
          <w:b/>
          <w:bCs/>
        </w:rPr>
        <w:t>a</w:t>
      </w:r>
      <w:r w:rsidRPr="00981EEC">
        <w:t>) Tissue oxygenation measured from the right flank muscles and at a tumor size of 2 cm × 1.7 cm on the left flank; and (</w:t>
      </w:r>
      <w:r w:rsidRPr="00981EEC">
        <w:rPr>
          <w:b/>
          <w:bCs/>
        </w:rPr>
        <w:t>b</w:t>
      </w:r>
      <w:r w:rsidRPr="00981EEC">
        <w:t>) tumor total hemoglobin concentration and oxygenation measured concurrently.</w:t>
      </w:r>
    </w:p>
    <w:p w14:paraId="2BFA65C8" w14:textId="77777777" w:rsidR="002563E7" w:rsidRDefault="002563E7" w:rsidP="00981EEC"/>
    <w:p w14:paraId="50EEE286" w14:textId="50ECB0E7" w:rsidR="00981EEC" w:rsidRPr="00981EEC" w:rsidRDefault="00981EEC" w:rsidP="00981EEC">
      <w:r w:rsidRPr="00981EEC">
        <w:t>In Group 3B, one of the two tumors grew on the edge of the left flank making it difficult to attach the probe directly on top of the tumor. </w:t>
      </w:r>
      <w:r w:rsidRPr="0020536E">
        <w:t>Figure 11</w:t>
      </w:r>
      <w:r w:rsidRPr="00981EEC">
        <w:t xml:space="preserve"> shows the tissue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xml:space="preserve"> and THb measured from the left </w:t>
      </w:r>
      <w:r w:rsidR="002563E7" w:rsidRPr="00981EEC">
        <w:t>flank</w:t>
      </w:r>
      <w:r w:rsidRPr="00981EEC">
        <w:t xml:space="preserve"> of the other rat in Group 3B before tumor cells were injected and at three different tumor sizes: invisible (under the skin), 5 mm × 6 mm, and 17 mm × 13 mm. For both tissue parameters, small, but fast fluctuations have been recorded for the muscles (with relatively large slow drifts) and tumor at all sizes, but large and fast amplitude fluctuations were seen only in the 5 mm tumor during the last 50 minutes of the </w:t>
      </w:r>
      <w:proofErr w:type="gramStart"/>
      <w:r w:rsidRPr="00981EEC">
        <w:t>150 minute</w:t>
      </w:r>
      <w:proofErr w:type="gramEnd"/>
      <w:r w:rsidRPr="00981EEC">
        <w:t xml:space="preserve"> measurement period.</w:t>
      </w:r>
    </w:p>
    <w:p w14:paraId="7775152E" w14:textId="6E63A227" w:rsidR="00981EEC" w:rsidRPr="0020536E" w:rsidRDefault="00981EEC" w:rsidP="00981EEC"/>
    <w:p w14:paraId="61BA7221" w14:textId="4E45FF65" w:rsidR="00981EEC" w:rsidRPr="00981EEC" w:rsidRDefault="00981EEC" w:rsidP="00981EEC">
      <w:r w:rsidRPr="0020536E">
        <w:rPr>
          <w:noProof/>
        </w:rPr>
        <w:lastRenderedPageBreak/>
        <w:drawing>
          <wp:inline distT="0" distB="0" distL="0" distR="0" wp14:anchorId="240A0B01" wp14:editId="7809F31F">
            <wp:extent cx="2743200" cy="4370832"/>
            <wp:effectExtent l="0" t="0" r="0" b="0"/>
            <wp:docPr id="1" name="Picture 1">
              <a:hlinkClick xmlns:a="http://schemas.openxmlformats.org/drawingml/2006/main" r:id="rId30"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30"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4370832"/>
                    </a:xfrm>
                    <a:prstGeom prst="rect">
                      <a:avLst/>
                    </a:prstGeom>
                    <a:noFill/>
                    <a:ln>
                      <a:noFill/>
                    </a:ln>
                  </pic:spPr>
                </pic:pic>
              </a:graphicData>
            </a:graphic>
          </wp:inline>
        </w:drawing>
      </w:r>
    </w:p>
    <w:p w14:paraId="09212057" w14:textId="1B06F67D" w:rsidR="00981EEC" w:rsidRPr="00981EEC" w:rsidRDefault="00981EEC" w:rsidP="00981EEC">
      <w:r w:rsidRPr="00AE5C64">
        <w:t>Figure 11</w:t>
      </w:r>
      <w:r w:rsidR="00AE5C64">
        <w:t xml:space="preserve"> </w:t>
      </w:r>
      <w:r w:rsidRPr="00981EEC">
        <w:t xml:space="preserve">Tissue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w:t>
      </w:r>
      <w:r w:rsidRPr="00981EEC">
        <w:rPr>
          <w:b/>
          <w:bCs/>
        </w:rPr>
        <w:t>a</w:t>
      </w:r>
      <w:r w:rsidRPr="00981EEC">
        <w:t>) and THb (</w:t>
      </w:r>
      <w:r w:rsidRPr="00981EEC">
        <w:rPr>
          <w:b/>
          <w:bCs/>
        </w:rPr>
        <w:t>b</w:t>
      </w:r>
      <w:r w:rsidRPr="00981EEC">
        <w:t>) measured from the rat in Group 3B before tumor cells were injected and at three different tumor sizes.</w:t>
      </w:r>
    </w:p>
    <w:p w14:paraId="452AFF86" w14:textId="77777777" w:rsidR="00981EEC" w:rsidRPr="00981EEC" w:rsidRDefault="00981EEC" w:rsidP="00AE5C64">
      <w:pPr>
        <w:pStyle w:val="Heading1"/>
      </w:pPr>
      <w:r w:rsidRPr="00981EEC">
        <w:t>4. Discussion</w:t>
      </w:r>
    </w:p>
    <w:p w14:paraId="1D999EB5" w14:textId="77777777" w:rsidR="00981EEC" w:rsidRPr="00981EEC" w:rsidRDefault="00981EEC" w:rsidP="00981EEC">
      <w:r w:rsidRPr="00981EEC">
        <w:t>Many studies have shown that tumor angiogenesis and hypoxia, particularly CH, can significantly influence the efficacy of radiotherapy and chemotherapy as well as the behavior of surviving cancer cells. Being able to quantify tumor physiological parameters noninvasively and longitudinally has significant value in studying tumor natural variations in the hypoxic profile of the tumor. We have developed a side-firing fiber optic sensor based on frequency-domain photon migration technology that can be used to quantify tissue optical and physiological parameters </w:t>
      </w:r>
      <w:r w:rsidRPr="00981EEC">
        <w:rPr>
          <w:i/>
          <w:iCs/>
        </w:rPr>
        <w:t>in vivo</w:t>
      </w:r>
      <w:r w:rsidRPr="00981EEC">
        <w:t xml:space="preserve">. The flat design of the side-firing probe makes it easily attachable to any flat surface for longitudinal measurements. We have also developed LabVIEW software that integrates data acquisition and the user interface with a semi-infinite diffusion approximation model in </w:t>
      </w:r>
      <w:proofErr w:type="spellStart"/>
      <w:r w:rsidRPr="00981EEC">
        <w:t>Matlab</w:t>
      </w:r>
      <w:proofErr w:type="spellEnd"/>
      <w:r w:rsidRPr="00981EEC">
        <w:t>, which makes it possible to analyze the data and display the physiological parameters in real-time.</w:t>
      </w:r>
    </w:p>
    <w:p w14:paraId="296A563B" w14:textId="2E820D53" w:rsidR="00981EEC" w:rsidRPr="00981EEC" w:rsidRDefault="00981EEC" w:rsidP="00981EEC">
      <w:r w:rsidRPr="00981EEC">
        <w:t xml:space="preserve">The system was validated in a phantom study with 15 tissue-simulating phantoms constructed from Intralipid as scatterer and diluted Indian ink as absorber and the results indicated that the technology </w:t>
      </w:r>
      <w:proofErr w:type="gramStart"/>
      <w:r w:rsidRPr="00981EEC">
        <w:t>can</w:t>
      </w:r>
      <w:proofErr w:type="gramEnd"/>
      <w:r w:rsidRPr="00981EEC">
        <w:t xml:space="preserve"> quantify tissue absorption and scattering coefficients with good accuracy. We have compared a frequency-dependent phase offset factor </w:t>
      </w:r>
      <m:oMath>
        <m:r>
          <w:rPr>
            <w:rFonts w:ascii="Cambria Math" w:hAnsi="Cambria Math"/>
          </w:rPr>
          <m:t>Z(λ, f)</m:t>
        </m:r>
      </m:oMath>
      <w:r w:rsidRPr="00981EEC">
        <w:t> with a frequency-independent factor </w:t>
      </w:r>
      <m:oMath>
        <m:r>
          <w:rPr>
            <w:rFonts w:ascii="Cambria Math" w:hAnsi="Cambria Math"/>
          </w:rPr>
          <m:t>Z(λ)</m:t>
        </m:r>
      </m:oMath>
      <w:r w:rsidRPr="00981EEC">
        <w:t> for phase calibration a</w:t>
      </w:r>
      <w:proofErr w:type="spellStart"/>
      <w:r w:rsidRPr="00981EEC">
        <w:t>nd</w:t>
      </w:r>
      <w:proofErr w:type="spellEnd"/>
      <w:r w:rsidRPr="00981EEC">
        <w:t xml:space="preserve"> found that the former significantly improved the fits between the experimental and modeled phase shift. We also found that a weighting factor </w:t>
      </w:r>
      <w:r w:rsidRPr="00981EEC">
        <w:rPr>
          <w:i/>
          <w:iCs/>
        </w:rPr>
        <w:t>α</w:t>
      </w:r>
      <w:r w:rsidRPr="00981EEC">
        <w:t> between 0.8–0.9 (vary from phantom to phantom) during the non-linear least square fit slightly improved the fits comparing to equal weight that was used in our previous studies [</w:t>
      </w:r>
      <w:r w:rsidRPr="0020536E">
        <w:t>28</w:t>
      </w:r>
      <w:r w:rsidRPr="00981EEC">
        <w:t xml:space="preserve">] as well as by other groups. The need for larger weight on the amplitude is likely </w:t>
      </w:r>
      <w:proofErr w:type="gramStart"/>
      <w:r w:rsidRPr="00981EEC">
        <w:t>due to the fact that</w:t>
      </w:r>
      <w:proofErr w:type="gramEnd"/>
      <w:r w:rsidRPr="00981EEC">
        <w:t xml:space="preserve"> the relative amplitude attenuation is always below 1.0 while the phase shift in degree is often on the order of a few degrees. The </w:t>
      </w:r>
      <w:r w:rsidRPr="00981EEC">
        <w:lastRenderedPageBreak/>
        <w:t>signal-to-noise ratio (SNR) in the amplitude and phase signals could also have played a role in determining the optimal weighting factor </w:t>
      </w:r>
      <m:oMath>
        <m:r>
          <w:rPr>
            <w:rFonts w:ascii="Cambria Math" w:hAnsi="Cambria Math"/>
          </w:rPr>
          <m:t>α</m:t>
        </m:r>
      </m:oMath>
      <w:r w:rsidRPr="00981EEC">
        <w:t>.</w:t>
      </w:r>
    </w:p>
    <w:p w14:paraId="6F7ACC0E" w14:textId="77777777" w:rsidR="00981EEC" w:rsidRPr="00981EEC" w:rsidRDefault="00981EEC" w:rsidP="00981EEC">
      <w:r w:rsidRPr="00981EEC">
        <w:t>The performance of the FDPM system and side-firing sensor was also evaluated for quantification of tissue hemoglobin concentration and oxygenation in pre-clinical studies with 26 athymic nude rats during hyperoxia, forced CH and natural CH.</w:t>
      </w:r>
    </w:p>
    <w:p w14:paraId="54F31EE2" w14:textId="66524D4F" w:rsidR="00981EEC" w:rsidRPr="00981EEC" w:rsidRDefault="00981EEC" w:rsidP="00981EEC">
      <w:r w:rsidRPr="00981EEC">
        <w:t>In all experiments, a small but continuous increase in THb was observed as shown in </w:t>
      </w:r>
      <w:r w:rsidRPr="0020536E">
        <w:t>Figures 7(b)</w:t>
      </w:r>
      <w:r w:rsidRPr="00981EEC">
        <w:t>, </w:t>
      </w:r>
      <w:r w:rsidRPr="0020536E">
        <w:t>8(a), 8(c)</w:t>
      </w:r>
      <w:r w:rsidRPr="00981EEC">
        <w:t>, </w:t>
      </w:r>
      <w:r w:rsidRPr="0020536E">
        <w:t>9(b)</w:t>
      </w:r>
      <w:r w:rsidRPr="00981EEC">
        <w:t>, </w:t>
      </w:r>
      <w:r w:rsidRPr="0020536E">
        <w:t>10(b)</w:t>
      </w:r>
      <w:r w:rsidRPr="00981EEC">
        <w:t> and </w:t>
      </w:r>
      <w:r w:rsidRPr="0020536E">
        <w:t>11(b)</w:t>
      </w:r>
      <w:r w:rsidRPr="00981EEC">
        <w:t>. There are controversial arguments in the literature on the effects of carbogen gases on tumor THb. There are many investigators who believe that carbogen is vasodilatory – that it could increase blood volume. However, T.J. Dunn et al. found that it was vasoconstrictive [</w:t>
      </w:r>
      <w:r w:rsidRPr="0020536E">
        <w:t>33</w:t>
      </w:r>
      <w:r w:rsidRPr="00981EEC">
        <w:t xml:space="preserve">]. During forced hypoxia, both normal tissue rats and tumors showed raised THb concentration from </w:t>
      </w:r>
      <w:proofErr w:type="spellStart"/>
      <w:r w:rsidRPr="00981EEC">
        <w:t>normoxia</w:t>
      </w:r>
      <w:proofErr w:type="spellEnd"/>
      <w:r w:rsidRPr="00981EEC">
        <w:t xml:space="preserve"> as shown in </w:t>
      </w:r>
      <w:r w:rsidRPr="0020536E">
        <w:t>Figure 9b</w:t>
      </w:r>
      <w:r w:rsidRPr="00981EEC">
        <w:t xml:space="preserve">. This is likely due to the increased oxygen deficiency in the animals that has triggered an increase in the blood flow. Probe pressure could also have played a role in modifying the THb concentration by pushing away some of the blood from the areas under the probe when the probe was first taped on the rat skin. This probe pressure released slowly </w:t>
      </w:r>
      <w:proofErr w:type="gramStart"/>
      <w:r w:rsidRPr="00981EEC">
        <w:t>during the course of</w:t>
      </w:r>
      <w:proofErr w:type="gramEnd"/>
      <w:r w:rsidRPr="00981EEC">
        <w:t xml:space="preserve"> the experiment allowing some blood to return to the area.</w:t>
      </w:r>
    </w:p>
    <w:p w14:paraId="0DF4B03A" w14:textId="4C3D6489" w:rsidR="00981EEC" w:rsidRPr="00981EEC" w:rsidRDefault="00981EEC" w:rsidP="00981EEC">
      <w:r w:rsidRPr="00981EEC">
        <w:t xml:space="preserve">Significant increase in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upon carbogen inhalation and decrease upon forced hypoxic gas b</w:t>
      </w:r>
      <w:proofErr w:type="spellStart"/>
      <w:r w:rsidRPr="00981EEC">
        <w:t>reathing</w:t>
      </w:r>
      <w:proofErr w:type="spellEnd"/>
      <w:r w:rsidRPr="00981EEC">
        <w:t xml:space="preserve"> were recorded. Although the increase in tissue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xml:space="preserve"> was quick in both experiments, it took the tumor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more than 20 minutes to fully recover to the baseline in the carbogen experiment (</w:t>
      </w:r>
      <w:r w:rsidRPr="0020536E">
        <w:t>Figure 7(a)</w:t>
      </w:r>
      <w:r w:rsidRPr="00981EEC">
        <w:t xml:space="preserve">), while both the tumor and normal tissue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xml:space="preserve"> in the forced hypoxia study returned to the baseline (or 30% </w:t>
      </w:r>
      <m:oMath>
        <m:sSub>
          <m:sSubPr>
            <m:ctrlPr>
              <w:rPr>
                <w:rFonts w:ascii="Cambria Math" w:hAnsi="Cambria Math"/>
                <w:iCs/>
              </w:rPr>
            </m:ctrlPr>
          </m:sSubPr>
          <m:e>
            <m:r>
              <m:rPr>
                <m:sty m:val="p"/>
              </m:rPr>
              <w:rPr>
                <w:rFonts w:ascii="Cambria Math" w:hAnsi="Cambria Math"/>
              </w:rPr>
              <m:t>O</m:t>
            </m:r>
          </m:e>
          <m:sub>
            <m:r>
              <m:rPr>
                <m:sty m:val="p"/>
              </m:rPr>
              <w:rPr>
                <w:rFonts w:ascii="Cambria Math" w:hAnsi="Cambria Math"/>
                <w:vertAlign w:val="subscript"/>
              </w:rPr>
              <m:t>2</m:t>
            </m:r>
          </m:sub>
        </m:sSub>
      </m:oMath>
      <w:r w:rsidRPr="00981EEC">
        <w:t>) within 1–2 minutes (</w:t>
      </w:r>
      <w:r w:rsidRPr="0020536E">
        <w:t>Figure 8(b) and (d)</w:t>
      </w:r>
      <w:r w:rsidRPr="00981EEC">
        <w:t xml:space="preserve">). In another words, the animals can deliver oxygen to hypoxic regions much sooner than they can consume the extra oxygen in the region while there is adequate supply in the blood vessels. The trend of tissue oxygenation for both tumor and normal tissues in the forced CH procedures agree well with that measured with the mouse pulse oximeter from the rat feet, though there was a slightly longer response time in the tissue oxygenation. This time delay is due to the time needed for the oxygen in the arterial blood vessels to reach the </w:t>
      </w:r>
      <w:proofErr w:type="spellStart"/>
      <w:r w:rsidRPr="00981EEC">
        <w:t>microvasculatures</w:t>
      </w:r>
      <w:proofErr w:type="spellEnd"/>
      <w:r w:rsidRPr="00981EEC">
        <w:t xml:space="preserve"> in the tumor tissue. The tumors also showed a larger oxygenation change under reduced oxygen supply (from 21% down to 12%) than the normal controls (</w:t>
      </w:r>
      <w:r w:rsidRPr="0020536E">
        <w:t>Figure 9(a)</w:t>
      </w:r>
      <w:r w:rsidRPr="00981EEC">
        <w:t>) which can be explained by the fact that normal tissue can regulate the imbalance between oxygen supply and needs more efficiently than a rat with a tumor.</w:t>
      </w:r>
    </w:p>
    <w:p w14:paraId="7F1958AA" w14:textId="3B5A5803" w:rsidR="00981EEC" w:rsidRPr="00981EEC" w:rsidRDefault="00981EEC" w:rsidP="00981EEC">
      <w:r w:rsidRPr="00981EEC">
        <w:t xml:space="preserve">In the two animals breathing room air small fluctuations (less than 5%) in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were observed with a 2–</w:t>
      </w:r>
      <w:proofErr w:type="gramStart"/>
      <w:r w:rsidRPr="00981EEC">
        <w:t>3 minute</w:t>
      </w:r>
      <w:proofErr w:type="gramEnd"/>
      <w:r w:rsidRPr="00981EEC">
        <w:t xml:space="preserve"> period in both flank muscles and tumors (</w:t>
      </w:r>
      <w:r w:rsidRPr="0020536E">
        <w:t>Figures 10(a)</w:t>
      </w:r>
      <w:r w:rsidRPr="00981EEC">
        <w:t> and </w:t>
      </w:r>
      <w:r w:rsidRPr="0020536E">
        <w:t>​and11).11</w:t>
      </w:r>
      <w:r w:rsidRPr="00981EEC">
        <w:t xml:space="preserve">). Strong fluctuations (over 10%) at a similar frequency in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were also observed in tumors. Both the patterns and frequencies of the natural CH are very similar to what Braun measured in R3230Ac rat tumors and muscles, using invasive polarographic electrodes [</w:t>
      </w:r>
      <w:r w:rsidRPr="0020536E">
        <w:t>34</w:t>
      </w:r>
      <w:r w:rsidRPr="00981EEC">
        <w:t xml:space="preserve">]. By plotting the tumor total hemoglobin content with the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measured concurrently from the same tumor (</w:t>
      </w:r>
      <w:r w:rsidRPr="0020536E">
        <w:t>Figure 10(b)</w:t>
      </w:r>
      <w:r w:rsidRPr="00981EEC">
        <w:t xml:space="preserve">), </w:t>
      </w:r>
      <w:proofErr w:type="gramStart"/>
      <w:r w:rsidRPr="00981EEC">
        <w:t>it can be seen that the</w:t>
      </w:r>
      <w:proofErr w:type="gramEnd"/>
      <w:r w:rsidRPr="00981EEC">
        <w:t xml:space="preserve"> two parameters followed nearly the same trend. This finding supports the conclusions that natural CH can be attributed to fluctuations in red blood cell flux through a vessel [</w:t>
      </w:r>
      <w:r w:rsidRPr="0020536E">
        <w:t>2</w:t>
      </w:r>
      <w:r w:rsidRPr="00981EEC">
        <w:t>, </w:t>
      </w:r>
      <w:r w:rsidRPr="0020536E">
        <w:t>8</w:t>
      </w:r>
      <w:r w:rsidRPr="00981EEC">
        <w:t>, </w:t>
      </w:r>
      <w:r w:rsidRPr="0020536E">
        <w:t>11</w:t>
      </w:r>
      <w:r w:rsidRPr="00981EEC">
        <w:t>, </w:t>
      </w:r>
      <w:r w:rsidRPr="0020536E">
        <w:t>12</w:t>
      </w:r>
      <w:r w:rsidRPr="00981EEC">
        <w:t>]. It was also found that natural CH did not occur in all tumor stages as indicated in </w:t>
      </w:r>
      <w:r w:rsidRPr="0020536E">
        <w:t>Figure 11</w:t>
      </w:r>
      <w:r w:rsidRPr="00981EEC">
        <w:t xml:space="preserve">. More systematic investigation is required to fully understand the characteristics of natural CH and its relationship with tumor growth, </w:t>
      </w:r>
      <w:proofErr w:type="gramStart"/>
      <w:r w:rsidRPr="00981EEC">
        <w:t>metastasis</w:t>
      </w:r>
      <w:proofErr w:type="gramEnd"/>
      <w:r w:rsidRPr="00981EEC">
        <w:t xml:space="preserve"> and response to therapy.</w:t>
      </w:r>
    </w:p>
    <w:p w14:paraId="0A6B696C" w14:textId="0FC96299" w:rsidR="00981EEC" w:rsidRPr="00981EEC" w:rsidRDefault="00981EEC" w:rsidP="00981EEC">
      <w:r w:rsidRPr="00981EEC">
        <w:t xml:space="preserve">Finally, the magnitudes of fluctuations in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xml:space="preserve"> and THb for the tumor in </w:t>
      </w:r>
      <w:r w:rsidRPr="0020536E">
        <w:t>Figure 10</w:t>
      </w:r>
      <w:r w:rsidRPr="00981EEC">
        <w:t> (about 20% and 100 μM roughly) are much larger than that for the tumor in </w:t>
      </w:r>
      <w:r w:rsidRPr="0020536E">
        <w:t>Figure 11</w:t>
      </w:r>
      <w:r w:rsidRPr="00981EEC">
        <w:t xml:space="preserve"> (7% and 20 μM). This difference in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vertAlign w:val="subscript"/>
              </w:rPr>
              <m:t>2</m:t>
            </m:r>
          </m:sub>
        </m:sSub>
      </m:oMath>
      <w:r w:rsidRPr="00981EEC">
        <w:t xml:space="preserve"> and THb fluctuations as well as their baseline is attributed to the large heterogeneity both between and within tumor types. Even though Fourier transform analysis in other studies revealed similar kinetics overall, there is still a lot of heterogeneity, even for the same tumor type and tumor size [</w:t>
      </w:r>
      <w:r w:rsidRPr="0020536E">
        <w:t>34</w:t>
      </w:r>
      <w:r w:rsidRPr="00981EEC">
        <w:t>–</w:t>
      </w:r>
      <w:r w:rsidRPr="0020536E">
        <w:t>36</w:t>
      </w:r>
      <w:r w:rsidRPr="00981EEC">
        <w:t xml:space="preserve">]. This is likely </w:t>
      </w:r>
      <w:proofErr w:type="gramStart"/>
      <w:r w:rsidRPr="00981EEC">
        <w:t>due to the fact that</w:t>
      </w:r>
      <w:proofErr w:type="gramEnd"/>
      <w:r w:rsidRPr="00981EEC">
        <w:t xml:space="preserve"> the underlying biology that causes cycling hypoxia is complex. We believe that it </w:t>
      </w:r>
      <w:proofErr w:type="gramStart"/>
      <w:r w:rsidRPr="00981EEC">
        <w:t>is a reflection of</w:t>
      </w:r>
      <w:proofErr w:type="gramEnd"/>
      <w:r w:rsidRPr="00981EEC">
        <w:t xml:space="preserve"> several phenomena, any one of which might be dominant at any time of observation: 1) Arteriolar vasomotion, 2) </w:t>
      </w:r>
      <w:r w:rsidRPr="00981EEC">
        <w:lastRenderedPageBreak/>
        <w:t>rheological changes in hypoxic vasculature that affects how red cells are distributed at bifurcations and 3) vascular remodeling [</w:t>
      </w:r>
      <w:r w:rsidRPr="0020536E">
        <w:t>35</w:t>
      </w:r>
      <w:r w:rsidRPr="00981EEC">
        <w:t>–</w:t>
      </w:r>
      <w:r w:rsidRPr="0020536E">
        <w:t>37</w:t>
      </w:r>
      <w:r w:rsidRPr="00981EEC">
        <w:t>].</w:t>
      </w:r>
    </w:p>
    <w:p w14:paraId="10855D5C" w14:textId="77777777" w:rsidR="00981EEC" w:rsidRPr="00981EEC" w:rsidRDefault="00981EEC" w:rsidP="00AE5C64">
      <w:pPr>
        <w:pStyle w:val="Heading1"/>
      </w:pPr>
      <w:r w:rsidRPr="00981EEC">
        <w:t>5. Conclusion</w:t>
      </w:r>
    </w:p>
    <w:p w14:paraId="675B582E" w14:textId="77777777" w:rsidR="00981EEC" w:rsidRPr="00981EEC" w:rsidRDefault="00981EEC" w:rsidP="00981EEC">
      <w:r w:rsidRPr="00981EEC">
        <w:t xml:space="preserve">The studies reported in this paper demonstrated the ability of the FDPM and side-firing sensor technology to quantify tissue physiological properties noninvasively and in real-time. Because the flat probe can be easily and reliably attached to a tumor surface, it is particularly suitable for monitoring tumor physiological changes at multiple time points per day for a period of several days or even weeks. Although a head and neck tumor model </w:t>
      </w:r>
      <w:proofErr w:type="gramStart"/>
      <w:r w:rsidRPr="00981EEC">
        <w:t>was</w:t>
      </w:r>
      <w:proofErr w:type="gramEnd"/>
      <w:r w:rsidRPr="00981EEC">
        <w:t xml:space="preserve"> used in this study for performance evaluation, the technology is readily applicable to the diagnostics and therapeutics for other cancer types.</w:t>
      </w:r>
    </w:p>
    <w:p w14:paraId="1ED029C9" w14:textId="77777777" w:rsidR="00981EEC" w:rsidRPr="00981EEC" w:rsidRDefault="00981EEC" w:rsidP="00AE5C64">
      <w:pPr>
        <w:pStyle w:val="Heading1"/>
      </w:pPr>
      <w:r w:rsidRPr="00981EEC">
        <w:t>Acknowledgments</w:t>
      </w:r>
    </w:p>
    <w:p w14:paraId="32DFBA92" w14:textId="77777777" w:rsidR="00981EEC" w:rsidRPr="00981EEC" w:rsidRDefault="00981EEC" w:rsidP="00981EEC">
      <w:r w:rsidRPr="00981EEC">
        <w:t xml:space="preserve">The authors would like to thank Dr. </w:t>
      </w:r>
      <w:proofErr w:type="spellStart"/>
      <w:r w:rsidRPr="00981EEC">
        <w:t>Yulin</w:t>
      </w:r>
      <w:proofErr w:type="spellEnd"/>
      <w:r w:rsidRPr="00981EEC">
        <w:t xml:space="preserve"> Zhao for help on preparation of </w:t>
      </w:r>
      <w:proofErr w:type="spellStart"/>
      <w:r w:rsidRPr="00981EEC">
        <w:t>FaDu</w:t>
      </w:r>
      <w:proofErr w:type="spellEnd"/>
      <w:r w:rsidRPr="00981EEC">
        <w:t xml:space="preserve"> tumor cell lines for the first experiment and Dr. </w:t>
      </w:r>
      <w:proofErr w:type="spellStart"/>
      <w:r w:rsidRPr="00981EEC">
        <w:t>Thies</w:t>
      </w:r>
      <w:proofErr w:type="spellEnd"/>
      <w:r w:rsidRPr="00981EEC">
        <w:t xml:space="preserve"> Schroeder for providing the animal experiment setups for the first two studies. This work was supported by the NIH award R03EB012210, R21CA162747 and CA40355.</w:t>
      </w:r>
    </w:p>
    <w:p w14:paraId="50EFB09D" w14:textId="77777777" w:rsidR="00981EEC" w:rsidRPr="00981EEC" w:rsidRDefault="00981EEC" w:rsidP="00AE5C64">
      <w:pPr>
        <w:pStyle w:val="Heading1"/>
      </w:pPr>
      <w:r w:rsidRPr="00981EEC">
        <w:t>References</w:t>
      </w:r>
    </w:p>
    <w:p w14:paraId="165753E0" w14:textId="2AD0F15F" w:rsidR="00981EEC" w:rsidRPr="00981EEC" w:rsidRDefault="00981EEC" w:rsidP="00AE5C64">
      <w:pPr>
        <w:pStyle w:val="NoSpacing"/>
        <w:ind w:left="720" w:hanging="720"/>
      </w:pPr>
      <w:r w:rsidRPr="00981EEC">
        <w:t>1. </w:t>
      </w:r>
      <w:proofErr w:type="spellStart"/>
      <w:r w:rsidRPr="00981EEC">
        <w:t>Serganova</w:t>
      </w:r>
      <w:proofErr w:type="spellEnd"/>
      <w:r w:rsidRPr="00981EEC">
        <w:t xml:space="preserve"> I, Humm J, Ling C, Blasberg R. </w:t>
      </w:r>
      <w:r w:rsidRPr="00981EEC">
        <w:rPr>
          <w:i/>
          <w:iCs/>
        </w:rPr>
        <w:t>Clin Cancer Res. </w:t>
      </w:r>
      <w:r w:rsidRPr="00981EEC">
        <w:t>2006;12(18):5260–5264. </w:t>
      </w:r>
    </w:p>
    <w:p w14:paraId="2F396DE0" w14:textId="2CC885E8" w:rsidR="00981EEC" w:rsidRPr="00981EEC" w:rsidRDefault="00981EEC" w:rsidP="00AE5C64">
      <w:pPr>
        <w:pStyle w:val="NoSpacing"/>
        <w:ind w:left="720" w:hanging="720"/>
      </w:pPr>
      <w:r w:rsidRPr="00981EEC">
        <w:t>2. Dewhirst MW, Cao Y, Moeller B. </w:t>
      </w:r>
      <w:r w:rsidRPr="00981EEC">
        <w:rPr>
          <w:i/>
          <w:iCs/>
        </w:rPr>
        <w:t>Nat Rev Cancer. </w:t>
      </w:r>
      <w:r w:rsidRPr="00981EEC">
        <w:t>2008;8(6):425–437. </w:t>
      </w:r>
    </w:p>
    <w:p w14:paraId="4938F860" w14:textId="23C5D832" w:rsidR="00981EEC" w:rsidRPr="00981EEC" w:rsidRDefault="00981EEC" w:rsidP="00AE5C64">
      <w:pPr>
        <w:pStyle w:val="NoSpacing"/>
        <w:ind w:left="720" w:hanging="720"/>
      </w:pPr>
      <w:r w:rsidRPr="00981EEC">
        <w:t>3. Brey EM, King TW, Johnston C, McIntire LV, Reece GP, Patrick CW., Jr </w:t>
      </w:r>
      <w:proofErr w:type="spellStart"/>
      <w:r w:rsidRPr="00981EEC">
        <w:rPr>
          <w:i/>
          <w:iCs/>
        </w:rPr>
        <w:t>Microvasc</w:t>
      </w:r>
      <w:proofErr w:type="spellEnd"/>
      <w:r w:rsidRPr="00981EEC">
        <w:rPr>
          <w:i/>
          <w:iCs/>
        </w:rPr>
        <w:t xml:space="preserve"> Res. </w:t>
      </w:r>
      <w:r w:rsidRPr="00981EEC">
        <w:t>2002;63(3):279–294. </w:t>
      </w:r>
    </w:p>
    <w:p w14:paraId="299D5816" w14:textId="7803B181" w:rsidR="00981EEC" w:rsidRPr="00981EEC" w:rsidRDefault="00981EEC" w:rsidP="00AE5C64">
      <w:pPr>
        <w:pStyle w:val="NoSpacing"/>
        <w:ind w:left="720" w:hanging="720"/>
      </w:pPr>
      <w:r w:rsidRPr="00981EEC">
        <w:t>4. Cao Y, Li CY, Moeller BJ, Yu D, Zhao Y, Dreher MR, Shan S, Dewhirst MW. </w:t>
      </w:r>
      <w:r w:rsidRPr="00981EEC">
        <w:rPr>
          <w:i/>
          <w:iCs/>
        </w:rPr>
        <w:t>Cancer Res. </w:t>
      </w:r>
      <w:r w:rsidRPr="00981EEC">
        <w:t>2005;65(13):5498–5505. </w:t>
      </w:r>
    </w:p>
    <w:p w14:paraId="14491C56" w14:textId="40BD9CAC" w:rsidR="00981EEC" w:rsidRPr="00981EEC" w:rsidRDefault="00981EEC" w:rsidP="00AE5C64">
      <w:pPr>
        <w:pStyle w:val="NoSpacing"/>
        <w:ind w:left="720" w:hanging="720"/>
      </w:pPr>
      <w:r w:rsidRPr="00981EEC">
        <w:t>5. Moeller BJ, Dreher MR, Rabbani ZN, Schroeder T, Cao Y, Li CY, Dewhirst MW. </w:t>
      </w:r>
      <w:r w:rsidRPr="00981EEC">
        <w:rPr>
          <w:i/>
          <w:iCs/>
        </w:rPr>
        <w:t>Cancer Cell. </w:t>
      </w:r>
      <w:r w:rsidRPr="00981EEC">
        <w:t>2005;8(2):99–110. </w:t>
      </w:r>
    </w:p>
    <w:p w14:paraId="53D0C8A3" w14:textId="4530413C" w:rsidR="00981EEC" w:rsidRPr="00981EEC" w:rsidRDefault="00981EEC" w:rsidP="00AE5C64">
      <w:pPr>
        <w:pStyle w:val="NoSpacing"/>
        <w:ind w:left="720" w:hanging="720"/>
      </w:pPr>
      <w:r w:rsidRPr="00981EEC">
        <w:t>6. Liao D, Johnson RS. </w:t>
      </w:r>
      <w:r w:rsidRPr="00981EEC">
        <w:rPr>
          <w:i/>
          <w:iCs/>
        </w:rPr>
        <w:t>Cancer Metastasis Rev. </w:t>
      </w:r>
      <w:r w:rsidRPr="00981EEC">
        <w:t>2007;26(2):281–290. </w:t>
      </w:r>
    </w:p>
    <w:p w14:paraId="0BADF44D" w14:textId="674370F6" w:rsidR="00981EEC" w:rsidRPr="00981EEC" w:rsidRDefault="00981EEC" w:rsidP="00AE5C64">
      <w:pPr>
        <w:pStyle w:val="NoSpacing"/>
        <w:ind w:left="720" w:hanging="720"/>
      </w:pPr>
      <w:r w:rsidRPr="00981EEC">
        <w:t xml:space="preserve">7. Toffoli S, </w:t>
      </w:r>
      <w:proofErr w:type="spellStart"/>
      <w:r w:rsidRPr="00981EEC">
        <w:t>Roegiers</w:t>
      </w:r>
      <w:proofErr w:type="spellEnd"/>
      <w:r w:rsidRPr="00981EEC">
        <w:t xml:space="preserve"> A, </w:t>
      </w:r>
      <w:proofErr w:type="spellStart"/>
      <w:r w:rsidRPr="00981EEC">
        <w:t>Feron</w:t>
      </w:r>
      <w:proofErr w:type="spellEnd"/>
      <w:r w:rsidRPr="00981EEC">
        <w:t xml:space="preserve"> O, Van </w:t>
      </w:r>
      <w:proofErr w:type="spellStart"/>
      <w:r w:rsidRPr="00981EEC">
        <w:t>Steenbrugge</w:t>
      </w:r>
      <w:proofErr w:type="spellEnd"/>
      <w:r w:rsidRPr="00981EEC">
        <w:t xml:space="preserve"> M, </w:t>
      </w:r>
      <w:proofErr w:type="spellStart"/>
      <w:r w:rsidRPr="00981EEC">
        <w:t>Ninane</w:t>
      </w:r>
      <w:proofErr w:type="spellEnd"/>
      <w:r w:rsidRPr="00981EEC">
        <w:t xml:space="preserve"> N, </w:t>
      </w:r>
      <w:proofErr w:type="spellStart"/>
      <w:r w:rsidRPr="00981EEC">
        <w:t>Raes</w:t>
      </w:r>
      <w:proofErr w:type="spellEnd"/>
      <w:r w:rsidRPr="00981EEC">
        <w:t xml:space="preserve"> M, </w:t>
      </w:r>
      <w:proofErr w:type="spellStart"/>
      <w:r w:rsidRPr="00981EEC">
        <w:t>Michiels</w:t>
      </w:r>
      <w:proofErr w:type="spellEnd"/>
      <w:r w:rsidRPr="00981EEC">
        <w:t xml:space="preserve"> C. </w:t>
      </w:r>
      <w:r w:rsidRPr="00981EEC">
        <w:rPr>
          <w:i/>
          <w:iCs/>
        </w:rPr>
        <w:t>Angiogenesis. </w:t>
      </w:r>
      <w:r w:rsidRPr="00981EEC">
        <w:t>2009;12(1):47–67. </w:t>
      </w:r>
    </w:p>
    <w:p w14:paraId="2B81F4B5" w14:textId="500A3336" w:rsidR="00981EEC" w:rsidRPr="00981EEC" w:rsidRDefault="00981EEC" w:rsidP="00AE5C64">
      <w:pPr>
        <w:pStyle w:val="NoSpacing"/>
        <w:ind w:left="720" w:hanging="720"/>
      </w:pPr>
      <w:r w:rsidRPr="00981EEC">
        <w:t xml:space="preserve">8. Cairns RA, </w:t>
      </w:r>
      <w:proofErr w:type="spellStart"/>
      <w:r w:rsidRPr="00981EEC">
        <w:t>Kalliomaki</w:t>
      </w:r>
      <w:proofErr w:type="spellEnd"/>
      <w:r w:rsidRPr="00981EEC">
        <w:t xml:space="preserve"> T, Hill RP. </w:t>
      </w:r>
      <w:r w:rsidRPr="00981EEC">
        <w:rPr>
          <w:i/>
          <w:iCs/>
        </w:rPr>
        <w:t>Cancer Res. </w:t>
      </w:r>
      <w:r w:rsidRPr="00981EEC">
        <w:t>2001;61(24):8903–8908. </w:t>
      </w:r>
    </w:p>
    <w:p w14:paraId="33958937" w14:textId="325B80D9" w:rsidR="00981EEC" w:rsidRPr="00981EEC" w:rsidRDefault="00981EEC" w:rsidP="00AE5C64">
      <w:pPr>
        <w:pStyle w:val="NoSpacing"/>
        <w:ind w:left="720" w:hanging="720"/>
      </w:pPr>
      <w:r w:rsidRPr="00981EEC">
        <w:t>9. Cairns RA, Hill RP. </w:t>
      </w:r>
      <w:r w:rsidRPr="00981EEC">
        <w:rPr>
          <w:i/>
          <w:iCs/>
        </w:rPr>
        <w:t>Cancer Res. </w:t>
      </w:r>
      <w:r w:rsidRPr="00981EEC">
        <w:t>2004;64(6):2054–2061. </w:t>
      </w:r>
    </w:p>
    <w:p w14:paraId="0ABDC512" w14:textId="7B6AE3B0" w:rsidR="00981EEC" w:rsidRPr="00981EEC" w:rsidRDefault="00981EEC" w:rsidP="00AE5C64">
      <w:pPr>
        <w:pStyle w:val="NoSpacing"/>
        <w:ind w:left="720" w:hanging="720"/>
      </w:pPr>
      <w:r w:rsidRPr="00981EEC">
        <w:t>10. Dewhirst MW. </w:t>
      </w:r>
      <w:r w:rsidRPr="00981EEC">
        <w:rPr>
          <w:i/>
          <w:iCs/>
        </w:rPr>
        <w:t>Cancer Res. </w:t>
      </w:r>
      <w:r w:rsidRPr="00981EEC">
        <w:t>2007;67(3):854–855. </w:t>
      </w:r>
    </w:p>
    <w:p w14:paraId="2D3DFEF5" w14:textId="4EADD57E" w:rsidR="00981EEC" w:rsidRPr="00981EEC" w:rsidRDefault="00981EEC" w:rsidP="00AE5C64">
      <w:pPr>
        <w:pStyle w:val="NoSpacing"/>
        <w:ind w:left="720" w:hanging="720"/>
      </w:pPr>
      <w:r w:rsidRPr="00981EEC">
        <w:t xml:space="preserve">11. Toffoli S, </w:t>
      </w:r>
      <w:proofErr w:type="spellStart"/>
      <w:r w:rsidRPr="00981EEC">
        <w:t>Michiels</w:t>
      </w:r>
      <w:proofErr w:type="spellEnd"/>
      <w:r w:rsidRPr="00981EEC">
        <w:t xml:space="preserve"> C. </w:t>
      </w:r>
      <w:r w:rsidRPr="00981EEC">
        <w:rPr>
          <w:i/>
          <w:iCs/>
        </w:rPr>
        <w:t>FEBS J. </w:t>
      </w:r>
      <w:r w:rsidRPr="00981EEC">
        <w:t>2008;275(12):2991–3002. </w:t>
      </w:r>
    </w:p>
    <w:p w14:paraId="3E6AD86B" w14:textId="7DE414AB" w:rsidR="00981EEC" w:rsidRPr="00981EEC" w:rsidRDefault="00981EEC" w:rsidP="00AE5C64">
      <w:pPr>
        <w:pStyle w:val="NoSpacing"/>
        <w:ind w:left="720" w:hanging="720"/>
      </w:pPr>
      <w:r w:rsidRPr="00981EEC">
        <w:t xml:space="preserve">12. Matsumoto S, </w:t>
      </w:r>
      <w:proofErr w:type="spellStart"/>
      <w:r w:rsidRPr="00981EEC">
        <w:t>Yasui</w:t>
      </w:r>
      <w:proofErr w:type="spellEnd"/>
      <w:r w:rsidRPr="00981EEC">
        <w:t xml:space="preserve"> H, Mitchell JB, Krishna MC. </w:t>
      </w:r>
      <w:r w:rsidRPr="00981EEC">
        <w:rPr>
          <w:i/>
          <w:iCs/>
        </w:rPr>
        <w:t>Cancer Res. </w:t>
      </w:r>
      <w:r w:rsidRPr="00981EEC">
        <w:t>2010;70(24):10019–10023. </w:t>
      </w:r>
    </w:p>
    <w:p w14:paraId="23FD4B6D" w14:textId="31F9D26B" w:rsidR="00981EEC" w:rsidRPr="00981EEC" w:rsidRDefault="00981EEC" w:rsidP="00AE5C64">
      <w:pPr>
        <w:pStyle w:val="NoSpacing"/>
        <w:ind w:left="720" w:hanging="720"/>
      </w:pPr>
      <w:r w:rsidRPr="00981EEC">
        <w:t>13. </w:t>
      </w:r>
      <w:proofErr w:type="spellStart"/>
      <w:r w:rsidRPr="00981EEC">
        <w:t>Vaupel</w:t>
      </w:r>
      <w:proofErr w:type="spellEnd"/>
      <w:r w:rsidRPr="00981EEC">
        <w:t xml:space="preserve"> P, Harrison L. </w:t>
      </w:r>
      <w:r w:rsidRPr="00981EEC">
        <w:rPr>
          <w:i/>
          <w:iCs/>
        </w:rPr>
        <w:t>Oncologist. </w:t>
      </w:r>
      <w:r w:rsidRPr="00981EEC">
        <w:t>2004;9(Suppl 5):4–9. </w:t>
      </w:r>
    </w:p>
    <w:p w14:paraId="4743642C" w14:textId="580A14BB" w:rsidR="00981EEC" w:rsidRPr="00981EEC" w:rsidRDefault="00981EEC" w:rsidP="00AE5C64">
      <w:pPr>
        <w:pStyle w:val="NoSpacing"/>
        <w:ind w:left="720" w:hanging="720"/>
      </w:pPr>
      <w:r w:rsidRPr="00981EEC">
        <w:t>14. </w:t>
      </w:r>
      <w:proofErr w:type="spellStart"/>
      <w:r w:rsidRPr="00981EEC">
        <w:t>Shweiki</w:t>
      </w:r>
      <w:proofErr w:type="spellEnd"/>
      <w:r w:rsidRPr="00981EEC">
        <w:t xml:space="preserve"> D, </w:t>
      </w:r>
      <w:proofErr w:type="spellStart"/>
      <w:r w:rsidRPr="00981EEC">
        <w:t>Itin</w:t>
      </w:r>
      <w:proofErr w:type="spellEnd"/>
      <w:r w:rsidRPr="00981EEC">
        <w:t xml:space="preserve"> A, </w:t>
      </w:r>
      <w:proofErr w:type="spellStart"/>
      <w:r w:rsidRPr="00981EEC">
        <w:t>Soffer</w:t>
      </w:r>
      <w:proofErr w:type="spellEnd"/>
      <w:r w:rsidRPr="00981EEC">
        <w:t xml:space="preserve"> D, Keshet E. </w:t>
      </w:r>
      <w:r w:rsidRPr="00981EEC">
        <w:rPr>
          <w:i/>
          <w:iCs/>
        </w:rPr>
        <w:t>Nature. </w:t>
      </w:r>
      <w:r w:rsidRPr="00981EEC">
        <w:t>1992;359(6398):843–845. </w:t>
      </w:r>
    </w:p>
    <w:p w14:paraId="7F66C213" w14:textId="15CA3D2D" w:rsidR="00981EEC" w:rsidRPr="00981EEC" w:rsidRDefault="00981EEC" w:rsidP="00AE5C64">
      <w:pPr>
        <w:pStyle w:val="NoSpacing"/>
        <w:ind w:left="720" w:hanging="720"/>
      </w:pPr>
      <w:r w:rsidRPr="00981EEC">
        <w:t>15. Dewhirst MW. </w:t>
      </w:r>
      <w:proofErr w:type="spellStart"/>
      <w:r w:rsidRPr="00981EEC">
        <w:rPr>
          <w:i/>
          <w:iCs/>
        </w:rPr>
        <w:t>Radiat</w:t>
      </w:r>
      <w:proofErr w:type="spellEnd"/>
      <w:r w:rsidRPr="00981EEC">
        <w:rPr>
          <w:i/>
          <w:iCs/>
        </w:rPr>
        <w:t xml:space="preserve"> Res. </w:t>
      </w:r>
      <w:r w:rsidRPr="00981EEC">
        <w:t>2009;172(6):653–665. </w:t>
      </w:r>
    </w:p>
    <w:p w14:paraId="243047CB" w14:textId="0A99A8C3" w:rsidR="00981EEC" w:rsidRPr="00981EEC" w:rsidRDefault="00981EEC" w:rsidP="00AE5C64">
      <w:pPr>
        <w:pStyle w:val="NoSpacing"/>
        <w:ind w:left="720" w:hanging="720"/>
      </w:pPr>
      <w:r w:rsidRPr="00981EEC">
        <w:t>16. </w:t>
      </w:r>
      <w:proofErr w:type="spellStart"/>
      <w:r w:rsidRPr="00981EEC">
        <w:t>Intaglietta</w:t>
      </w:r>
      <w:proofErr w:type="spellEnd"/>
      <w:r w:rsidRPr="00981EEC">
        <w:t xml:space="preserve"> M, </w:t>
      </w:r>
      <w:proofErr w:type="spellStart"/>
      <w:r w:rsidRPr="00981EEC">
        <w:t>Zweifach</w:t>
      </w:r>
      <w:proofErr w:type="spellEnd"/>
      <w:r w:rsidRPr="00981EEC">
        <w:t xml:space="preserve"> BW. </w:t>
      </w:r>
      <w:r w:rsidRPr="00981EEC">
        <w:rPr>
          <w:i/>
          <w:iCs/>
        </w:rPr>
        <w:t>Adv Biol Med Phys. </w:t>
      </w:r>
      <w:r w:rsidRPr="00981EEC">
        <w:t>1974;15(0):111–159. </w:t>
      </w:r>
    </w:p>
    <w:p w14:paraId="6B3EF802" w14:textId="43EC0A45" w:rsidR="00981EEC" w:rsidRPr="00981EEC" w:rsidRDefault="00981EEC" w:rsidP="00AE5C64">
      <w:pPr>
        <w:pStyle w:val="NoSpacing"/>
        <w:ind w:left="720" w:hanging="720"/>
      </w:pPr>
      <w:r w:rsidRPr="00981EEC">
        <w:t xml:space="preserve">17. Dewhirst MW, Ong ET, Rosner GL, </w:t>
      </w:r>
      <w:proofErr w:type="spellStart"/>
      <w:r w:rsidRPr="00981EEC">
        <w:t>Rehmus</w:t>
      </w:r>
      <w:proofErr w:type="spellEnd"/>
      <w:r w:rsidRPr="00981EEC">
        <w:t xml:space="preserve"> SW, Shan S, Braun RD, </w:t>
      </w:r>
      <w:proofErr w:type="spellStart"/>
      <w:r w:rsidRPr="00981EEC">
        <w:t>Brizel</w:t>
      </w:r>
      <w:proofErr w:type="spellEnd"/>
      <w:r w:rsidRPr="00981EEC">
        <w:t xml:space="preserve"> DM, </w:t>
      </w:r>
      <w:proofErr w:type="spellStart"/>
      <w:r w:rsidRPr="00981EEC">
        <w:t>Secomb</w:t>
      </w:r>
      <w:proofErr w:type="spellEnd"/>
      <w:r w:rsidRPr="00981EEC">
        <w:t xml:space="preserve"> TW. </w:t>
      </w:r>
      <w:r w:rsidRPr="00981EEC">
        <w:rPr>
          <w:i/>
          <w:iCs/>
        </w:rPr>
        <w:t>Br J Cancer Suppl. </w:t>
      </w:r>
      <w:r w:rsidRPr="00981EEC">
        <w:t>1996;</w:t>
      </w:r>
      <w:proofErr w:type="gramStart"/>
      <w:r w:rsidRPr="00981EEC">
        <w:t>27:S</w:t>
      </w:r>
      <w:proofErr w:type="gramEnd"/>
      <w:r w:rsidRPr="00981EEC">
        <w:t>241–S246. </w:t>
      </w:r>
    </w:p>
    <w:p w14:paraId="69BD4695" w14:textId="5152D334" w:rsidR="00981EEC" w:rsidRPr="00981EEC" w:rsidRDefault="00981EEC" w:rsidP="00AE5C64">
      <w:pPr>
        <w:pStyle w:val="NoSpacing"/>
        <w:ind w:left="720" w:hanging="720"/>
      </w:pPr>
      <w:r w:rsidRPr="00981EEC">
        <w:t xml:space="preserve">18. Ashley HYGMP, Manzoor A, </w:t>
      </w:r>
      <w:proofErr w:type="spellStart"/>
      <w:r w:rsidRPr="00981EEC">
        <w:t>Viglianti</w:t>
      </w:r>
      <w:proofErr w:type="spellEnd"/>
      <w:r w:rsidRPr="00981EEC">
        <w:t xml:space="preserve"> Benjamin L, Dewhirst Mark W. </w:t>
      </w:r>
      <w:r w:rsidRPr="00981EEC">
        <w:rPr>
          <w:i/>
          <w:iCs/>
        </w:rPr>
        <w:t>Molecular Imaging: Principle and Practice.</w:t>
      </w:r>
      <w:r w:rsidRPr="00981EEC">
        <w:t> People’s Medical Publishing House; USA: 2010. Imaging Hypoxia. </w:t>
      </w:r>
    </w:p>
    <w:p w14:paraId="1D49A4A9" w14:textId="717D5F6F" w:rsidR="00981EEC" w:rsidRPr="00981EEC" w:rsidRDefault="00981EEC" w:rsidP="00AE5C64">
      <w:pPr>
        <w:pStyle w:val="NoSpacing"/>
        <w:ind w:left="720" w:hanging="720"/>
      </w:pPr>
      <w:r w:rsidRPr="00981EEC">
        <w:t>19. </w:t>
      </w:r>
      <w:proofErr w:type="spellStart"/>
      <w:r w:rsidRPr="00981EEC">
        <w:t>Cerussi</w:t>
      </w:r>
      <w:proofErr w:type="spellEnd"/>
      <w:r w:rsidRPr="00981EEC">
        <w:t xml:space="preserve"> A, Hsiang D, Shah N, Mehta R, Durkin A, Butler J, </w:t>
      </w:r>
      <w:proofErr w:type="spellStart"/>
      <w:r w:rsidRPr="00981EEC">
        <w:t>Tromberg</w:t>
      </w:r>
      <w:proofErr w:type="spellEnd"/>
      <w:r w:rsidRPr="00981EEC">
        <w:t xml:space="preserve"> BJ. </w:t>
      </w:r>
      <w:r w:rsidRPr="00981EEC">
        <w:rPr>
          <w:i/>
          <w:iCs/>
        </w:rPr>
        <w:t xml:space="preserve">Proc Natl </w:t>
      </w:r>
      <w:proofErr w:type="spellStart"/>
      <w:r w:rsidRPr="00981EEC">
        <w:rPr>
          <w:i/>
          <w:iCs/>
        </w:rPr>
        <w:t>Acad</w:t>
      </w:r>
      <w:proofErr w:type="spellEnd"/>
      <w:r w:rsidRPr="00981EEC">
        <w:rPr>
          <w:i/>
          <w:iCs/>
        </w:rPr>
        <w:t xml:space="preserve"> Sci USA. </w:t>
      </w:r>
      <w:r w:rsidRPr="00981EEC">
        <w:t>2007;104(10):4014–4019. </w:t>
      </w:r>
    </w:p>
    <w:p w14:paraId="2D3EBBC4" w14:textId="71C31497" w:rsidR="00981EEC" w:rsidRPr="00981EEC" w:rsidRDefault="00981EEC" w:rsidP="00AE5C64">
      <w:pPr>
        <w:pStyle w:val="NoSpacing"/>
        <w:ind w:left="720" w:hanging="720"/>
      </w:pPr>
      <w:r w:rsidRPr="00981EEC">
        <w:t xml:space="preserve">20. Pham TH, </w:t>
      </w:r>
      <w:proofErr w:type="spellStart"/>
      <w:r w:rsidRPr="00981EEC">
        <w:t>Coquoz</w:t>
      </w:r>
      <w:proofErr w:type="spellEnd"/>
      <w:r w:rsidRPr="00981EEC">
        <w:t xml:space="preserve"> O, </w:t>
      </w:r>
      <w:proofErr w:type="spellStart"/>
      <w:r w:rsidRPr="00981EEC">
        <w:t>Fishkin</w:t>
      </w:r>
      <w:proofErr w:type="spellEnd"/>
      <w:r w:rsidRPr="00981EEC">
        <w:t xml:space="preserve"> JB, Anderson E, </w:t>
      </w:r>
      <w:proofErr w:type="spellStart"/>
      <w:r w:rsidRPr="00981EEC">
        <w:t>Tromberg</w:t>
      </w:r>
      <w:proofErr w:type="spellEnd"/>
      <w:r w:rsidRPr="00981EEC">
        <w:t xml:space="preserve"> BJ. </w:t>
      </w:r>
      <w:r w:rsidRPr="00981EEC">
        <w:rPr>
          <w:i/>
          <w:iCs/>
        </w:rPr>
        <w:t>Review Scientific Instruments. </w:t>
      </w:r>
      <w:r w:rsidRPr="00981EEC">
        <w:t>2000;71(6):2500–2513. </w:t>
      </w:r>
    </w:p>
    <w:p w14:paraId="5AB615E8" w14:textId="63F9DB04" w:rsidR="00981EEC" w:rsidRPr="00981EEC" w:rsidRDefault="00981EEC" w:rsidP="00AE5C64">
      <w:pPr>
        <w:pStyle w:val="NoSpacing"/>
        <w:ind w:left="720" w:hanging="720"/>
      </w:pPr>
      <w:r w:rsidRPr="00981EEC">
        <w:t>21. </w:t>
      </w:r>
      <w:proofErr w:type="spellStart"/>
      <w:r w:rsidRPr="00981EEC">
        <w:t>Gulsen</w:t>
      </w:r>
      <w:proofErr w:type="spellEnd"/>
      <w:r w:rsidRPr="00981EEC">
        <w:t xml:space="preserve"> G, </w:t>
      </w:r>
      <w:proofErr w:type="spellStart"/>
      <w:r w:rsidRPr="00981EEC">
        <w:t>Birgul</w:t>
      </w:r>
      <w:proofErr w:type="spellEnd"/>
      <w:r w:rsidRPr="00981EEC">
        <w:t xml:space="preserve"> O, </w:t>
      </w:r>
      <w:proofErr w:type="spellStart"/>
      <w:r w:rsidRPr="00981EEC">
        <w:t>Unlu</w:t>
      </w:r>
      <w:proofErr w:type="spellEnd"/>
      <w:r w:rsidRPr="00981EEC">
        <w:t xml:space="preserve"> MB, </w:t>
      </w:r>
      <w:proofErr w:type="spellStart"/>
      <w:r w:rsidRPr="00981EEC">
        <w:t>Shafiiha</w:t>
      </w:r>
      <w:proofErr w:type="spellEnd"/>
      <w:r w:rsidRPr="00981EEC">
        <w:t xml:space="preserve"> R, </w:t>
      </w:r>
      <w:proofErr w:type="spellStart"/>
      <w:r w:rsidRPr="00981EEC">
        <w:t>Nalcioglu</w:t>
      </w:r>
      <w:proofErr w:type="spellEnd"/>
      <w:r w:rsidRPr="00981EEC">
        <w:t xml:space="preserve"> O. </w:t>
      </w:r>
      <w:r w:rsidRPr="00981EEC">
        <w:rPr>
          <w:i/>
          <w:iCs/>
        </w:rPr>
        <w:t>Technol Cancer Res Treat. </w:t>
      </w:r>
      <w:r w:rsidRPr="00981EEC">
        <w:t>2006;5(4):351–363. </w:t>
      </w:r>
    </w:p>
    <w:p w14:paraId="16735EF8" w14:textId="03541388" w:rsidR="00981EEC" w:rsidRPr="00981EEC" w:rsidRDefault="00981EEC" w:rsidP="00AE5C64">
      <w:pPr>
        <w:pStyle w:val="NoSpacing"/>
        <w:ind w:left="720" w:hanging="720"/>
      </w:pPr>
      <w:r w:rsidRPr="00981EEC">
        <w:t xml:space="preserve">22. Shah N, </w:t>
      </w:r>
      <w:proofErr w:type="spellStart"/>
      <w:r w:rsidRPr="00981EEC">
        <w:t>Cerussi</w:t>
      </w:r>
      <w:proofErr w:type="spellEnd"/>
      <w:r w:rsidRPr="00981EEC">
        <w:t xml:space="preserve"> AE, Jakubowski D, Hsiang D, Butler J, </w:t>
      </w:r>
      <w:proofErr w:type="spellStart"/>
      <w:r w:rsidRPr="00981EEC">
        <w:t>Tromberg</w:t>
      </w:r>
      <w:proofErr w:type="spellEnd"/>
      <w:r w:rsidRPr="00981EEC">
        <w:t xml:space="preserve"> BJ. </w:t>
      </w:r>
      <w:r w:rsidRPr="00981EEC">
        <w:rPr>
          <w:i/>
          <w:iCs/>
        </w:rPr>
        <w:t>Dis Markers. </w:t>
      </w:r>
      <w:r w:rsidRPr="00981EEC">
        <w:t>2003;19(2–3):95–105. </w:t>
      </w:r>
    </w:p>
    <w:p w14:paraId="630F02F8" w14:textId="4B7DEB2C" w:rsidR="00981EEC" w:rsidRPr="00981EEC" w:rsidRDefault="00981EEC" w:rsidP="00AE5C64">
      <w:pPr>
        <w:pStyle w:val="NoSpacing"/>
        <w:ind w:left="720" w:hanging="720"/>
      </w:pPr>
      <w:r w:rsidRPr="00981EEC">
        <w:t xml:space="preserve">23. Lee J, </w:t>
      </w:r>
      <w:proofErr w:type="spellStart"/>
      <w:r w:rsidRPr="00981EEC">
        <w:t>Cerussi</w:t>
      </w:r>
      <w:proofErr w:type="spellEnd"/>
      <w:r w:rsidRPr="00981EEC">
        <w:t xml:space="preserve"> AE, Saltzman D, Waddington T, </w:t>
      </w:r>
      <w:proofErr w:type="spellStart"/>
      <w:r w:rsidRPr="00981EEC">
        <w:t>Tromberg</w:t>
      </w:r>
      <w:proofErr w:type="spellEnd"/>
      <w:r w:rsidRPr="00981EEC">
        <w:t xml:space="preserve"> BJ, Brenner M. </w:t>
      </w:r>
      <w:r w:rsidRPr="00981EEC">
        <w:rPr>
          <w:i/>
          <w:iCs/>
        </w:rPr>
        <w:t>J Biomed Opt. </w:t>
      </w:r>
      <w:r w:rsidRPr="00981EEC">
        <w:t>2007;12(2):024001. </w:t>
      </w:r>
    </w:p>
    <w:p w14:paraId="51F1CABF" w14:textId="38B3DB9E" w:rsidR="00981EEC" w:rsidRPr="00981EEC" w:rsidRDefault="00981EEC" w:rsidP="00AE5C64">
      <w:pPr>
        <w:pStyle w:val="NoSpacing"/>
        <w:ind w:left="720" w:hanging="720"/>
      </w:pPr>
      <w:r w:rsidRPr="00981EEC">
        <w:t xml:space="preserve">24. Jakubowski DB, </w:t>
      </w:r>
      <w:proofErr w:type="spellStart"/>
      <w:r w:rsidRPr="00981EEC">
        <w:t>Cerussi</w:t>
      </w:r>
      <w:proofErr w:type="spellEnd"/>
      <w:r w:rsidRPr="00981EEC">
        <w:t xml:space="preserve"> AE, Bevilacqua F, Shah N, Hsiang D, Butler J, </w:t>
      </w:r>
      <w:proofErr w:type="spellStart"/>
      <w:r w:rsidRPr="00981EEC">
        <w:t>Tromberg</w:t>
      </w:r>
      <w:proofErr w:type="spellEnd"/>
      <w:r w:rsidRPr="00981EEC">
        <w:t xml:space="preserve"> BJ. </w:t>
      </w:r>
      <w:r w:rsidRPr="00981EEC">
        <w:rPr>
          <w:i/>
          <w:iCs/>
        </w:rPr>
        <w:t>J Biomed Opt. </w:t>
      </w:r>
      <w:r w:rsidRPr="00981EEC">
        <w:t>2004;9(1):230–238. </w:t>
      </w:r>
    </w:p>
    <w:p w14:paraId="43FBD562" w14:textId="66FD04B4" w:rsidR="00981EEC" w:rsidRPr="00981EEC" w:rsidRDefault="00981EEC" w:rsidP="00AE5C64">
      <w:pPr>
        <w:pStyle w:val="NoSpacing"/>
        <w:ind w:left="720" w:hanging="720"/>
      </w:pPr>
      <w:r w:rsidRPr="00981EEC">
        <w:lastRenderedPageBreak/>
        <w:t xml:space="preserve">25. Choe R, </w:t>
      </w:r>
      <w:proofErr w:type="spellStart"/>
      <w:r w:rsidRPr="00981EEC">
        <w:t>Corlu</w:t>
      </w:r>
      <w:proofErr w:type="spellEnd"/>
      <w:r w:rsidRPr="00981EEC">
        <w:t xml:space="preserve"> A, Lee K, </w:t>
      </w:r>
      <w:proofErr w:type="spellStart"/>
      <w:r w:rsidRPr="00981EEC">
        <w:t>Durduran</w:t>
      </w:r>
      <w:proofErr w:type="spellEnd"/>
      <w:r w:rsidRPr="00981EEC">
        <w:t xml:space="preserve"> T, Konecky SD, </w:t>
      </w:r>
      <w:proofErr w:type="spellStart"/>
      <w:r w:rsidRPr="00981EEC">
        <w:t>Grosicka-Koptyra</w:t>
      </w:r>
      <w:proofErr w:type="spellEnd"/>
      <w:r w:rsidRPr="00981EEC">
        <w:t xml:space="preserve"> M, </w:t>
      </w:r>
      <w:proofErr w:type="spellStart"/>
      <w:r w:rsidRPr="00981EEC">
        <w:t>Arridge</w:t>
      </w:r>
      <w:proofErr w:type="spellEnd"/>
      <w:r w:rsidRPr="00981EEC">
        <w:t xml:space="preserve"> SR, </w:t>
      </w:r>
      <w:proofErr w:type="spellStart"/>
      <w:r w:rsidRPr="00981EEC">
        <w:t>Czerniecki</w:t>
      </w:r>
      <w:proofErr w:type="spellEnd"/>
      <w:r w:rsidRPr="00981EEC">
        <w:t xml:space="preserve"> BJ, </w:t>
      </w:r>
      <w:proofErr w:type="spellStart"/>
      <w:r w:rsidRPr="00981EEC">
        <w:t>Fraker</w:t>
      </w:r>
      <w:proofErr w:type="spellEnd"/>
      <w:r w:rsidRPr="00981EEC">
        <w:t xml:space="preserve"> DL, </w:t>
      </w:r>
      <w:proofErr w:type="spellStart"/>
      <w:r w:rsidRPr="00981EEC">
        <w:t>DeMichele</w:t>
      </w:r>
      <w:proofErr w:type="spellEnd"/>
      <w:r w:rsidRPr="00981EEC">
        <w:t xml:space="preserve"> A, Chance B, Rosen MA, </w:t>
      </w:r>
      <w:proofErr w:type="spellStart"/>
      <w:r w:rsidRPr="00981EEC">
        <w:t>Yodh</w:t>
      </w:r>
      <w:proofErr w:type="spellEnd"/>
      <w:r w:rsidRPr="00981EEC">
        <w:t xml:space="preserve"> AG. </w:t>
      </w:r>
      <w:r w:rsidRPr="00981EEC">
        <w:rPr>
          <w:i/>
          <w:iCs/>
        </w:rPr>
        <w:t>Med Phys. </w:t>
      </w:r>
      <w:r w:rsidRPr="00981EEC">
        <w:t>2005;32(4):1128–1139. </w:t>
      </w:r>
    </w:p>
    <w:p w14:paraId="2F35DBD5" w14:textId="081C415B" w:rsidR="00981EEC" w:rsidRPr="00981EEC" w:rsidRDefault="00981EEC" w:rsidP="00AE5C64">
      <w:pPr>
        <w:pStyle w:val="NoSpacing"/>
        <w:ind w:left="720" w:hanging="720"/>
      </w:pPr>
      <w:r w:rsidRPr="00981EEC">
        <w:t xml:space="preserve">26. Culver JP, Choe R, </w:t>
      </w:r>
      <w:proofErr w:type="spellStart"/>
      <w:r w:rsidRPr="00981EEC">
        <w:t>Holboke</w:t>
      </w:r>
      <w:proofErr w:type="spellEnd"/>
      <w:r w:rsidRPr="00981EEC">
        <w:t xml:space="preserve"> MJ, </w:t>
      </w:r>
      <w:proofErr w:type="spellStart"/>
      <w:r w:rsidRPr="00981EEC">
        <w:t>Zubkov</w:t>
      </w:r>
      <w:proofErr w:type="spellEnd"/>
      <w:r w:rsidRPr="00981EEC">
        <w:t xml:space="preserve"> L, </w:t>
      </w:r>
      <w:proofErr w:type="spellStart"/>
      <w:r w:rsidRPr="00981EEC">
        <w:t>Durduran</w:t>
      </w:r>
      <w:proofErr w:type="spellEnd"/>
      <w:r w:rsidRPr="00981EEC">
        <w:t xml:space="preserve"> T, </w:t>
      </w:r>
      <w:proofErr w:type="spellStart"/>
      <w:r w:rsidRPr="00981EEC">
        <w:t>Slemp</w:t>
      </w:r>
      <w:proofErr w:type="spellEnd"/>
      <w:r w:rsidRPr="00981EEC">
        <w:t xml:space="preserve"> A, </w:t>
      </w:r>
      <w:proofErr w:type="spellStart"/>
      <w:r w:rsidRPr="00981EEC">
        <w:t>Ntziachristos</w:t>
      </w:r>
      <w:proofErr w:type="spellEnd"/>
      <w:r w:rsidRPr="00981EEC">
        <w:t xml:space="preserve"> V, Chance B, </w:t>
      </w:r>
      <w:proofErr w:type="spellStart"/>
      <w:r w:rsidRPr="00981EEC">
        <w:t>Yodh</w:t>
      </w:r>
      <w:proofErr w:type="spellEnd"/>
      <w:r w:rsidRPr="00981EEC">
        <w:t xml:space="preserve"> AG. </w:t>
      </w:r>
      <w:r w:rsidRPr="00981EEC">
        <w:rPr>
          <w:i/>
          <w:iCs/>
        </w:rPr>
        <w:t>Med Phys. </w:t>
      </w:r>
      <w:r w:rsidRPr="00981EEC">
        <w:t>2003;30(2):235–247. </w:t>
      </w:r>
    </w:p>
    <w:p w14:paraId="403F3BF1" w14:textId="3F040358" w:rsidR="00981EEC" w:rsidRPr="00981EEC" w:rsidRDefault="00981EEC" w:rsidP="00AE5C64">
      <w:pPr>
        <w:pStyle w:val="NoSpacing"/>
        <w:ind w:left="720" w:hanging="720"/>
      </w:pPr>
      <w:r w:rsidRPr="00981EEC">
        <w:t xml:space="preserve">27. Pogue B, </w:t>
      </w:r>
      <w:proofErr w:type="spellStart"/>
      <w:r w:rsidRPr="00981EEC">
        <w:t>Testorf</w:t>
      </w:r>
      <w:proofErr w:type="spellEnd"/>
      <w:r w:rsidRPr="00981EEC">
        <w:t xml:space="preserve"> M, McBride T, </w:t>
      </w:r>
      <w:proofErr w:type="spellStart"/>
      <w:r w:rsidRPr="00981EEC">
        <w:t>Osterberg</w:t>
      </w:r>
      <w:proofErr w:type="spellEnd"/>
      <w:r w:rsidRPr="00981EEC">
        <w:t xml:space="preserve"> U, Paulsen K. </w:t>
      </w:r>
      <w:proofErr w:type="spellStart"/>
      <w:r w:rsidRPr="00981EEC">
        <w:rPr>
          <w:i/>
          <w:iCs/>
        </w:rPr>
        <w:t>Opt</w:t>
      </w:r>
      <w:proofErr w:type="spellEnd"/>
      <w:r w:rsidRPr="00981EEC">
        <w:rPr>
          <w:i/>
          <w:iCs/>
        </w:rPr>
        <w:t xml:space="preserve"> Express. </w:t>
      </w:r>
      <w:r w:rsidRPr="00981EEC">
        <w:t>1997;1(13):391–403. </w:t>
      </w:r>
    </w:p>
    <w:p w14:paraId="54EB63EB" w14:textId="18012528" w:rsidR="00981EEC" w:rsidRPr="00981EEC" w:rsidRDefault="00981EEC" w:rsidP="00AE5C64">
      <w:pPr>
        <w:pStyle w:val="NoSpacing"/>
        <w:ind w:left="720" w:hanging="720"/>
      </w:pPr>
      <w:r w:rsidRPr="00981EEC">
        <w:t xml:space="preserve">28. Yu B, Burnside ES, </w:t>
      </w:r>
      <w:proofErr w:type="spellStart"/>
      <w:r w:rsidRPr="00981EEC">
        <w:t>Sisney</w:t>
      </w:r>
      <w:proofErr w:type="spellEnd"/>
      <w:r w:rsidRPr="00981EEC">
        <w:t xml:space="preserve"> GA, Harter JM, Zhu C, </w:t>
      </w:r>
      <w:proofErr w:type="spellStart"/>
      <w:r w:rsidRPr="00981EEC">
        <w:t>Dhalla</w:t>
      </w:r>
      <w:proofErr w:type="spellEnd"/>
      <w:r w:rsidRPr="00981EEC">
        <w:t xml:space="preserve"> AH, </w:t>
      </w:r>
      <w:proofErr w:type="spellStart"/>
      <w:r w:rsidRPr="00981EEC">
        <w:t>Ramanujam</w:t>
      </w:r>
      <w:proofErr w:type="spellEnd"/>
      <w:r w:rsidRPr="00981EEC">
        <w:t xml:space="preserve"> N. </w:t>
      </w:r>
      <w:proofErr w:type="spellStart"/>
      <w:r w:rsidRPr="00981EEC">
        <w:rPr>
          <w:i/>
          <w:iCs/>
        </w:rPr>
        <w:t>Opt</w:t>
      </w:r>
      <w:proofErr w:type="spellEnd"/>
      <w:r w:rsidRPr="00981EEC">
        <w:rPr>
          <w:i/>
          <w:iCs/>
        </w:rPr>
        <w:t xml:space="preserve"> Express. </w:t>
      </w:r>
      <w:r w:rsidRPr="00981EEC">
        <w:t>2007;15(12):7335–7350. </w:t>
      </w:r>
    </w:p>
    <w:p w14:paraId="65650044" w14:textId="7EFB2F5E" w:rsidR="00981EEC" w:rsidRPr="00981EEC" w:rsidRDefault="00981EEC" w:rsidP="00AE5C64">
      <w:pPr>
        <w:pStyle w:val="NoSpacing"/>
        <w:ind w:left="720" w:hanging="720"/>
      </w:pPr>
      <w:r w:rsidRPr="00981EEC">
        <w:t>29. </w:t>
      </w:r>
      <w:proofErr w:type="spellStart"/>
      <w:r w:rsidRPr="00981EEC">
        <w:t>Fishkin</w:t>
      </w:r>
      <w:proofErr w:type="spellEnd"/>
      <w:r w:rsidRPr="00981EEC">
        <w:t xml:space="preserve"> JB, So PTC, </w:t>
      </w:r>
      <w:proofErr w:type="spellStart"/>
      <w:r w:rsidRPr="00981EEC">
        <w:t>Cerussi</w:t>
      </w:r>
      <w:proofErr w:type="spellEnd"/>
      <w:r w:rsidRPr="00981EEC">
        <w:t xml:space="preserve"> AE, Gratton E, </w:t>
      </w:r>
      <w:proofErr w:type="spellStart"/>
      <w:r w:rsidRPr="00981EEC">
        <w:t>Fantini</w:t>
      </w:r>
      <w:proofErr w:type="spellEnd"/>
      <w:r w:rsidRPr="00981EEC">
        <w:t xml:space="preserve"> S, </w:t>
      </w:r>
      <w:proofErr w:type="spellStart"/>
      <w:r w:rsidRPr="00981EEC">
        <w:t>Franceschini</w:t>
      </w:r>
      <w:proofErr w:type="spellEnd"/>
      <w:r w:rsidRPr="00981EEC">
        <w:t xml:space="preserve"> MA. </w:t>
      </w:r>
      <w:r w:rsidRPr="00981EEC">
        <w:rPr>
          <w:i/>
          <w:iCs/>
        </w:rPr>
        <w:t>Appl Opt. </w:t>
      </w:r>
      <w:r w:rsidRPr="00981EEC">
        <w:t>1995;34(7):1143–1155. </w:t>
      </w:r>
    </w:p>
    <w:p w14:paraId="6EC81EFF" w14:textId="05552010" w:rsidR="00981EEC" w:rsidRPr="00981EEC" w:rsidRDefault="00981EEC" w:rsidP="00AE5C64">
      <w:pPr>
        <w:pStyle w:val="NoSpacing"/>
        <w:ind w:left="720" w:hanging="720"/>
      </w:pPr>
      <w:r w:rsidRPr="00981EEC">
        <w:t xml:space="preserve">30. Sun Z, Huang Y, </w:t>
      </w:r>
      <w:proofErr w:type="spellStart"/>
      <w:r w:rsidRPr="00981EEC">
        <w:t>Sevick-Muraca</w:t>
      </w:r>
      <w:proofErr w:type="spellEnd"/>
      <w:r w:rsidRPr="00981EEC">
        <w:t xml:space="preserve"> EM. </w:t>
      </w:r>
      <w:r w:rsidRPr="00981EEC">
        <w:rPr>
          <w:i/>
          <w:iCs/>
        </w:rPr>
        <w:t>Rev Sci Instr. </w:t>
      </w:r>
      <w:r w:rsidRPr="00981EEC">
        <w:t>2002;73(2):383–393. </w:t>
      </w:r>
    </w:p>
    <w:p w14:paraId="0E5A04DE" w14:textId="2DBBC37B" w:rsidR="00981EEC" w:rsidRPr="00981EEC" w:rsidRDefault="00981EEC" w:rsidP="00AE5C64">
      <w:pPr>
        <w:pStyle w:val="NoSpacing"/>
        <w:ind w:left="720" w:hanging="720"/>
      </w:pPr>
      <w:r w:rsidRPr="00981EEC">
        <w:t xml:space="preserve">31. Pham TH, Hornung R, </w:t>
      </w:r>
      <w:proofErr w:type="spellStart"/>
      <w:r w:rsidRPr="00981EEC">
        <w:t>Berns</w:t>
      </w:r>
      <w:proofErr w:type="spellEnd"/>
      <w:r w:rsidRPr="00981EEC">
        <w:t xml:space="preserve"> MW, </w:t>
      </w:r>
      <w:proofErr w:type="spellStart"/>
      <w:r w:rsidRPr="00981EEC">
        <w:t>Tadir</w:t>
      </w:r>
      <w:proofErr w:type="spellEnd"/>
      <w:r w:rsidRPr="00981EEC">
        <w:t xml:space="preserve"> Y, </w:t>
      </w:r>
      <w:proofErr w:type="spellStart"/>
      <w:r w:rsidRPr="00981EEC">
        <w:t>Tromberg</w:t>
      </w:r>
      <w:proofErr w:type="spellEnd"/>
      <w:r w:rsidRPr="00981EEC">
        <w:t xml:space="preserve"> BJ. </w:t>
      </w:r>
      <w:proofErr w:type="spellStart"/>
      <w:r w:rsidRPr="00981EEC">
        <w:rPr>
          <w:i/>
          <w:iCs/>
        </w:rPr>
        <w:t>Photochem</w:t>
      </w:r>
      <w:proofErr w:type="spellEnd"/>
      <w:r w:rsidRPr="00981EEC">
        <w:rPr>
          <w:i/>
          <w:iCs/>
        </w:rPr>
        <w:t xml:space="preserve"> </w:t>
      </w:r>
      <w:proofErr w:type="spellStart"/>
      <w:r w:rsidRPr="00981EEC">
        <w:rPr>
          <w:i/>
          <w:iCs/>
        </w:rPr>
        <w:t>Photobiol</w:t>
      </w:r>
      <w:proofErr w:type="spellEnd"/>
      <w:r w:rsidRPr="00981EEC">
        <w:rPr>
          <w:i/>
          <w:iCs/>
        </w:rPr>
        <w:t>. </w:t>
      </w:r>
      <w:r w:rsidRPr="00981EEC">
        <w:t>2001;73(6):669–677. </w:t>
      </w:r>
    </w:p>
    <w:p w14:paraId="2E795F3D" w14:textId="17470BF8" w:rsidR="00981EEC" w:rsidRPr="00981EEC" w:rsidRDefault="00981EEC" w:rsidP="00AE5C64">
      <w:pPr>
        <w:pStyle w:val="NoSpacing"/>
        <w:ind w:left="720" w:hanging="720"/>
      </w:pPr>
      <w:r w:rsidRPr="00981EEC">
        <w:t xml:space="preserve">32. Flock ST, Jacques SL, Wilson BC, Star WM, van </w:t>
      </w:r>
      <w:proofErr w:type="spellStart"/>
      <w:r w:rsidRPr="00981EEC">
        <w:t>Gemert</w:t>
      </w:r>
      <w:proofErr w:type="spellEnd"/>
      <w:r w:rsidRPr="00981EEC">
        <w:t xml:space="preserve"> MJ. </w:t>
      </w:r>
      <w:r w:rsidRPr="00981EEC">
        <w:rPr>
          <w:i/>
          <w:iCs/>
        </w:rPr>
        <w:t>Lasers Surg Med. </w:t>
      </w:r>
      <w:r w:rsidRPr="00981EEC">
        <w:t>1992;12(5):510–519. </w:t>
      </w:r>
    </w:p>
    <w:p w14:paraId="01476F8C" w14:textId="1BA2EB1C" w:rsidR="00981EEC" w:rsidRPr="00981EEC" w:rsidRDefault="00981EEC" w:rsidP="00AE5C64">
      <w:pPr>
        <w:pStyle w:val="NoSpacing"/>
        <w:ind w:left="720" w:hanging="720"/>
      </w:pPr>
      <w:r w:rsidRPr="00981EEC">
        <w:t xml:space="preserve">33. Dunn TJ, Braun RD, </w:t>
      </w:r>
      <w:proofErr w:type="spellStart"/>
      <w:r w:rsidRPr="00981EEC">
        <w:t>Rhemus</w:t>
      </w:r>
      <w:proofErr w:type="spellEnd"/>
      <w:r w:rsidRPr="00981EEC">
        <w:t xml:space="preserve"> WE, Rosner GL, </w:t>
      </w:r>
      <w:proofErr w:type="spellStart"/>
      <w:r w:rsidRPr="00981EEC">
        <w:t>Secomb</w:t>
      </w:r>
      <w:proofErr w:type="spellEnd"/>
      <w:r w:rsidRPr="00981EEC">
        <w:t xml:space="preserve"> TW, Tozer GM, Chaplin DJ, Dewhirst MW. </w:t>
      </w:r>
      <w:r w:rsidRPr="00981EEC">
        <w:rPr>
          <w:i/>
          <w:iCs/>
        </w:rPr>
        <w:t>Br J Cancer. </w:t>
      </w:r>
      <w:r w:rsidRPr="00981EEC">
        <w:t>1999;80(1–2):117–126. </w:t>
      </w:r>
    </w:p>
    <w:p w14:paraId="2C8EECCE" w14:textId="5422459F" w:rsidR="00981EEC" w:rsidRPr="00981EEC" w:rsidRDefault="00981EEC" w:rsidP="00AE5C64">
      <w:pPr>
        <w:pStyle w:val="NoSpacing"/>
        <w:ind w:left="720" w:hanging="720"/>
      </w:pPr>
      <w:r w:rsidRPr="00981EEC">
        <w:t xml:space="preserve">34. Braun RD, </w:t>
      </w:r>
      <w:proofErr w:type="spellStart"/>
      <w:r w:rsidRPr="00981EEC">
        <w:t>Lanzen</w:t>
      </w:r>
      <w:proofErr w:type="spellEnd"/>
      <w:r w:rsidRPr="00981EEC">
        <w:t xml:space="preserve"> JL, Dewhirst MW. </w:t>
      </w:r>
      <w:r w:rsidRPr="00981EEC">
        <w:rPr>
          <w:i/>
          <w:iCs/>
        </w:rPr>
        <w:t>Am J Physiol. </w:t>
      </w:r>
      <w:r w:rsidRPr="00981EEC">
        <w:t>1999;277(2 Pt 2):H551–H568. </w:t>
      </w:r>
    </w:p>
    <w:p w14:paraId="021F755B" w14:textId="41D5C44C" w:rsidR="00981EEC" w:rsidRPr="00981EEC" w:rsidRDefault="00981EEC" w:rsidP="00AE5C64">
      <w:pPr>
        <w:pStyle w:val="NoSpacing"/>
        <w:ind w:left="720" w:hanging="720"/>
      </w:pPr>
      <w:r w:rsidRPr="00981EEC">
        <w:t>35. Cardenas-</w:t>
      </w:r>
      <w:proofErr w:type="spellStart"/>
      <w:r w:rsidRPr="00981EEC">
        <w:t>Navia</w:t>
      </w:r>
      <w:proofErr w:type="spellEnd"/>
      <w:r w:rsidRPr="00981EEC">
        <w:t xml:space="preserve"> LI, Mace D, Richardson RA, Wilson DF, Shan S, Dewhirst MW. </w:t>
      </w:r>
      <w:r w:rsidRPr="00981EEC">
        <w:rPr>
          <w:i/>
          <w:iCs/>
        </w:rPr>
        <w:t>Cancer Res. </w:t>
      </w:r>
      <w:r w:rsidRPr="00981EEC">
        <w:t>2008;68(14):5812–5819. </w:t>
      </w:r>
    </w:p>
    <w:p w14:paraId="0BE5CCDC" w14:textId="40D861CA" w:rsidR="00981EEC" w:rsidRPr="00981EEC" w:rsidRDefault="00981EEC" w:rsidP="00AE5C64">
      <w:pPr>
        <w:pStyle w:val="NoSpacing"/>
        <w:ind w:left="720" w:hanging="720"/>
      </w:pPr>
      <w:r w:rsidRPr="00981EEC">
        <w:t>36. Cardenas-</w:t>
      </w:r>
      <w:proofErr w:type="spellStart"/>
      <w:r w:rsidRPr="00981EEC">
        <w:t>Navia</w:t>
      </w:r>
      <w:proofErr w:type="spellEnd"/>
      <w:r w:rsidRPr="00981EEC">
        <w:t xml:space="preserve"> LI, Yu D, Braun RD, </w:t>
      </w:r>
      <w:proofErr w:type="spellStart"/>
      <w:r w:rsidRPr="00981EEC">
        <w:t>Brizel</w:t>
      </w:r>
      <w:proofErr w:type="spellEnd"/>
      <w:r w:rsidRPr="00981EEC">
        <w:t xml:space="preserve"> DM, </w:t>
      </w:r>
      <w:proofErr w:type="spellStart"/>
      <w:r w:rsidRPr="00981EEC">
        <w:t>Secomb</w:t>
      </w:r>
      <w:proofErr w:type="spellEnd"/>
      <w:r w:rsidRPr="00981EEC">
        <w:t xml:space="preserve"> TW, Dewhirst MW. </w:t>
      </w:r>
      <w:r w:rsidRPr="00981EEC">
        <w:rPr>
          <w:i/>
          <w:iCs/>
        </w:rPr>
        <w:t>Cancer Res. </w:t>
      </w:r>
      <w:r w:rsidRPr="00981EEC">
        <w:t>2004;64(17):6010–6017. </w:t>
      </w:r>
    </w:p>
    <w:p w14:paraId="09F0D6E0" w14:textId="482C557A" w:rsidR="00981EEC" w:rsidRPr="00981EEC" w:rsidRDefault="00981EEC" w:rsidP="00AE5C64">
      <w:pPr>
        <w:pStyle w:val="NoSpacing"/>
        <w:ind w:left="720" w:hanging="720"/>
      </w:pPr>
      <w:r w:rsidRPr="00981EEC">
        <w:t xml:space="preserve">37. Dewhirst MW, Kimura H, </w:t>
      </w:r>
      <w:proofErr w:type="spellStart"/>
      <w:r w:rsidRPr="00981EEC">
        <w:t>Rehmus</w:t>
      </w:r>
      <w:proofErr w:type="spellEnd"/>
      <w:r w:rsidRPr="00981EEC">
        <w:t xml:space="preserve"> SW, Braun RD, </w:t>
      </w:r>
      <w:proofErr w:type="spellStart"/>
      <w:r w:rsidRPr="00981EEC">
        <w:t>Papahadjopoulos</w:t>
      </w:r>
      <w:proofErr w:type="spellEnd"/>
      <w:r w:rsidRPr="00981EEC">
        <w:t xml:space="preserve"> D, Hong K, Secomb TW. </w:t>
      </w:r>
      <w:r w:rsidRPr="00981EEC">
        <w:rPr>
          <w:i/>
          <w:iCs/>
        </w:rPr>
        <w:t>Br J Cancer Suppl. </w:t>
      </w:r>
      <w:r w:rsidRPr="00981EEC">
        <w:t>1996;</w:t>
      </w:r>
      <w:proofErr w:type="gramStart"/>
      <w:r w:rsidRPr="00981EEC">
        <w:t>27:S</w:t>
      </w:r>
      <w:proofErr w:type="gramEnd"/>
      <w:r w:rsidRPr="00981EEC">
        <w:t>247–S251. </w:t>
      </w:r>
    </w:p>
    <w:p w14:paraId="4AC75D95" w14:textId="77777777" w:rsidR="00981EEC" w:rsidRPr="00981EEC" w:rsidRDefault="00981EEC" w:rsidP="00981EEC"/>
    <w:sectPr w:rsidR="00981EEC" w:rsidRPr="00981EE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P5lyNm5AJLHbjPRFc8tkjXoP7+DNV53LmOffPj7iJ8M0OnVeq49va47Mee2wHLEVywf4wQ0V1tJD+XR/zNAh9w==" w:salt="NyIk62WTxShY2w2glHRQP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EDD"/>
    <w:rsid w:val="00083102"/>
    <w:rsid w:val="000846CC"/>
    <w:rsid w:val="00085797"/>
    <w:rsid w:val="00087367"/>
    <w:rsid w:val="0009064A"/>
    <w:rsid w:val="00091815"/>
    <w:rsid w:val="00091C6F"/>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097F"/>
    <w:rsid w:val="001233A5"/>
    <w:rsid w:val="00123BC0"/>
    <w:rsid w:val="00123E80"/>
    <w:rsid w:val="00131A15"/>
    <w:rsid w:val="00131C28"/>
    <w:rsid w:val="001333CB"/>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114F"/>
    <w:rsid w:val="00196C7C"/>
    <w:rsid w:val="001A1C71"/>
    <w:rsid w:val="001A1DF4"/>
    <w:rsid w:val="001A34C4"/>
    <w:rsid w:val="001A7CDB"/>
    <w:rsid w:val="001B6E76"/>
    <w:rsid w:val="001C3A3F"/>
    <w:rsid w:val="001D1087"/>
    <w:rsid w:val="001D2448"/>
    <w:rsid w:val="001D3ADE"/>
    <w:rsid w:val="001D58D3"/>
    <w:rsid w:val="001D75D9"/>
    <w:rsid w:val="001D776C"/>
    <w:rsid w:val="001D7BCC"/>
    <w:rsid w:val="001E18FE"/>
    <w:rsid w:val="001F70BC"/>
    <w:rsid w:val="001F7FBE"/>
    <w:rsid w:val="002016B1"/>
    <w:rsid w:val="00201875"/>
    <w:rsid w:val="00201AFD"/>
    <w:rsid w:val="00201FDC"/>
    <w:rsid w:val="002022D8"/>
    <w:rsid w:val="0020536E"/>
    <w:rsid w:val="00206486"/>
    <w:rsid w:val="00206CC8"/>
    <w:rsid w:val="00211422"/>
    <w:rsid w:val="00212109"/>
    <w:rsid w:val="00224240"/>
    <w:rsid w:val="00226FA2"/>
    <w:rsid w:val="0024134B"/>
    <w:rsid w:val="00251132"/>
    <w:rsid w:val="002535DF"/>
    <w:rsid w:val="002558EB"/>
    <w:rsid w:val="00255B43"/>
    <w:rsid w:val="00255BDC"/>
    <w:rsid w:val="00255BEA"/>
    <w:rsid w:val="002563E7"/>
    <w:rsid w:val="00261403"/>
    <w:rsid w:val="00261F59"/>
    <w:rsid w:val="00272AF4"/>
    <w:rsid w:val="00276C06"/>
    <w:rsid w:val="00280198"/>
    <w:rsid w:val="00281121"/>
    <w:rsid w:val="00282094"/>
    <w:rsid w:val="002843BC"/>
    <w:rsid w:val="00284A84"/>
    <w:rsid w:val="0029129F"/>
    <w:rsid w:val="00292548"/>
    <w:rsid w:val="00295E9A"/>
    <w:rsid w:val="00296B90"/>
    <w:rsid w:val="00297296"/>
    <w:rsid w:val="002A0668"/>
    <w:rsid w:val="002A6B8B"/>
    <w:rsid w:val="002A7FBB"/>
    <w:rsid w:val="002B1ED8"/>
    <w:rsid w:val="002B45EC"/>
    <w:rsid w:val="002B6139"/>
    <w:rsid w:val="002B62C6"/>
    <w:rsid w:val="002C17A7"/>
    <w:rsid w:val="002C2DA5"/>
    <w:rsid w:val="002C4714"/>
    <w:rsid w:val="002C6160"/>
    <w:rsid w:val="002D02F2"/>
    <w:rsid w:val="002D28EA"/>
    <w:rsid w:val="002D4A14"/>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0F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694A"/>
    <w:rsid w:val="003B47FA"/>
    <w:rsid w:val="003B6208"/>
    <w:rsid w:val="003B7F8F"/>
    <w:rsid w:val="003C4172"/>
    <w:rsid w:val="003C437D"/>
    <w:rsid w:val="003C4456"/>
    <w:rsid w:val="003C73E0"/>
    <w:rsid w:val="003D3301"/>
    <w:rsid w:val="003D4641"/>
    <w:rsid w:val="003E05B7"/>
    <w:rsid w:val="003E0C0A"/>
    <w:rsid w:val="003E6CFF"/>
    <w:rsid w:val="004010E3"/>
    <w:rsid w:val="004055B8"/>
    <w:rsid w:val="0040709D"/>
    <w:rsid w:val="004122F9"/>
    <w:rsid w:val="004124D3"/>
    <w:rsid w:val="004139BA"/>
    <w:rsid w:val="00414591"/>
    <w:rsid w:val="00421CBC"/>
    <w:rsid w:val="00424C7F"/>
    <w:rsid w:val="0043008C"/>
    <w:rsid w:val="00430B91"/>
    <w:rsid w:val="004374EF"/>
    <w:rsid w:val="00440F61"/>
    <w:rsid w:val="004441CB"/>
    <w:rsid w:val="00450DB8"/>
    <w:rsid w:val="00453D2C"/>
    <w:rsid w:val="00454851"/>
    <w:rsid w:val="00456070"/>
    <w:rsid w:val="00456B26"/>
    <w:rsid w:val="0045705F"/>
    <w:rsid w:val="004570E7"/>
    <w:rsid w:val="00460A1D"/>
    <w:rsid w:val="004613DF"/>
    <w:rsid w:val="00461BB2"/>
    <w:rsid w:val="00463F96"/>
    <w:rsid w:val="004660BE"/>
    <w:rsid w:val="0046696C"/>
    <w:rsid w:val="00466DD7"/>
    <w:rsid w:val="00467019"/>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4DD4"/>
    <w:rsid w:val="004B6BED"/>
    <w:rsid w:val="004B77C2"/>
    <w:rsid w:val="004C0B3D"/>
    <w:rsid w:val="004C2D7B"/>
    <w:rsid w:val="004C45D2"/>
    <w:rsid w:val="004C5EEF"/>
    <w:rsid w:val="004C6B81"/>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01B"/>
    <w:rsid w:val="00533270"/>
    <w:rsid w:val="00540146"/>
    <w:rsid w:val="00543C22"/>
    <w:rsid w:val="0054405B"/>
    <w:rsid w:val="0054567F"/>
    <w:rsid w:val="00546B44"/>
    <w:rsid w:val="00553291"/>
    <w:rsid w:val="005546FF"/>
    <w:rsid w:val="00556B72"/>
    <w:rsid w:val="00560333"/>
    <w:rsid w:val="005605E4"/>
    <w:rsid w:val="00563D7B"/>
    <w:rsid w:val="00563E3B"/>
    <w:rsid w:val="005643C8"/>
    <w:rsid w:val="005673D1"/>
    <w:rsid w:val="00570F38"/>
    <w:rsid w:val="00573955"/>
    <w:rsid w:val="00575B62"/>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0283"/>
    <w:rsid w:val="005F46EC"/>
    <w:rsid w:val="005F49C9"/>
    <w:rsid w:val="005F71CE"/>
    <w:rsid w:val="005F7A68"/>
    <w:rsid w:val="00601980"/>
    <w:rsid w:val="0060332C"/>
    <w:rsid w:val="00604C5A"/>
    <w:rsid w:val="00607F1D"/>
    <w:rsid w:val="00612DE8"/>
    <w:rsid w:val="00615A83"/>
    <w:rsid w:val="00620EA0"/>
    <w:rsid w:val="006228E6"/>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12E5"/>
    <w:rsid w:val="006769E6"/>
    <w:rsid w:val="00676C63"/>
    <w:rsid w:val="00682333"/>
    <w:rsid w:val="006844CA"/>
    <w:rsid w:val="006871E0"/>
    <w:rsid w:val="00693B53"/>
    <w:rsid w:val="00695239"/>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1286"/>
    <w:rsid w:val="006F24E3"/>
    <w:rsid w:val="007065D3"/>
    <w:rsid w:val="007071B1"/>
    <w:rsid w:val="00707EC1"/>
    <w:rsid w:val="00710582"/>
    <w:rsid w:val="00714EE9"/>
    <w:rsid w:val="007246B0"/>
    <w:rsid w:val="007258CB"/>
    <w:rsid w:val="00730E29"/>
    <w:rsid w:val="00732FF6"/>
    <w:rsid w:val="00735393"/>
    <w:rsid w:val="00736692"/>
    <w:rsid w:val="00745E32"/>
    <w:rsid w:val="007466F7"/>
    <w:rsid w:val="00757D89"/>
    <w:rsid w:val="0076194B"/>
    <w:rsid w:val="0076202C"/>
    <w:rsid w:val="00763676"/>
    <w:rsid w:val="007669A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1C8"/>
    <w:rsid w:val="007F12C0"/>
    <w:rsid w:val="007F336A"/>
    <w:rsid w:val="007F4E20"/>
    <w:rsid w:val="007F6C1A"/>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26DA"/>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1EEC"/>
    <w:rsid w:val="00982217"/>
    <w:rsid w:val="00984B39"/>
    <w:rsid w:val="00986A83"/>
    <w:rsid w:val="00990645"/>
    <w:rsid w:val="00993B14"/>
    <w:rsid w:val="009A0D90"/>
    <w:rsid w:val="009A130B"/>
    <w:rsid w:val="009A2639"/>
    <w:rsid w:val="009A397F"/>
    <w:rsid w:val="009B4F83"/>
    <w:rsid w:val="009B6983"/>
    <w:rsid w:val="009C14D9"/>
    <w:rsid w:val="009C5450"/>
    <w:rsid w:val="009C5716"/>
    <w:rsid w:val="009D316A"/>
    <w:rsid w:val="009D3527"/>
    <w:rsid w:val="009D433F"/>
    <w:rsid w:val="009D5368"/>
    <w:rsid w:val="009D54DF"/>
    <w:rsid w:val="009E56AC"/>
    <w:rsid w:val="009E56AF"/>
    <w:rsid w:val="009E678D"/>
    <w:rsid w:val="009F28E2"/>
    <w:rsid w:val="009F4BDF"/>
    <w:rsid w:val="009F60BA"/>
    <w:rsid w:val="009F6EB7"/>
    <w:rsid w:val="009F7F44"/>
    <w:rsid w:val="009F7F7A"/>
    <w:rsid w:val="00A01B8D"/>
    <w:rsid w:val="00A034AE"/>
    <w:rsid w:val="00A035F5"/>
    <w:rsid w:val="00A11F34"/>
    <w:rsid w:val="00A1350A"/>
    <w:rsid w:val="00A231A4"/>
    <w:rsid w:val="00A310DA"/>
    <w:rsid w:val="00A32FCB"/>
    <w:rsid w:val="00A33E05"/>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59E0"/>
    <w:rsid w:val="00A7290A"/>
    <w:rsid w:val="00A75006"/>
    <w:rsid w:val="00A80FCC"/>
    <w:rsid w:val="00A81E28"/>
    <w:rsid w:val="00A82932"/>
    <w:rsid w:val="00A82D07"/>
    <w:rsid w:val="00A82F2B"/>
    <w:rsid w:val="00A868FB"/>
    <w:rsid w:val="00A915ED"/>
    <w:rsid w:val="00A91CF2"/>
    <w:rsid w:val="00A93BA4"/>
    <w:rsid w:val="00A9416E"/>
    <w:rsid w:val="00AA493D"/>
    <w:rsid w:val="00AB4807"/>
    <w:rsid w:val="00AB4813"/>
    <w:rsid w:val="00AC0052"/>
    <w:rsid w:val="00AC04D6"/>
    <w:rsid w:val="00AC768B"/>
    <w:rsid w:val="00AD0685"/>
    <w:rsid w:val="00AD38C1"/>
    <w:rsid w:val="00AD5A78"/>
    <w:rsid w:val="00AD67BB"/>
    <w:rsid w:val="00AE1517"/>
    <w:rsid w:val="00AE4078"/>
    <w:rsid w:val="00AE4230"/>
    <w:rsid w:val="00AE4603"/>
    <w:rsid w:val="00AE5C64"/>
    <w:rsid w:val="00AE69D7"/>
    <w:rsid w:val="00AE71AA"/>
    <w:rsid w:val="00AF1374"/>
    <w:rsid w:val="00AF1E8A"/>
    <w:rsid w:val="00AF2DE8"/>
    <w:rsid w:val="00AF5947"/>
    <w:rsid w:val="00AF692A"/>
    <w:rsid w:val="00AF6D69"/>
    <w:rsid w:val="00AF7626"/>
    <w:rsid w:val="00B01BE6"/>
    <w:rsid w:val="00B03D08"/>
    <w:rsid w:val="00B05BF7"/>
    <w:rsid w:val="00B079F6"/>
    <w:rsid w:val="00B1094A"/>
    <w:rsid w:val="00B129D1"/>
    <w:rsid w:val="00B12F61"/>
    <w:rsid w:val="00B14CBC"/>
    <w:rsid w:val="00B1760D"/>
    <w:rsid w:val="00B17FF0"/>
    <w:rsid w:val="00B243CA"/>
    <w:rsid w:val="00B30468"/>
    <w:rsid w:val="00B32160"/>
    <w:rsid w:val="00B32B07"/>
    <w:rsid w:val="00B336E9"/>
    <w:rsid w:val="00B3397D"/>
    <w:rsid w:val="00B3426B"/>
    <w:rsid w:val="00B34F7B"/>
    <w:rsid w:val="00B35999"/>
    <w:rsid w:val="00B44237"/>
    <w:rsid w:val="00B47D09"/>
    <w:rsid w:val="00B50108"/>
    <w:rsid w:val="00B525D3"/>
    <w:rsid w:val="00B54746"/>
    <w:rsid w:val="00B55B5C"/>
    <w:rsid w:val="00B56290"/>
    <w:rsid w:val="00B61B54"/>
    <w:rsid w:val="00B6351D"/>
    <w:rsid w:val="00B64203"/>
    <w:rsid w:val="00B6519E"/>
    <w:rsid w:val="00B66AF1"/>
    <w:rsid w:val="00B67638"/>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104E"/>
    <w:rsid w:val="00BE1DF0"/>
    <w:rsid w:val="00BE2644"/>
    <w:rsid w:val="00BE42F3"/>
    <w:rsid w:val="00BE551C"/>
    <w:rsid w:val="00BF020F"/>
    <w:rsid w:val="00BF6ECD"/>
    <w:rsid w:val="00BF790B"/>
    <w:rsid w:val="00C01E67"/>
    <w:rsid w:val="00C05302"/>
    <w:rsid w:val="00C06B6B"/>
    <w:rsid w:val="00C06F37"/>
    <w:rsid w:val="00C0799A"/>
    <w:rsid w:val="00C13438"/>
    <w:rsid w:val="00C15F3D"/>
    <w:rsid w:val="00C170FF"/>
    <w:rsid w:val="00C173E1"/>
    <w:rsid w:val="00C2019E"/>
    <w:rsid w:val="00C21057"/>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266A"/>
    <w:rsid w:val="00D64942"/>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45A9"/>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07B6"/>
    <w:rsid w:val="00E12911"/>
    <w:rsid w:val="00E13E05"/>
    <w:rsid w:val="00E15784"/>
    <w:rsid w:val="00E16734"/>
    <w:rsid w:val="00E179BE"/>
    <w:rsid w:val="00E20401"/>
    <w:rsid w:val="00E264D8"/>
    <w:rsid w:val="00E319F9"/>
    <w:rsid w:val="00E331C7"/>
    <w:rsid w:val="00E35240"/>
    <w:rsid w:val="00E36E18"/>
    <w:rsid w:val="00E37099"/>
    <w:rsid w:val="00E40A15"/>
    <w:rsid w:val="00E40CCE"/>
    <w:rsid w:val="00E42272"/>
    <w:rsid w:val="00E43654"/>
    <w:rsid w:val="00E459FA"/>
    <w:rsid w:val="00E45A4B"/>
    <w:rsid w:val="00E46345"/>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6FE5"/>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5C6C"/>
    <w:rsid w:val="00F00B9A"/>
    <w:rsid w:val="00F0246E"/>
    <w:rsid w:val="00F026DB"/>
    <w:rsid w:val="00F04133"/>
    <w:rsid w:val="00F12233"/>
    <w:rsid w:val="00F12CE1"/>
    <w:rsid w:val="00F13A26"/>
    <w:rsid w:val="00F14096"/>
    <w:rsid w:val="00F14820"/>
    <w:rsid w:val="00F30DED"/>
    <w:rsid w:val="00F31DB2"/>
    <w:rsid w:val="00F34E84"/>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186F"/>
    <w:rsid w:val="00F83712"/>
    <w:rsid w:val="00F86BEC"/>
    <w:rsid w:val="00F9447B"/>
    <w:rsid w:val="00F944E0"/>
    <w:rsid w:val="00F95C39"/>
    <w:rsid w:val="00F979C8"/>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48C"/>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C6F"/>
  </w:style>
  <w:style w:type="paragraph" w:styleId="Heading1">
    <w:name w:val="heading 1"/>
    <w:basedOn w:val="Normal"/>
    <w:next w:val="Normal"/>
    <w:link w:val="Heading1Char"/>
    <w:uiPriority w:val="9"/>
    <w:qFormat/>
    <w:rsid w:val="00091C6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91C6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91C6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91C6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91C6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91C6F"/>
    <w:pPr>
      <w:keepNext/>
      <w:keepLines/>
      <w:spacing w:before="40" w:after="0"/>
      <w:outlineLvl w:val="5"/>
    </w:pPr>
  </w:style>
  <w:style w:type="paragraph" w:styleId="Heading7">
    <w:name w:val="heading 7"/>
    <w:basedOn w:val="Normal"/>
    <w:next w:val="Normal"/>
    <w:link w:val="Heading7Char"/>
    <w:uiPriority w:val="9"/>
    <w:semiHidden/>
    <w:unhideWhenUsed/>
    <w:qFormat/>
    <w:rsid w:val="00091C6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91C6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91C6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1C6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91C6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91C6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91C6F"/>
    <w:rPr>
      <w:i/>
      <w:iCs/>
    </w:rPr>
  </w:style>
  <w:style w:type="character" w:customStyle="1" w:styleId="Heading5Char">
    <w:name w:val="Heading 5 Char"/>
    <w:basedOn w:val="DefaultParagraphFont"/>
    <w:link w:val="Heading5"/>
    <w:uiPriority w:val="9"/>
    <w:semiHidden/>
    <w:rsid w:val="00091C6F"/>
    <w:rPr>
      <w:color w:val="404040" w:themeColor="text1" w:themeTint="BF"/>
    </w:rPr>
  </w:style>
  <w:style w:type="character" w:customStyle="1" w:styleId="Heading6Char">
    <w:name w:val="Heading 6 Char"/>
    <w:basedOn w:val="DefaultParagraphFont"/>
    <w:link w:val="Heading6"/>
    <w:uiPriority w:val="9"/>
    <w:semiHidden/>
    <w:rsid w:val="00091C6F"/>
  </w:style>
  <w:style w:type="character" w:customStyle="1" w:styleId="Heading7Char">
    <w:name w:val="Heading 7 Char"/>
    <w:basedOn w:val="DefaultParagraphFont"/>
    <w:link w:val="Heading7"/>
    <w:uiPriority w:val="9"/>
    <w:semiHidden/>
    <w:rsid w:val="00091C6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91C6F"/>
    <w:rPr>
      <w:color w:val="262626" w:themeColor="text1" w:themeTint="D9"/>
      <w:sz w:val="21"/>
      <w:szCs w:val="21"/>
    </w:rPr>
  </w:style>
  <w:style w:type="character" w:customStyle="1" w:styleId="Heading9Char">
    <w:name w:val="Heading 9 Char"/>
    <w:basedOn w:val="DefaultParagraphFont"/>
    <w:link w:val="Heading9"/>
    <w:uiPriority w:val="9"/>
    <w:semiHidden/>
    <w:rsid w:val="00091C6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91C6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91C6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91C6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91C6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91C6F"/>
    <w:rPr>
      <w:color w:val="5A5A5A" w:themeColor="text1" w:themeTint="A5"/>
      <w:spacing w:val="15"/>
    </w:rPr>
  </w:style>
  <w:style w:type="character" w:styleId="Strong">
    <w:name w:val="Strong"/>
    <w:basedOn w:val="DefaultParagraphFont"/>
    <w:uiPriority w:val="22"/>
    <w:qFormat/>
    <w:rsid w:val="00091C6F"/>
    <w:rPr>
      <w:b/>
      <w:bCs/>
      <w:color w:val="auto"/>
    </w:rPr>
  </w:style>
  <w:style w:type="character" w:styleId="Emphasis">
    <w:name w:val="Emphasis"/>
    <w:basedOn w:val="DefaultParagraphFont"/>
    <w:uiPriority w:val="20"/>
    <w:qFormat/>
    <w:rsid w:val="00091C6F"/>
    <w:rPr>
      <w:i/>
      <w:iCs/>
      <w:color w:val="auto"/>
    </w:rPr>
  </w:style>
  <w:style w:type="paragraph" w:styleId="NoSpacing">
    <w:name w:val="No Spacing"/>
    <w:uiPriority w:val="1"/>
    <w:qFormat/>
    <w:rsid w:val="00091C6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91C6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91C6F"/>
    <w:rPr>
      <w:i/>
      <w:iCs/>
      <w:color w:val="404040" w:themeColor="text1" w:themeTint="BF"/>
    </w:rPr>
  </w:style>
  <w:style w:type="paragraph" w:styleId="IntenseQuote">
    <w:name w:val="Intense Quote"/>
    <w:basedOn w:val="Normal"/>
    <w:next w:val="Normal"/>
    <w:link w:val="IntenseQuoteChar"/>
    <w:uiPriority w:val="30"/>
    <w:qFormat/>
    <w:rsid w:val="00091C6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91C6F"/>
    <w:rPr>
      <w:i/>
      <w:iCs/>
      <w:color w:val="404040" w:themeColor="text1" w:themeTint="BF"/>
    </w:rPr>
  </w:style>
  <w:style w:type="character" w:styleId="SubtleEmphasis">
    <w:name w:val="Subtle Emphasis"/>
    <w:basedOn w:val="DefaultParagraphFont"/>
    <w:uiPriority w:val="19"/>
    <w:qFormat/>
    <w:rsid w:val="00091C6F"/>
    <w:rPr>
      <w:i/>
      <w:iCs/>
      <w:color w:val="404040" w:themeColor="text1" w:themeTint="BF"/>
    </w:rPr>
  </w:style>
  <w:style w:type="character" w:styleId="IntenseEmphasis">
    <w:name w:val="Intense Emphasis"/>
    <w:basedOn w:val="DefaultParagraphFont"/>
    <w:uiPriority w:val="21"/>
    <w:qFormat/>
    <w:rsid w:val="00091C6F"/>
    <w:rPr>
      <w:b/>
      <w:bCs/>
      <w:i/>
      <w:iCs/>
      <w:color w:val="auto"/>
    </w:rPr>
  </w:style>
  <w:style w:type="character" w:styleId="SubtleReference">
    <w:name w:val="Subtle Reference"/>
    <w:basedOn w:val="DefaultParagraphFont"/>
    <w:uiPriority w:val="31"/>
    <w:qFormat/>
    <w:rsid w:val="00091C6F"/>
    <w:rPr>
      <w:smallCaps/>
      <w:color w:val="404040" w:themeColor="text1" w:themeTint="BF"/>
    </w:rPr>
  </w:style>
  <w:style w:type="character" w:styleId="IntenseReference">
    <w:name w:val="Intense Reference"/>
    <w:basedOn w:val="DefaultParagraphFont"/>
    <w:uiPriority w:val="32"/>
    <w:qFormat/>
    <w:rsid w:val="00091C6F"/>
    <w:rPr>
      <w:b/>
      <w:bCs/>
      <w:smallCaps/>
      <w:color w:val="404040" w:themeColor="text1" w:themeTint="BF"/>
      <w:spacing w:val="5"/>
    </w:rPr>
  </w:style>
  <w:style w:type="character" w:styleId="BookTitle">
    <w:name w:val="Book Title"/>
    <w:basedOn w:val="DefaultParagraphFont"/>
    <w:uiPriority w:val="33"/>
    <w:qFormat/>
    <w:rsid w:val="00091C6F"/>
    <w:rPr>
      <w:b/>
      <w:bCs/>
      <w:i/>
      <w:iCs/>
      <w:spacing w:val="5"/>
    </w:rPr>
  </w:style>
  <w:style w:type="paragraph" w:styleId="TOCHeading">
    <w:name w:val="TOC Heading"/>
    <w:basedOn w:val="Heading1"/>
    <w:next w:val="Normal"/>
    <w:uiPriority w:val="39"/>
    <w:semiHidden/>
    <w:unhideWhenUsed/>
    <w:qFormat/>
    <w:rsid w:val="00091C6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81E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Normal"/>
    <w:rsid w:val="00981EE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81E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981EEC"/>
  </w:style>
  <w:style w:type="character" w:styleId="Hyperlink">
    <w:name w:val="Hyperlink"/>
    <w:basedOn w:val="DefaultParagraphFont"/>
    <w:uiPriority w:val="99"/>
    <w:unhideWhenUsed/>
    <w:rsid w:val="00981EEC"/>
    <w:rPr>
      <w:color w:val="0000FF"/>
      <w:u w:val="single"/>
    </w:rPr>
  </w:style>
  <w:style w:type="character" w:styleId="FollowedHyperlink">
    <w:name w:val="FollowedHyperlink"/>
    <w:basedOn w:val="DefaultParagraphFont"/>
    <w:uiPriority w:val="99"/>
    <w:semiHidden/>
    <w:unhideWhenUsed/>
    <w:rsid w:val="00981EEC"/>
    <w:rPr>
      <w:color w:val="800080"/>
      <w:u w:val="single"/>
    </w:rPr>
  </w:style>
  <w:style w:type="character" w:customStyle="1" w:styleId="mathjaxpreview">
    <w:name w:val="mathjax_preview"/>
    <w:basedOn w:val="DefaultParagraphFont"/>
    <w:rsid w:val="00981EEC"/>
  </w:style>
  <w:style w:type="character" w:customStyle="1" w:styleId="mathjax">
    <w:name w:val="mathjax"/>
    <w:basedOn w:val="DefaultParagraphFont"/>
    <w:rsid w:val="00981EEC"/>
  </w:style>
  <w:style w:type="character" w:customStyle="1" w:styleId="math">
    <w:name w:val="math"/>
    <w:basedOn w:val="DefaultParagraphFont"/>
    <w:rsid w:val="00981EEC"/>
  </w:style>
  <w:style w:type="character" w:customStyle="1" w:styleId="mrow">
    <w:name w:val="mrow"/>
    <w:basedOn w:val="DefaultParagraphFont"/>
    <w:rsid w:val="00981EEC"/>
  </w:style>
  <w:style w:type="character" w:customStyle="1" w:styleId="msubsup">
    <w:name w:val="msubsup"/>
    <w:basedOn w:val="DefaultParagraphFont"/>
    <w:rsid w:val="00981EEC"/>
  </w:style>
  <w:style w:type="character" w:customStyle="1" w:styleId="mi">
    <w:name w:val="mi"/>
    <w:basedOn w:val="DefaultParagraphFont"/>
    <w:rsid w:val="00981EEC"/>
  </w:style>
  <w:style w:type="character" w:customStyle="1" w:styleId="mo">
    <w:name w:val="mo"/>
    <w:basedOn w:val="DefaultParagraphFont"/>
    <w:rsid w:val="00981EEC"/>
  </w:style>
  <w:style w:type="character" w:customStyle="1" w:styleId="mspace">
    <w:name w:val="mspace"/>
    <w:basedOn w:val="DefaultParagraphFont"/>
    <w:rsid w:val="00981EEC"/>
  </w:style>
  <w:style w:type="character" w:customStyle="1" w:styleId="msup">
    <w:name w:val="msup"/>
    <w:basedOn w:val="DefaultParagraphFont"/>
    <w:rsid w:val="00981EEC"/>
  </w:style>
  <w:style w:type="character" w:customStyle="1" w:styleId="mtext">
    <w:name w:val="mtext"/>
    <w:basedOn w:val="DefaultParagraphFont"/>
    <w:rsid w:val="00981EEC"/>
  </w:style>
  <w:style w:type="character" w:customStyle="1" w:styleId="mn">
    <w:name w:val="mn"/>
    <w:basedOn w:val="DefaultParagraphFont"/>
    <w:rsid w:val="00981EEC"/>
  </w:style>
  <w:style w:type="character" w:customStyle="1" w:styleId="msub">
    <w:name w:val="msub"/>
    <w:basedOn w:val="DefaultParagraphFont"/>
    <w:rsid w:val="00981EEC"/>
  </w:style>
  <w:style w:type="character" w:customStyle="1" w:styleId="msqrt">
    <w:name w:val="msqrt"/>
    <w:basedOn w:val="DefaultParagraphFont"/>
    <w:rsid w:val="00981EEC"/>
  </w:style>
  <w:style w:type="character" w:customStyle="1" w:styleId="mtable">
    <w:name w:val="mtable"/>
    <w:basedOn w:val="DefaultParagraphFont"/>
    <w:rsid w:val="00981EEC"/>
  </w:style>
  <w:style w:type="character" w:customStyle="1" w:styleId="mtd">
    <w:name w:val="mtd"/>
    <w:basedOn w:val="DefaultParagraphFont"/>
    <w:rsid w:val="00981EEC"/>
  </w:style>
  <w:style w:type="character" w:customStyle="1" w:styleId="figpopup-sensitive-area">
    <w:name w:val="figpopup-sensitive-area"/>
    <w:basedOn w:val="DefaultParagraphFont"/>
    <w:rsid w:val="00981EEC"/>
  </w:style>
  <w:style w:type="paragraph" w:customStyle="1" w:styleId="fn">
    <w:name w:val="fn"/>
    <w:basedOn w:val="Normal"/>
    <w:rsid w:val="00981E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981EEC"/>
  </w:style>
  <w:style w:type="character" w:customStyle="1" w:styleId="ref-journal">
    <w:name w:val="ref-journal"/>
    <w:basedOn w:val="DefaultParagraphFont"/>
    <w:rsid w:val="00981EEC"/>
  </w:style>
  <w:style w:type="character" w:customStyle="1" w:styleId="ref-vol">
    <w:name w:val="ref-vol"/>
    <w:basedOn w:val="DefaultParagraphFont"/>
    <w:rsid w:val="00981EEC"/>
  </w:style>
  <w:style w:type="character" w:customStyle="1" w:styleId="nowrap">
    <w:name w:val="nowrap"/>
    <w:basedOn w:val="DefaultParagraphFont"/>
    <w:rsid w:val="00981EEC"/>
  </w:style>
  <w:style w:type="character" w:styleId="UnresolvedMention">
    <w:name w:val="Unresolved Mention"/>
    <w:basedOn w:val="DefaultParagraphFont"/>
    <w:uiPriority w:val="99"/>
    <w:semiHidden/>
    <w:unhideWhenUsed/>
    <w:rsid w:val="00981E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293552">
      <w:bodyDiv w:val="1"/>
      <w:marLeft w:val="0"/>
      <w:marRight w:val="0"/>
      <w:marTop w:val="0"/>
      <w:marBottom w:val="0"/>
      <w:divBdr>
        <w:top w:val="none" w:sz="0" w:space="0" w:color="auto"/>
        <w:left w:val="none" w:sz="0" w:space="0" w:color="auto"/>
        <w:bottom w:val="none" w:sz="0" w:space="0" w:color="auto"/>
        <w:right w:val="none" w:sz="0" w:space="0" w:color="auto"/>
      </w:divBdr>
      <w:divsChild>
        <w:div w:id="880245141">
          <w:marLeft w:val="0"/>
          <w:marRight w:val="0"/>
          <w:marTop w:val="400"/>
          <w:marBottom w:val="400"/>
          <w:divBdr>
            <w:top w:val="none" w:sz="0" w:space="0" w:color="auto"/>
            <w:left w:val="none" w:sz="0" w:space="0" w:color="auto"/>
            <w:bottom w:val="none" w:sz="0" w:space="0" w:color="auto"/>
            <w:right w:val="none" w:sz="0" w:space="0" w:color="auto"/>
          </w:divBdr>
          <w:divsChild>
            <w:div w:id="664091255">
              <w:marLeft w:val="0"/>
              <w:marRight w:val="0"/>
              <w:marTop w:val="0"/>
              <w:marBottom w:val="0"/>
              <w:divBdr>
                <w:top w:val="none" w:sz="0" w:space="0" w:color="auto"/>
                <w:left w:val="none" w:sz="0" w:space="0" w:color="auto"/>
                <w:bottom w:val="none" w:sz="0" w:space="0" w:color="auto"/>
                <w:right w:val="none" w:sz="0" w:space="0" w:color="auto"/>
              </w:divBdr>
            </w:div>
            <w:div w:id="1856535849">
              <w:marLeft w:val="0"/>
              <w:marRight w:val="0"/>
              <w:marTop w:val="400"/>
              <w:marBottom w:val="400"/>
              <w:divBdr>
                <w:top w:val="none" w:sz="0" w:space="0" w:color="auto"/>
                <w:left w:val="none" w:sz="0" w:space="0" w:color="auto"/>
                <w:bottom w:val="none" w:sz="0" w:space="0" w:color="auto"/>
                <w:right w:val="none" w:sz="0" w:space="0" w:color="auto"/>
              </w:divBdr>
            </w:div>
          </w:divsChild>
        </w:div>
        <w:div w:id="2147114601">
          <w:marLeft w:val="0"/>
          <w:marRight w:val="0"/>
          <w:marTop w:val="400"/>
          <w:marBottom w:val="400"/>
          <w:divBdr>
            <w:top w:val="none" w:sz="0" w:space="0" w:color="auto"/>
            <w:left w:val="none" w:sz="0" w:space="0" w:color="auto"/>
            <w:bottom w:val="none" w:sz="0" w:space="0" w:color="auto"/>
            <w:right w:val="none" w:sz="0" w:space="0" w:color="auto"/>
          </w:divBdr>
        </w:div>
        <w:div w:id="83843926">
          <w:marLeft w:val="0"/>
          <w:marRight w:val="0"/>
          <w:marTop w:val="400"/>
          <w:marBottom w:val="400"/>
          <w:divBdr>
            <w:top w:val="none" w:sz="0" w:space="0" w:color="auto"/>
            <w:left w:val="none" w:sz="0" w:space="0" w:color="auto"/>
            <w:bottom w:val="none" w:sz="0" w:space="0" w:color="auto"/>
            <w:right w:val="none" w:sz="0" w:space="0" w:color="auto"/>
          </w:divBdr>
          <w:divsChild>
            <w:div w:id="2067147370">
              <w:marLeft w:val="0"/>
              <w:marRight w:val="0"/>
              <w:marTop w:val="400"/>
              <w:marBottom w:val="400"/>
              <w:divBdr>
                <w:top w:val="none" w:sz="0" w:space="0" w:color="auto"/>
                <w:left w:val="none" w:sz="0" w:space="0" w:color="auto"/>
                <w:bottom w:val="none" w:sz="0" w:space="0" w:color="auto"/>
                <w:right w:val="none" w:sz="0" w:space="0" w:color="auto"/>
              </w:divBdr>
              <w:divsChild>
                <w:div w:id="442384482">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817042167">
                      <w:marLeft w:val="0"/>
                      <w:marRight w:val="0"/>
                      <w:marTop w:val="200"/>
                      <w:marBottom w:val="0"/>
                      <w:divBdr>
                        <w:top w:val="none" w:sz="0" w:space="0" w:color="auto"/>
                        <w:left w:val="none" w:sz="0" w:space="0" w:color="auto"/>
                        <w:bottom w:val="none" w:sz="0" w:space="0" w:color="auto"/>
                        <w:right w:val="none" w:sz="0" w:space="0" w:color="auto"/>
                      </w:divBdr>
                      <w:divsChild>
                        <w:div w:id="377900812">
                          <w:marLeft w:val="0"/>
                          <w:marRight w:val="0"/>
                          <w:marTop w:val="0"/>
                          <w:marBottom w:val="0"/>
                          <w:divBdr>
                            <w:top w:val="none" w:sz="0" w:space="0" w:color="auto"/>
                            <w:left w:val="none" w:sz="0" w:space="0" w:color="auto"/>
                            <w:bottom w:val="none" w:sz="0" w:space="0" w:color="auto"/>
                            <w:right w:val="none" w:sz="0" w:space="0" w:color="auto"/>
                          </w:divBdr>
                        </w:div>
                        <w:div w:id="794253940">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2060475784">
              <w:marLeft w:val="0"/>
              <w:marRight w:val="0"/>
              <w:marTop w:val="400"/>
              <w:marBottom w:val="400"/>
              <w:divBdr>
                <w:top w:val="none" w:sz="0" w:space="0" w:color="auto"/>
                <w:left w:val="none" w:sz="0" w:space="0" w:color="auto"/>
                <w:bottom w:val="none" w:sz="0" w:space="0" w:color="auto"/>
                <w:right w:val="none" w:sz="0" w:space="0" w:color="auto"/>
              </w:divBdr>
              <w:divsChild>
                <w:div w:id="1696543958">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275093238">
                      <w:marLeft w:val="0"/>
                      <w:marRight w:val="0"/>
                      <w:marTop w:val="200"/>
                      <w:marBottom w:val="200"/>
                      <w:divBdr>
                        <w:top w:val="none" w:sz="0" w:space="0" w:color="auto"/>
                        <w:left w:val="none" w:sz="0" w:space="0" w:color="auto"/>
                        <w:bottom w:val="none" w:sz="0" w:space="0" w:color="auto"/>
                        <w:right w:val="none" w:sz="0" w:space="0" w:color="auto"/>
                      </w:divBdr>
                    </w:div>
                    <w:div w:id="298070926">
                      <w:marLeft w:val="0"/>
                      <w:marRight w:val="0"/>
                      <w:marTop w:val="0"/>
                      <w:marBottom w:val="0"/>
                      <w:divBdr>
                        <w:top w:val="none" w:sz="0" w:space="0" w:color="auto"/>
                        <w:left w:val="none" w:sz="0" w:space="0" w:color="auto"/>
                        <w:bottom w:val="none" w:sz="0" w:space="0" w:color="auto"/>
                        <w:right w:val="none" w:sz="0" w:space="0" w:color="auto"/>
                      </w:divBdr>
                    </w:div>
                    <w:div w:id="1746226357">
                      <w:marLeft w:val="200"/>
                      <w:marRight w:val="200"/>
                      <w:marTop w:val="200"/>
                      <w:marBottom w:val="0"/>
                      <w:divBdr>
                        <w:top w:val="none" w:sz="0" w:space="0" w:color="auto"/>
                        <w:left w:val="none" w:sz="0" w:space="0" w:color="auto"/>
                        <w:bottom w:val="none" w:sz="0" w:space="0" w:color="auto"/>
                        <w:right w:val="none" w:sz="0" w:space="0" w:color="auto"/>
                      </w:divBdr>
                    </w:div>
                  </w:divsChild>
                </w:div>
              </w:divsChild>
            </w:div>
            <w:div w:id="1526017493">
              <w:marLeft w:val="0"/>
              <w:marRight w:val="0"/>
              <w:marTop w:val="400"/>
              <w:marBottom w:val="400"/>
              <w:divBdr>
                <w:top w:val="none" w:sz="0" w:space="0" w:color="auto"/>
                <w:left w:val="none" w:sz="0" w:space="0" w:color="auto"/>
                <w:bottom w:val="none" w:sz="0" w:space="0" w:color="auto"/>
                <w:right w:val="none" w:sz="0" w:space="0" w:color="auto"/>
              </w:divBdr>
              <w:divsChild>
                <w:div w:id="1714039119">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939143551">
                      <w:marLeft w:val="0"/>
                      <w:marRight w:val="0"/>
                      <w:marTop w:val="200"/>
                      <w:marBottom w:val="0"/>
                      <w:divBdr>
                        <w:top w:val="none" w:sz="0" w:space="0" w:color="auto"/>
                        <w:left w:val="none" w:sz="0" w:space="0" w:color="auto"/>
                        <w:bottom w:val="none" w:sz="0" w:space="0" w:color="auto"/>
                        <w:right w:val="none" w:sz="0" w:space="0" w:color="auto"/>
                      </w:divBdr>
                      <w:divsChild>
                        <w:div w:id="889657081">
                          <w:marLeft w:val="0"/>
                          <w:marRight w:val="0"/>
                          <w:marTop w:val="0"/>
                          <w:marBottom w:val="0"/>
                          <w:divBdr>
                            <w:top w:val="none" w:sz="0" w:space="0" w:color="auto"/>
                            <w:left w:val="none" w:sz="0" w:space="0" w:color="auto"/>
                            <w:bottom w:val="none" w:sz="0" w:space="0" w:color="auto"/>
                            <w:right w:val="none" w:sz="0" w:space="0" w:color="auto"/>
                          </w:divBdr>
                        </w:div>
                        <w:div w:id="1525288715">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574316684">
                  <w:marLeft w:val="0"/>
                  <w:marRight w:val="0"/>
                  <w:marTop w:val="400"/>
                  <w:marBottom w:val="400"/>
                  <w:divBdr>
                    <w:top w:val="none" w:sz="0" w:space="0" w:color="auto"/>
                    <w:left w:val="none" w:sz="0" w:space="0" w:color="auto"/>
                    <w:bottom w:val="none" w:sz="0" w:space="0" w:color="auto"/>
                    <w:right w:val="none" w:sz="0" w:space="0" w:color="auto"/>
                  </w:divBdr>
                  <w:divsChild>
                    <w:div w:id="1666319321">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34684183">
                          <w:marLeft w:val="0"/>
                          <w:marRight w:val="0"/>
                          <w:marTop w:val="200"/>
                          <w:marBottom w:val="0"/>
                          <w:divBdr>
                            <w:top w:val="none" w:sz="0" w:space="0" w:color="auto"/>
                            <w:left w:val="none" w:sz="0" w:space="0" w:color="auto"/>
                            <w:bottom w:val="none" w:sz="0" w:space="0" w:color="auto"/>
                            <w:right w:val="none" w:sz="0" w:space="0" w:color="auto"/>
                          </w:divBdr>
                          <w:divsChild>
                            <w:div w:id="1951160962">
                              <w:marLeft w:val="0"/>
                              <w:marRight w:val="0"/>
                              <w:marTop w:val="0"/>
                              <w:marBottom w:val="0"/>
                              <w:divBdr>
                                <w:top w:val="none" w:sz="0" w:space="0" w:color="auto"/>
                                <w:left w:val="none" w:sz="0" w:space="0" w:color="auto"/>
                                <w:bottom w:val="none" w:sz="0" w:space="0" w:color="auto"/>
                                <w:right w:val="none" w:sz="0" w:space="0" w:color="auto"/>
                              </w:divBdr>
                            </w:div>
                            <w:div w:id="1396509250">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1847791135">
                  <w:marLeft w:val="0"/>
                  <w:marRight w:val="0"/>
                  <w:marTop w:val="400"/>
                  <w:marBottom w:val="400"/>
                  <w:divBdr>
                    <w:top w:val="none" w:sz="0" w:space="0" w:color="auto"/>
                    <w:left w:val="none" w:sz="0" w:space="0" w:color="auto"/>
                    <w:bottom w:val="none" w:sz="0" w:space="0" w:color="auto"/>
                    <w:right w:val="none" w:sz="0" w:space="0" w:color="auto"/>
                  </w:divBdr>
                </w:div>
                <w:div w:id="1472559452">
                  <w:marLeft w:val="0"/>
                  <w:marRight w:val="0"/>
                  <w:marTop w:val="400"/>
                  <w:marBottom w:val="400"/>
                  <w:divBdr>
                    <w:top w:val="none" w:sz="0" w:space="0" w:color="auto"/>
                    <w:left w:val="none" w:sz="0" w:space="0" w:color="auto"/>
                    <w:bottom w:val="none" w:sz="0" w:space="0" w:color="auto"/>
                    <w:right w:val="none" w:sz="0" w:space="0" w:color="auto"/>
                  </w:divBdr>
                </w:div>
              </w:divsChild>
            </w:div>
            <w:div w:id="231624199">
              <w:marLeft w:val="0"/>
              <w:marRight w:val="0"/>
              <w:marTop w:val="400"/>
              <w:marBottom w:val="400"/>
              <w:divBdr>
                <w:top w:val="none" w:sz="0" w:space="0" w:color="auto"/>
                <w:left w:val="none" w:sz="0" w:space="0" w:color="auto"/>
                <w:bottom w:val="none" w:sz="0" w:space="0" w:color="auto"/>
                <w:right w:val="none" w:sz="0" w:space="0" w:color="auto"/>
              </w:divBdr>
              <w:divsChild>
                <w:div w:id="1347053879">
                  <w:marLeft w:val="0"/>
                  <w:marRight w:val="0"/>
                  <w:marTop w:val="400"/>
                  <w:marBottom w:val="400"/>
                  <w:divBdr>
                    <w:top w:val="none" w:sz="0" w:space="0" w:color="auto"/>
                    <w:left w:val="none" w:sz="0" w:space="0" w:color="auto"/>
                    <w:bottom w:val="none" w:sz="0" w:space="0" w:color="auto"/>
                    <w:right w:val="none" w:sz="0" w:space="0" w:color="auto"/>
                  </w:divBdr>
                </w:div>
                <w:div w:id="403531197">
                  <w:marLeft w:val="0"/>
                  <w:marRight w:val="0"/>
                  <w:marTop w:val="400"/>
                  <w:marBottom w:val="400"/>
                  <w:divBdr>
                    <w:top w:val="none" w:sz="0" w:space="0" w:color="auto"/>
                    <w:left w:val="none" w:sz="0" w:space="0" w:color="auto"/>
                    <w:bottom w:val="none" w:sz="0" w:space="0" w:color="auto"/>
                    <w:right w:val="none" w:sz="0" w:space="0" w:color="auto"/>
                  </w:divBdr>
                </w:div>
                <w:div w:id="479808798">
                  <w:marLeft w:val="0"/>
                  <w:marRight w:val="0"/>
                  <w:marTop w:val="400"/>
                  <w:marBottom w:val="400"/>
                  <w:divBdr>
                    <w:top w:val="none" w:sz="0" w:space="0" w:color="auto"/>
                    <w:left w:val="none" w:sz="0" w:space="0" w:color="auto"/>
                    <w:bottom w:val="none" w:sz="0" w:space="0" w:color="auto"/>
                    <w:right w:val="none" w:sz="0" w:space="0" w:color="auto"/>
                  </w:divBdr>
                </w:div>
                <w:div w:id="92551899">
                  <w:marLeft w:val="0"/>
                  <w:marRight w:val="0"/>
                  <w:marTop w:val="400"/>
                  <w:marBottom w:val="400"/>
                  <w:divBdr>
                    <w:top w:val="none" w:sz="0" w:space="0" w:color="auto"/>
                    <w:left w:val="none" w:sz="0" w:space="0" w:color="auto"/>
                    <w:bottom w:val="none" w:sz="0" w:space="0" w:color="auto"/>
                    <w:right w:val="none" w:sz="0" w:space="0" w:color="auto"/>
                  </w:divBdr>
                </w:div>
                <w:div w:id="772019863">
                  <w:marLeft w:val="0"/>
                  <w:marRight w:val="0"/>
                  <w:marTop w:val="400"/>
                  <w:marBottom w:val="400"/>
                  <w:divBdr>
                    <w:top w:val="none" w:sz="0" w:space="0" w:color="auto"/>
                    <w:left w:val="none" w:sz="0" w:space="0" w:color="auto"/>
                    <w:bottom w:val="none" w:sz="0" w:space="0" w:color="auto"/>
                    <w:right w:val="none" w:sz="0" w:space="0" w:color="auto"/>
                  </w:divBdr>
                  <w:divsChild>
                    <w:div w:id="58747399">
                      <w:marLeft w:val="0"/>
                      <w:marRight w:val="0"/>
                      <w:marTop w:val="240"/>
                      <w:marBottom w:val="240"/>
                      <w:divBdr>
                        <w:top w:val="none" w:sz="0" w:space="0" w:color="auto"/>
                        <w:left w:val="none" w:sz="0" w:space="0" w:color="auto"/>
                        <w:bottom w:val="none" w:sz="0" w:space="0" w:color="auto"/>
                        <w:right w:val="none" w:sz="0" w:space="0" w:color="auto"/>
                      </w:divBdr>
                    </w:div>
                  </w:divsChild>
                </w:div>
                <w:div w:id="62487501">
                  <w:marLeft w:val="0"/>
                  <w:marRight w:val="0"/>
                  <w:marTop w:val="400"/>
                  <w:marBottom w:val="400"/>
                  <w:divBdr>
                    <w:top w:val="none" w:sz="0" w:space="0" w:color="auto"/>
                    <w:left w:val="none" w:sz="0" w:space="0" w:color="auto"/>
                    <w:bottom w:val="none" w:sz="0" w:space="0" w:color="auto"/>
                    <w:right w:val="none" w:sz="0" w:space="0" w:color="auto"/>
                  </w:divBdr>
                  <w:divsChild>
                    <w:div w:id="603193377">
                      <w:marLeft w:val="0"/>
                      <w:marRight w:val="0"/>
                      <w:marTop w:val="240"/>
                      <w:marBottom w:val="240"/>
                      <w:divBdr>
                        <w:top w:val="none" w:sz="0" w:space="0" w:color="auto"/>
                        <w:left w:val="none" w:sz="0" w:space="0" w:color="auto"/>
                        <w:bottom w:val="none" w:sz="0" w:space="0" w:color="auto"/>
                        <w:right w:val="none" w:sz="0" w:space="0" w:color="auto"/>
                      </w:divBdr>
                    </w:div>
                  </w:divsChild>
                </w:div>
                <w:div w:id="1106580029">
                  <w:marLeft w:val="0"/>
                  <w:marRight w:val="0"/>
                  <w:marTop w:val="400"/>
                  <w:marBottom w:val="400"/>
                  <w:divBdr>
                    <w:top w:val="none" w:sz="0" w:space="0" w:color="auto"/>
                    <w:left w:val="none" w:sz="0" w:space="0" w:color="auto"/>
                    <w:bottom w:val="none" w:sz="0" w:space="0" w:color="auto"/>
                    <w:right w:val="none" w:sz="0" w:space="0" w:color="auto"/>
                  </w:divBdr>
                  <w:divsChild>
                    <w:div w:id="359205523">
                      <w:marLeft w:val="0"/>
                      <w:marRight w:val="0"/>
                      <w:marTop w:val="240"/>
                      <w:marBottom w:val="240"/>
                      <w:divBdr>
                        <w:top w:val="none" w:sz="0" w:space="0" w:color="auto"/>
                        <w:left w:val="none" w:sz="0" w:space="0" w:color="auto"/>
                        <w:bottom w:val="none" w:sz="0" w:space="0" w:color="auto"/>
                        <w:right w:val="none" w:sz="0" w:space="0" w:color="auto"/>
                      </w:divBdr>
                    </w:div>
                  </w:divsChild>
                </w:div>
                <w:div w:id="824859174">
                  <w:marLeft w:val="0"/>
                  <w:marRight w:val="0"/>
                  <w:marTop w:val="400"/>
                  <w:marBottom w:val="400"/>
                  <w:divBdr>
                    <w:top w:val="none" w:sz="0" w:space="0" w:color="auto"/>
                    <w:left w:val="none" w:sz="0" w:space="0" w:color="auto"/>
                    <w:bottom w:val="none" w:sz="0" w:space="0" w:color="auto"/>
                    <w:right w:val="none" w:sz="0" w:space="0" w:color="auto"/>
                  </w:divBdr>
                  <w:divsChild>
                    <w:div w:id="948898337">
                      <w:marLeft w:val="0"/>
                      <w:marRight w:val="0"/>
                      <w:marTop w:val="240"/>
                      <w:marBottom w:val="240"/>
                      <w:divBdr>
                        <w:top w:val="none" w:sz="0" w:space="0" w:color="auto"/>
                        <w:left w:val="none" w:sz="0" w:space="0" w:color="auto"/>
                        <w:bottom w:val="none" w:sz="0" w:space="0" w:color="auto"/>
                        <w:right w:val="none" w:sz="0" w:space="0" w:color="auto"/>
                      </w:divBdr>
                    </w:div>
                  </w:divsChild>
                </w:div>
                <w:div w:id="1002775405">
                  <w:marLeft w:val="0"/>
                  <w:marRight w:val="0"/>
                  <w:marTop w:val="400"/>
                  <w:marBottom w:val="400"/>
                  <w:divBdr>
                    <w:top w:val="none" w:sz="0" w:space="0" w:color="auto"/>
                    <w:left w:val="none" w:sz="0" w:space="0" w:color="auto"/>
                    <w:bottom w:val="none" w:sz="0" w:space="0" w:color="auto"/>
                    <w:right w:val="none" w:sz="0" w:space="0" w:color="auto"/>
                  </w:divBdr>
                  <w:divsChild>
                    <w:div w:id="12341065">
                      <w:marLeft w:val="0"/>
                      <w:marRight w:val="0"/>
                      <w:marTop w:val="240"/>
                      <w:marBottom w:val="240"/>
                      <w:divBdr>
                        <w:top w:val="none" w:sz="0" w:space="0" w:color="auto"/>
                        <w:left w:val="none" w:sz="0" w:space="0" w:color="auto"/>
                        <w:bottom w:val="none" w:sz="0" w:space="0" w:color="auto"/>
                        <w:right w:val="none" w:sz="0" w:space="0" w:color="auto"/>
                      </w:divBdr>
                    </w:div>
                  </w:divsChild>
                </w:div>
                <w:div w:id="1996369286">
                  <w:marLeft w:val="0"/>
                  <w:marRight w:val="0"/>
                  <w:marTop w:val="400"/>
                  <w:marBottom w:val="400"/>
                  <w:divBdr>
                    <w:top w:val="none" w:sz="0" w:space="0" w:color="auto"/>
                    <w:left w:val="none" w:sz="0" w:space="0" w:color="auto"/>
                    <w:bottom w:val="none" w:sz="0" w:space="0" w:color="auto"/>
                    <w:right w:val="none" w:sz="0" w:space="0" w:color="auto"/>
                  </w:divBdr>
                  <w:divsChild>
                    <w:div w:id="620188381">
                      <w:marLeft w:val="0"/>
                      <w:marRight w:val="0"/>
                      <w:marTop w:val="240"/>
                      <w:marBottom w:val="240"/>
                      <w:divBdr>
                        <w:top w:val="none" w:sz="0" w:space="0" w:color="auto"/>
                        <w:left w:val="none" w:sz="0" w:space="0" w:color="auto"/>
                        <w:bottom w:val="none" w:sz="0" w:space="0" w:color="auto"/>
                        <w:right w:val="none" w:sz="0" w:space="0" w:color="auto"/>
                      </w:divBdr>
                    </w:div>
                  </w:divsChild>
                </w:div>
                <w:div w:id="514736431">
                  <w:marLeft w:val="0"/>
                  <w:marRight w:val="0"/>
                  <w:marTop w:val="400"/>
                  <w:marBottom w:val="400"/>
                  <w:divBdr>
                    <w:top w:val="none" w:sz="0" w:space="0" w:color="auto"/>
                    <w:left w:val="none" w:sz="0" w:space="0" w:color="auto"/>
                    <w:bottom w:val="none" w:sz="0" w:space="0" w:color="auto"/>
                    <w:right w:val="none" w:sz="0" w:space="0" w:color="auto"/>
                  </w:divBdr>
                  <w:divsChild>
                    <w:div w:id="2055424826">
                      <w:marLeft w:val="0"/>
                      <w:marRight w:val="0"/>
                      <w:marTop w:val="240"/>
                      <w:marBottom w:val="240"/>
                      <w:divBdr>
                        <w:top w:val="none" w:sz="0" w:space="0" w:color="auto"/>
                        <w:left w:val="none" w:sz="0" w:space="0" w:color="auto"/>
                        <w:bottom w:val="none" w:sz="0" w:space="0" w:color="auto"/>
                        <w:right w:val="none" w:sz="0" w:space="0" w:color="auto"/>
                      </w:divBdr>
                    </w:div>
                  </w:divsChild>
                </w:div>
                <w:div w:id="1147548743">
                  <w:marLeft w:val="0"/>
                  <w:marRight w:val="0"/>
                  <w:marTop w:val="400"/>
                  <w:marBottom w:val="400"/>
                  <w:divBdr>
                    <w:top w:val="none" w:sz="0" w:space="0" w:color="auto"/>
                    <w:left w:val="none" w:sz="0" w:space="0" w:color="auto"/>
                    <w:bottom w:val="none" w:sz="0" w:space="0" w:color="auto"/>
                    <w:right w:val="none" w:sz="0" w:space="0" w:color="auto"/>
                  </w:divBdr>
                </w:div>
                <w:div w:id="533692383">
                  <w:marLeft w:val="0"/>
                  <w:marRight w:val="0"/>
                  <w:marTop w:val="400"/>
                  <w:marBottom w:val="400"/>
                  <w:divBdr>
                    <w:top w:val="none" w:sz="0" w:space="0" w:color="auto"/>
                    <w:left w:val="none" w:sz="0" w:space="0" w:color="auto"/>
                    <w:bottom w:val="none" w:sz="0" w:space="0" w:color="auto"/>
                    <w:right w:val="none" w:sz="0" w:space="0" w:color="auto"/>
                  </w:divBdr>
                </w:div>
                <w:div w:id="961424408">
                  <w:marLeft w:val="0"/>
                  <w:marRight w:val="0"/>
                  <w:marTop w:val="400"/>
                  <w:marBottom w:val="400"/>
                  <w:divBdr>
                    <w:top w:val="none" w:sz="0" w:space="0" w:color="auto"/>
                    <w:left w:val="none" w:sz="0" w:space="0" w:color="auto"/>
                    <w:bottom w:val="none" w:sz="0" w:space="0" w:color="auto"/>
                    <w:right w:val="none" w:sz="0" w:space="0" w:color="auto"/>
                  </w:divBdr>
                </w:div>
                <w:div w:id="613639340">
                  <w:marLeft w:val="0"/>
                  <w:marRight w:val="0"/>
                  <w:marTop w:val="400"/>
                  <w:marBottom w:val="400"/>
                  <w:divBdr>
                    <w:top w:val="none" w:sz="0" w:space="0" w:color="auto"/>
                    <w:left w:val="none" w:sz="0" w:space="0" w:color="auto"/>
                    <w:bottom w:val="none" w:sz="0" w:space="0" w:color="auto"/>
                    <w:right w:val="none" w:sz="0" w:space="0" w:color="auto"/>
                  </w:divBdr>
                </w:div>
                <w:div w:id="969559259">
                  <w:marLeft w:val="0"/>
                  <w:marRight w:val="0"/>
                  <w:marTop w:val="400"/>
                  <w:marBottom w:val="400"/>
                  <w:divBdr>
                    <w:top w:val="none" w:sz="0" w:space="0" w:color="auto"/>
                    <w:left w:val="none" w:sz="0" w:space="0" w:color="auto"/>
                    <w:bottom w:val="none" w:sz="0" w:space="0" w:color="auto"/>
                    <w:right w:val="none" w:sz="0" w:space="0" w:color="auto"/>
                  </w:divBdr>
                </w:div>
              </w:divsChild>
            </w:div>
          </w:divsChild>
        </w:div>
        <w:div w:id="1476722974">
          <w:marLeft w:val="0"/>
          <w:marRight w:val="0"/>
          <w:marTop w:val="400"/>
          <w:marBottom w:val="400"/>
          <w:divBdr>
            <w:top w:val="none" w:sz="0" w:space="0" w:color="auto"/>
            <w:left w:val="none" w:sz="0" w:space="0" w:color="auto"/>
            <w:bottom w:val="none" w:sz="0" w:space="0" w:color="auto"/>
            <w:right w:val="none" w:sz="0" w:space="0" w:color="auto"/>
          </w:divBdr>
          <w:divsChild>
            <w:div w:id="589313652">
              <w:marLeft w:val="0"/>
              <w:marRight w:val="0"/>
              <w:marTop w:val="400"/>
              <w:marBottom w:val="400"/>
              <w:divBdr>
                <w:top w:val="none" w:sz="0" w:space="0" w:color="auto"/>
                <w:left w:val="none" w:sz="0" w:space="0" w:color="auto"/>
                <w:bottom w:val="none" w:sz="0" w:space="0" w:color="auto"/>
                <w:right w:val="none" w:sz="0" w:space="0" w:color="auto"/>
              </w:divBdr>
              <w:divsChild>
                <w:div w:id="1637101752">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721319438">
                      <w:marLeft w:val="0"/>
                      <w:marRight w:val="0"/>
                      <w:marTop w:val="200"/>
                      <w:marBottom w:val="0"/>
                      <w:divBdr>
                        <w:top w:val="none" w:sz="0" w:space="0" w:color="auto"/>
                        <w:left w:val="none" w:sz="0" w:space="0" w:color="auto"/>
                        <w:bottom w:val="none" w:sz="0" w:space="0" w:color="auto"/>
                        <w:right w:val="none" w:sz="0" w:space="0" w:color="auto"/>
                      </w:divBdr>
                      <w:divsChild>
                        <w:div w:id="740567686">
                          <w:marLeft w:val="0"/>
                          <w:marRight w:val="0"/>
                          <w:marTop w:val="0"/>
                          <w:marBottom w:val="0"/>
                          <w:divBdr>
                            <w:top w:val="none" w:sz="0" w:space="0" w:color="auto"/>
                            <w:left w:val="none" w:sz="0" w:space="0" w:color="auto"/>
                            <w:bottom w:val="none" w:sz="0" w:space="0" w:color="auto"/>
                            <w:right w:val="none" w:sz="0" w:space="0" w:color="auto"/>
                          </w:divBdr>
                        </w:div>
                        <w:div w:id="2017147984">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1226796355">
              <w:marLeft w:val="0"/>
              <w:marRight w:val="0"/>
              <w:marTop w:val="400"/>
              <w:marBottom w:val="400"/>
              <w:divBdr>
                <w:top w:val="none" w:sz="0" w:space="0" w:color="auto"/>
                <w:left w:val="none" w:sz="0" w:space="0" w:color="auto"/>
                <w:bottom w:val="none" w:sz="0" w:space="0" w:color="auto"/>
                <w:right w:val="none" w:sz="0" w:space="0" w:color="auto"/>
              </w:divBdr>
              <w:divsChild>
                <w:div w:id="1987665162">
                  <w:marLeft w:val="0"/>
                  <w:marRight w:val="0"/>
                  <w:marTop w:val="400"/>
                  <w:marBottom w:val="400"/>
                  <w:divBdr>
                    <w:top w:val="none" w:sz="0" w:space="0" w:color="auto"/>
                    <w:left w:val="none" w:sz="0" w:space="0" w:color="auto"/>
                    <w:bottom w:val="none" w:sz="0" w:space="0" w:color="auto"/>
                    <w:right w:val="none" w:sz="0" w:space="0" w:color="auto"/>
                  </w:divBdr>
                  <w:divsChild>
                    <w:div w:id="253826286">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87166133">
                          <w:marLeft w:val="0"/>
                          <w:marRight w:val="0"/>
                          <w:marTop w:val="200"/>
                          <w:marBottom w:val="0"/>
                          <w:divBdr>
                            <w:top w:val="none" w:sz="0" w:space="0" w:color="auto"/>
                            <w:left w:val="none" w:sz="0" w:space="0" w:color="auto"/>
                            <w:bottom w:val="none" w:sz="0" w:space="0" w:color="auto"/>
                            <w:right w:val="none" w:sz="0" w:space="0" w:color="auto"/>
                          </w:divBdr>
                          <w:divsChild>
                            <w:div w:id="1046872636">
                              <w:marLeft w:val="0"/>
                              <w:marRight w:val="0"/>
                              <w:marTop w:val="0"/>
                              <w:marBottom w:val="0"/>
                              <w:divBdr>
                                <w:top w:val="none" w:sz="0" w:space="0" w:color="auto"/>
                                <w:left w:val="none" w:sz="0" w:space="0" w:color="auto"/>
                                <w:bottom w:val="none" w:sz="0" w:space="0" w:color="auto"/>
                                <w:right w:val="none" w:sz="0" w:space="0" w:color="auto"/>
                              </w:divBdr>
                            </w:div>
                            <w:div w:id="1003045646">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52702222">
                  <w:marLeft w:val="0"/>
                  <w:marRight w:val="0"/>
                  <w:marTop w:val="400"/>
                  <w:marBottom w:val="400"/>
                  <w:divBdr>
                    <w:top w:val="none" w:sz="0" w:space="0" w:color="auto"/>
                    <w:left w:val="none" w:sz="0" w:space="0" w:color="auto"/>
                    <w:bottom w:val="none" w:sz="0" w:space="0" w:color="auto"/>
                    <w:right w:val="none" w:sz="0" w:space="0" w:color="auto"/>
                  </w:divBdr>
                  <w:divsChild>
                    <w:div w:id="852496057">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697731611">
                          <w:marLeft w:val="0"/>
                          <w:marRight w:val="0"/>
                          <w:marTop w:val="200"/>
                          <w:marBottom w:val="0"/>
                          <w:divBdr>
                            <w:top w:val="none" w:sz="0" w:space="0" w:color="auto"/>
                            <w:left w:val="none" w:sz="0" w:space="0" w:color="auto"/>
                            <w:bottom w:val="none" w:sz="0" w:space="0" w:color="auto"/>
                            <w:right w:val="none" w:sz="0" w:space="0" w:color="auto"/>
                          </w:divBdr>
                          <w:divsChild>
                            <w:div w:id="466363413">
                              <w:marLeft w:val="0"/>
                              <w:marRight w:val="0"/>
                              <w:marTop w:val="0"/>
                              <w:marBottom w:val="0"/>
                              <w:divBdr>
                                <w:top w:val="none" w:sz="0" w:space="0" w:color="auto"/>
                                <w:left w:val="none" w:sz="0" w:space="0" w:color="auto"/>
                                <w:bottom w:val="none" w:sz="0" w:space="0" w:color="auto"/>
                                <w:right w:val="none" w:sz="0" w:space="0" w:color="auto"/>
                              </w:divBdr>
                            </w:div>
                            <w:div w:id="1485658948">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230504198">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728455151">
                          <w:marLeft w:val="0"/>
                          <w:marRight w:val="0"/>
                          <w:marTop w:val="200"/>
                          <w:marBottom w:val="0"/>
                          <w:divBdr>
                            <w:top w:val="none" w:sz="0" w:space="0" w:color="auto"/>
                            <w:left w:val="none" w:sz="0" w:space="0" w:color="auto"/>
                            <w:bottom w:val="none" w:sz="0" w:space="0" w:color="auto"/>
                            <w:right w:val="none" w:sz="0" w:space="0" w:color="auto"/>
                          </w:divBdr>
                          <w:divsChild>
                            <w:div w:id="1062868838">
                              <w:marLeft w:val="0"/>
                              <w:marRight w:val="0"/>
                              <w:marTop w:val="0"/>
                              <w:marBottom w:val="0"/>
                              <w:divBdr>
                                <w:top w:val="none" w:sz="0" w:space="0" w:color="auto"/>
                                <w:left w:val="none" w:sz="0" w:space="0" w:color="auto"/>
                                <w:bottom w:val="none" w:sz="0" w:space="0" w:color="auto"/>
                                <w:right w:val="none" w:sz="0" w:space="0" w:color="auto"/>
                              </w:divBdr>
                            </w:div>
                            <w:div w:id="544831357">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171142231">
                  <w:marLeft w:val="0"/>
                  <w:marRight w:val="0"/>
                  <w:marTop w:val="400"/>
                  <w:marBottom w:val="400"/>
                  <w:divBdr>
                    <w:top w:val="none" w:sz="0" w:space="0" w:color="auto"/>
                    <w:left w:val="none" w:sz="0" w:space="0" w:color="auto"/>
                    <w:bottom w:val="none" w:sz="0" w:space="0" w:color="auto"/>
                    <w:right w:val="none" w:sz="0" w:space="0" w:color="auto"/>
                  </w:divBdr>
                  <w:divsChild>
                    <w:div w:id="1825076318">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434523758">
                          <w:marLeft w:val="0"/>
                          <w:marRight w:val="0"/>
                          <w:marTop w:val="200"/>
                          <w:marBottom w:val="0"/>
                          <w:divBdr>
                            <w:top w:val="none" w:sz="0" w:space="0" w:color="auto"/>
                            <w:left w:val="none" w:sz="0" w:space="0" w:color="auto"/>
                            <w:bottom w:val="none" w:sz="0" w:space="0" w:color="auto"/>
                            <w:right w:val="none" w:sz="0" w:space="0" w:color="auto"/>
                          </w:divBdr>
                          <w:divsChild>
                            <w:div w:id="219827615">
                              <w:marLeft w:val="0"/>
                              <w:marRight w:val="0"/>
                              <w:marTop w:val="0"/>
                              <w:marBottom w:val="0"/>
                              <w:divBdr>
                                <w:top w:val="none" w:sz="0" w:space="0" w:color="auto"/>
                                <w:left w:val="none" w:sz="0" w:space="0" w:color="auto"/>
                                <w:bottom w:val="none" w:sz="0" w:space="0" w:color="auto"/>
                                <w:right w:val="none" w:sz="0" w:space="0" w:color="auto"/>
                              </w:divBdr>
                            </w:div>
                            <w:div w:id="1918662438">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873035452">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457405792">
                          <w:marLeft w:val="0"/>
                          <w:marRight w:val="0"/>
                          <w:marTop w:val="200"/>
                          <w:marBottom w:val="0"/>
                          <w:divBdr>
                            <w:top w:val="none" w:sz="0" w:space="0" w:color="auto"/>
                            <w:left w:val="none" w:sz="0" w:space="0" w:color="auto"/>
                            <w:bottom w:val="none" w:sz="0" w:space="0" w:color="auto"/>
                            <w:right w:val="none" w:sz="0" w:space="0" w:color="auto"/>
                          </w:divBdr>
                          <w:divsChild>
                            <w:div w:id="1966308812">
                              <w:marLeft w:val="0"/>
                              <w:marRight w:val="0"/>
                              <w:marTop w:val="0"/>
                              <w:marBottom w:val="0"/>
                              <w:divBdr>
                                <w:top w:val="none" w:sz="0" w:space="0" w:color="auto"/>
                                <w:left w:val="none" w:sz="0" w:space="0" w:color="auto"/>
                                <w:bottom w:val="none" w:sz="0" w:space="0" w:color="auto"/>
                                <w:right w:val="none" w:sz="0" w:space="0" w:color="auto"/>
                              </w:divBdr>
                            </w:div>
                            <w:div w:id="718171196">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847671299">
                  <w:marLeft w:val="0"/>
                  <w:marRight w:val="0"/>
                  <w:marTop w:val="400"/>
                  <w:marBottom w:val="400"/>
                  <w:divBdr>
                    <w:top w:val="none" w:sz="0" w:space="0" w:color="auto"/>
                    <w:left w:val="none" w:sz="0" w:space="0" w:color="auto"/>
                    <w:bottom w:val="none" w:sz="0" w:space="0" w:color="auto"/>
                    <w:right w:val="none" w:sz="0" w:space="0" w:color="auto"/>
                  </w:divBdr>
                  <w:divsChild>
                    <w:div w:id="1570194795">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630159796">
                          <w:marLeft w:val="0"/>
                          <w:marRight w:val="0"/>
                          <w:marTop w:val="200"/>
                          <w:marBottom w:val="0"/>
                          <w:divBdr>
                            <w:top w:val="none" w:sz="0" w:space="0" w:color="auto"/>
                            <w:left w:val="none" w:sz="0" w:space="0" w:color="auto"/>
                            <w:bottom w:val="none" w:sz="0" w:space="0" w:color="auto"/>
                            <w:right w:val="none" w:sz="0" w:space="0" w:color="auto"/>
                          </w:divBdr>
                          <w:divsChild>
                            <w:div w:id="645742674">
                              <w:marLeft w:val="0"/>
                              <w:marRight w:val="0"/>
                              <w:marTop w:val="0"/>
                              <w:marBottom w:val="0"/>
                              <w:divBdr>
                                <w:top w:val="none" w:sz="0" w:space="0" w:color="auto"/>
                                <w:left w:val="none" w:sz="0" w:space="0" w:color="auto"/>
                                <w:bottom w:val="none" w:sz="0" w:space="0" w:color="auto"/>
                                <w:right w:val="none" w:sz="0" w:space="0" w:color="auto"/>
                              </w:divBdr>
                            </w:div>
                            <w:div w:id="584145745">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509176924">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763064043">
                          <w:marLeft w:val="0"/>
                          <w:marRight w:val="0"/>
                          <w:marTop w:val="200"/>
                          <w:marBottom w:val="0"/>
                          <w:divBdr>
                            <w:top w:val="none" w:sz="0" w:space="0" w:color="auto"/>
                            <w:left w:val="none" w:sz="0" w:space="0" w:color="auto"/>
                            <w:bottom w:val="none" w:sz="0" w:space="0" w:color="auto"/>
                            <w:right w:val="none" w:sz="0" w:space="0" w:color="auto"/>
                          </w:divBdr>
                          <w:divsChild>
                            <w:div w:id="1920216258">
                              <w:marLeft w:val="0"/>
                              <w:marRight w:val="0"/>
                              <w:marTop w:val="0"/>
                              <w:marBottom w:val="0"/>
                              <w:divBdr>
                                <w:top w:val="none" w:sz="0" w:space="0" w:color="auto"/>
                                <w:left w:val="none" w:sz="0" w:space="0" w:color="auto"/>
                                <w:bottom w:val="none" w:sz="0" w:space="0" w:color="auto"/>
                                <w:right w:val="none" w:sz="0" w:space="0" w:color="auto"/>
                              </w:divBdr>
                            </w:div>
                            <w:div w:id="36984550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1006518">
          <w:marLeft w:val="0"/>
          <w:marRight w:val="0"/>
          <w:marTop w:val="400"/>
          <w:marBottom w:val="400"/>
          <w:divBdr>
            <w:top w:val="none" w:sz="0" w:space="0" w:color="auto"/>
            <w:left w:val="none" w:sz="0" w:space="0" w:color="auto"/>
            <w:bottom w:val="none" w:sz="0" w:space="0" w:color="auto"/>
            <w:right w:val="none" w:sz="0" w:space="0" w:color="auto"/>
          </w:divBdr>
        </w:div>
        <w:div w:id="1578904615">
          <w:marLeft w:val="0"/>
          <w:marRight w:val="0"/>
          <w:marTop w:val="400"/>
          <w:marBottom w:val="400"/>
          <w:divBdr>
            <w:top w:val="none" w:sz="0" w:space="0" w:color="auto"/>
            <w:left w:val="none" w:sz="0" w:space="0" w:color="auto"/>
            <w:bottom w:val="none" w:sz="0" w:space="0" w:color="auto"/>
            <w:right w:val="none" w:sz="0" w:space="0" w:color="auto"/>
          </w:divBdr>
        </w:div>
        <w:div w:id="840238223">
          <w:marLeft w:val="0"/>
          <w:marRight w:val="0"/>
          <w:marTop w:val="400"/>
          <w:marBottom w:val="400"/>
          <w:divBdr>
            <w:top w:val="none" w:sz="0" w:space="0" w:color="auto"/>
            <w:left w:val="none" w:sz="0" w:space="0" w:color="auto"/>
            <w:bottom w:val="none" w:sz="0" w:space="0" w:color="auto"/>
            <w:right w:val="none" w:sz="0" w:space="0" w:color="auto"/>
          </w:divBdr>
          <w:divsChild>
            <w:div w:id="1921257738">
              <w:marLeft w:val="0"/>
              <w:marRight w:val="0"/>
              <w:marTop w:val="400"/>
              <w:marBottom w:val="400"/>
              <w:divBdr>
                <w:top w:val="none" w:sz="0" w:space="0" w:color="auto"/>
                <w:left w:val="none" w:sz="0" w:space="0" w:color="auto"/>
                <w:bottom w:val="none" w:sz="0" w:space="0" w:color="auto"/>
                <w:right w:val="none" w:sz="0" w:space="0" w:color="auto"/>
              </w:divBdr>
            </w:div>
          </w:divsChild>
        </w:div>
        <w:div w:id="1056392726">
          <w:marLeft w:val="0"/>
          <w:marRight w:val="0"/>
          <w:marTop w:val="400"/>
          <w:marBottom w:val="400"/>
          <w:divBdr>
            <w:top w:val="none" w:sz="0" w:space="0" w:color="auto"/>
            <w:left w:val="none" w:sz="0" w:space="0" w:color="auto"/>
            <w:bottom w:val="none" w:sz="0" w:space="0" w:color="auto"/>
            <w:right w:val="none" w:sz="0" w:space="0" w:color="auto"/>
          </w:divBdr>
          <w:divsChild>
            <w:div w:id="1744839881">
              <w:marLeft w:val="0"/>
              <w:marRight w:val="0"/>
              <w:marTop w:val="200"/>
              <w:marBottom w:val="200"/>
              <w:divBdr>
                <w:top w:val="none" w:sz="0" w:space="0" w:color="auto"/>
                <w:left w:val="none" w:sz="0" w:space="0" w:color="auto"/>
                <w:bottom w:val="none" w:sz="0" w:space="0" w:color="auto"/>
                <w:right w:val="none" w:sz="0" w:space="0" w:color="auto"/>
              </w:divBdr>
            </w:div>
          </w:divsChild>
        </w:div>
        <w:div w:id="1154833532">
          <w:marLeft w:val="0"/>
          <w:marRight w:val="0"/>
          <w:marTop w:val="400"/>
          <w:marBottom w:val="400"/>
          <w:divBdr>
            <w:top w:val="none" w:sz="0" w:space="0" w:color="auto"/>
            <w:left w:val="none" w:sz="0" w:space="0" w:color="auto"/>
            <w:bottom w:val="none" w:sz="0" w:space="0" w:color="auto"/>
            <w:right w:val="none" w:sz="0" w:space="0" w:color="auto"/>
          </w:divBdr>
          <w:divsChild>
            <w:div w:id="635641219">
              <w:marLeft w:val="0"/>
              <w:marRight w:val="0"/>
              <w:marTop w:val="400"/>
              <w:marBottom w:val="400"/>
              <w:divBdr>
                <w:top w:val="none" w:sz="0" w:space="0" w:color="auto"/>
                <w:left w:val="none" w:sz="0" w:space="0" w:color="auto"/>
                <w:bottom w:val="none" w:sz="0" w:space="0" w:color="auto"/>
                <w:right w:val="none" w:sz="0" w:space="0" w:color="auto"/>
              </w:divBdr>
              <w:divsChild>
                <w:div w:id="1612282263">
                  <w:marLeft w:val="0"/>
                  <w:marRight w:val="0"/>
                  <w:marTop w:val="200"/>
                  <w:marBottom w:val="200"/>
                  <w:divBdr>
                    <w:top w:val="none" w:sz="0" w:space="0" w:color="auto"/>
                    <w:left w:val="none" w:sz="0" w:space="0" w:color="auto"/>
                    <w:bottom w:val="none" w:sz="0" w:space="0" w:color="auto"/>
                    <w:right w:val="none" w:sz="0" w:space="0" w:color="auto"/>
                  </w:divBdr>
                </w:div>
                <w:div w:id="1265260897">
                  <w:marLeft w:val="0"/>
                  <w:marRight w:val="0"/>
                  <w:marTop w:val="200"/>
                  <w:marBottom w:val="200"/>
                  <w:divBdr>
                    <w:top w:val="none" w:sz="0" w:space="0" w:color="auto"/>
                    <w:left w:val="none" w:sz="0" w:space="0" w:color="auto"/>
                    <w:bottom w:val="none" w:sz="0" w:space="0" w:color="auto"/>
                    <w:right w:val="none" w:sz="0" w:space="0" w:color="auto"/>
                  </w:divBdr>
                </w:div>
                <w:div w:id="2010592728">
                  <w:marLeft w:val="0"/>
                  <w:marRight w:val="0"/>
                  <w:marTop w:val="200"/>
                  <w:marBottom w:val="200"/>
                  <w:divBdr>
                    <w:top w:val="none" w:sz="0" w:space="0" w:color="auto"/>
                    <w:left w:val="none" w:sz="0" w:space="0" w:color="auto"/>
                    <w:bottom w:val="none" w:sz="0" w:space="0" w:color="auto"/>
                    <w:right w:val="none" w:sz="0" w:space="0" w:color="auto"/>
                  </w:divBdr>
                </w:div>
                <w:div w:id="689990073">
                  <w:marLeft w:val="0"/>
                  <w:marRight w:val="0"/>
                  <w:marTop w:val="200"/>
                  <w:marBottom w:val="200"/>
                  <w:divBdr>
                    <w:top w:val="none" w:sz="0" w:space="0" w:color="auto"/>
                    <w:left w:val="none" w:sz="0" w:space="0" w:color="auto"/>
                    <w:bottom w:val="none" w:sz="0" w:space="0" w:color="auto"/>
                    <w:right w:val="none" w:sz="0" w:space="0" w:color="auto"/>
                  </w:divBdr>
                </w:div>
                <w:div w:id="2110350193">
                  <w:marLeft w:val="0"/>
                  <w:marRight w:val="0"/>
                  <w:marTop w:val="200"/>
                  <w:marBottom w:val="200"/>
                  <w:divBdr>
                    <w:top w:val="none" w:sz="0" w:space="0" w:color="auto"/>
                    <w:left w:val="none" w:sz="0" w:space="0" w:color="auto"/>
                    <w:bottom w:val="none" w:sz="0" w:space="0" w:color="auto"/>
                    <w:right w:val="none" w:sz="0" w:space="0" w:color="auto"/>
                  </w:divBdr>
                </w:div>
                <w:div w:id="43063586">
                  <w:marLeft w:val="0"/>
                  <w:marRight w:val="0"/>
                  <w:marTop w:val="200"/>
                  <w:marBottom w:val="200"/>
                  <w:divBdr>
                    <w:top w:val="none" w:sz="0" w:space="0" w:color="auto"/>
                    <w:left w:val="none" w:sz="0" w:space="0" w:color="auto"/>
                    <w:bottom w:val="none" w:sz="0" w:space="0" w:color="auto"/>
                    <w:right w:val="none" w:sz="0" w:space="0" w:color="auto"/>
                  </w:divBdr>
                </w:div>
                <w:div w:id="855265087">
                  <w:marLeft w:val="0"/>
                  <w:marRight w:val="0"/>
                  <w:marTop w:val="200"/>
                  <w:marBottom w:val="200"/>
                  <w:divBdr>
                    <w:top w:val="none" w:sz="0" w:space="0" w:color="auto"/>
                    <w:left w:val="none" w:sz="0" w:space="0" w:color="auto"/>
                    <w:bottom w:val="none" w:sz="0" w:space="0" w:color="auto"/>
                    <w:right w:val="none" w:sz="0" w:space="0" w:color="auto"/>
                  </w:divBdr>
                </w:div>
                <w:div w:id="1162310148">
                  <w:marLeft w:val="0"/>
                  <w:marRight w:val="0"/>
                  <w:marTop w:val="200"/>
                  <w:marBottom w:val="200"/>
                  <w:divBdr>
                    <w:top w:val="none" w:sz="0" w:space="0" w:color="auto"/>
                    <w:left w:val="none" w:sz="0" w:space="0" w:color="auto"/>
                    <w:bottom w:val="none" w:sz="0" w:space="0" w:color="auto"/>
                    <w:right w:val="none" w:sz="0" w:space="0" w:color="auto"/>
                  </w:divBdr>
                </w:div>
                <w:div w:id="453837712">
                  <w:marLeft w:val="0"/>
                  <w:marRight w:val="0"/>
                  <w:marTop w:val="200"/>
                  <w:marBottom w:val="200"/>
                  <w:divBdr>
                    <w:top w:val="none" w:sz="0" w:space="0" w:color="auto"/>
                    <w:left w:val="none" w:sz="0" w:space="0" w:color="auto"/>
                    <w:bottom w:val="none" w:sz="0" w:space="0" w:color="auto"/>
                    <w:right w:val="none" w:sz="0" w:space="0" w:color="auto"/>
                  </w:divBdr>
                </w:div>
                <w:div w:id="873233768">
                  <w:marLeft w:val="0"/>
                  <w:marRight w:val="0"/>
                  <w:marTop w:val="200"/>
                  <w:marBottom w:val="200"/>
                  <w:divBdr>
                    <w:top w:val="none" w:sz="0" w:space="0" w:color="auto"/>
                    <w:left w:val="none" w:sz="0" w:space="0" w:color="auto"/>
                    <w:bottom w:val="none" w:sz="0" w:space="0" w:color="auto"/>
                    <w:right w:val="none" w:sz="0" w:space="0" w:color="auto"/>
                  </w:divBdr>
                </w:div>
                <w:div w:id="549539573">
                  <w:marLeft w:val="0"/>
                  <w:marRight w:val="0"/>
                  <w:marTop w:val="200"/>
                  <w:marBottom w:val="200"/>
                  <w:divBdr>
                    <w:top w:val="none" w:sz="0" w:space="0" w:color="auto"/>
                    <w:left w:val="none" w:sz="0" w:space="0" w:color="auto"/>
                    <w:bottom w:val="none" w:sz="0" w:space="0" w:color="auto"/>
                    <w:right w:val="none" w:sz="0" w:space="0" w:color="auto"/>
                  </w:divBdr>
                </w:div>
                <w:div w:id="500704110">
                  <w:marLeft w:val="0"/>
                  <w:marRight w:val="0"/>
                  <w:marTop w:val="200"/>
                  <w:marBottom w:val="200"/>
                  <w:divBdr>
                    <w:top w:val="none" w:sz="0" w:space="0" w:color="auto"/>
                    <w:left w:val="none" w:sz="0" w:space="0" w:color="auto"/>
                    <w:bottom w:val="none" w:sz="0" w:space="0" w:color="auto"/>
                    <w:right w:val="none" w:sz="0" w:space="0" w:color="auto"/>
                  </w:divBdr>
                </w:div>
                <w:div w:id="1314529544">
                  <w:marLeft w:val="0"/>
                  <w:marRight w:val="0"/>
                  <w:marTop w:val="200"/>
                  <w:marBottom w:val="200"/>
                  <w:divBdr>
                    <w:top w:val="none" w:sz="0" w:space="0" w:color="auto"/>
                    <w:left w:val="none" w:sz="0" w:space="0" w:color="auto"/>
                    <w:bottom w:val="none" w:sz="0" w:space="0" w:color="auto"/>
                    <w:right w:val="none" w:sz="0" w:space="0" w:color="auto"/>
                  </w:divBdr>
                </w:div>
                <w:div w:id="1269699368">
                  <w:marLeft w:val="0"/>
                  <w:marRight w:val="0"/>
                  <w:marTop w:val="200"/>
                  <w:marBottom w:val="200"/>
                  <w:divBdr>
                    <w:top w:val="none" w:sz="0" w:space="0" w:color="auto"/>
                    <w:left w:val="none" w:sz="0" w:space="0" w:color="auto"/>
                    <w:bottom w:val="none" w:sz="0" w:space="0" w:color="auto"/>
                    <w:right w:val="none" w:sz="0" w:space="0" w:color="auto"/>
                  </w:divBdr>
                </w:div>
                <w:div w:id="1657756102">
                  <w:marLeft w:val="0"/>
                  <w:marRight w:val="0"/>
                  <w:marTop w:val="200"/>
                  <w:marBottom w:val="200"/>
                  <w:divBdr>
                    <w:top w:val="none" w:sz="0" w:space="0" w:color="auto"/>
                    <w:left w:val="none" w:sz="0" w:space="0" w:color="auto"/>
                    <w:bottom w:val="none" w:sz="0" w:space="0" w:color="auto"/>
                    <w:right w:val="none" w:sz="0" w:space="0" w:color="auto"/>
                  </w:divBdr>
                </w:div>
                <w:div w:id="537552568">
                  <w:marLeft w:val="0"/>
                  <w:marRight w:val="0"/>
                  <w:marTop w:val="200"/>
                  <w:marBottom w:val="200"/>
                  <w:divBdr>
                    <w:top w:val="none" w:sz="0" w:space="0" w:color="auto"/>
                    <w:left w:val="none" w:sz="0" w:space="0" w:color="auto"/>
                    <w:bottom w:val="none" w:sz="0" w:space="0" w:color="auto"/>
                    <w:right w:val="none" w:sz="0" w:space="0" w:color="auto"/>
                  </w:divBdr>
                </w:div>
                <w:div w:id="1292859331">
                  <w:marLeft w:val="0"/>
                  <w:marRight w:val="0"/>
                  <w:marTop w:val="200"/>
                  <w:marBottom w:val="200"/>
                  <w:divBdr>
                    <w:top w:val="none" w:sz="0" w:space="0" w:color="auto"/>
                    <w:left w:val="none" w:sz="0" w:space="0" w:color="auto"/>
                    <w:bottom w:val="none" w:sz="0" w:space="0" w:color="auto"/>
                    <w:right w:val="none" w:sz="0" w:space="0" w:color="auto"/>
                  </w:divBdr>
                </w:div>
                <w:div w:id="785851992">
                  <w:marLeft w:val="0"/>
                  <w:marRight w:val="0"/>
                  <w:marTop w:val="200"/>
                  <w:marBottom w:val="200"/>
                  <w:divBdr>
                    <w:top w:val="none" w:sz="0" w:space="0" w:color="auto"/>
                    <w:left w:val="none" w:sz="0" w:space="0" w:color="auto"/>
                    <w:bottom w:val="none" w:sz="0" w:space="0" w:color="auto"/>
                    <w:right w:val="none" w:sz="0" w:space="0" w:color="auto"/>
                  </w:divBdr>
                </w:div>
                <w:div w:id="425924515">
                  <w:marLeft w:val="0"/>
                  <w:marRight w:val="0"/>
                  <w:marTop w:val="200"/>
                  <w:marBottom w:val="200"/>
                  <w:divBdr>
                    <w:top w:val="none" w:sz="0" w:space="0" w:color="auto"/>
                    <w:left w:val="none" w:sz="0" w:space="0" w:color="auto"/>
                    <w:bottom w:val="none" w:sz="0" w:space="0" w:color="auto"/>
                    <w:right w:val="none" w:sz="0" w:space="0" w:color="auto"/>
                  </w:divBdr>
                </w:div>
                <w:div w:id="1473255379">
                  <w:marLeft w:val="0"/>
                  <w:marRight w:val="0"/>
                  <w:marTop w:val="200"/>
                  <w:marBottom w:val="200"/>
                  <w:divBdr>
                    <w:top w:val="none" w:sz="0" w:space="0" w:color="auto"/>
                    <w:left w:val="none" w:sz="0" w:space="0" w:color="auto"/>
                    <w:bottom w:val="none" w:sz="0" w:space="0" w:color="auto"/>
                    <w:right w:val="none" w:sz="0" w:space="0" w:color="auto"/>
                  </w:divBdr>
                </w:div>
                <w:div w:id="133109375">
                  <w:marLeft w:val="0"/>
                  <w:marRight w:val="0"/>
                  <w:marTop w:val="200"/>
                  <w:marBottom w:val="200"/>
                  <w:divBdr>
                    <w:top w:val="none" w:sz="0" w:space="0" w:color="auto"/>
                    <w:left w:val="none" w:sz="0" w:space="0" w:color="auto"/>
                    <w:bottom w:val="none" w:sz="0" w:space="0" w:color="auto"/>
                    <w:right w:val="none" w:sz="0" w:space="0" w:color="auto"/>
                  </w:divBdr>
                </w:div>
                <w:div w:id="617184958">
                  <w:marLeft w:val="0"/>
                  <w:marRight w:val="0"/>
                  <w:marTop w:val="200"/>
                  <w:marBottom w:val="200"/>
                  <w:divBdr>
                    <w:top w:val="none" w:sz="0" w:space="0" w:color="auto"/>
                    <w:left w:val="none" w:sz="0" w:space="0" w:color="auto"/>
                    <w:bottom w:val="none" w:sz="0" w:space="0" w:color="auto"/>
                    <w:right w:val="none" w:sz="0" w:space="0" w:color="auto"/>
                  </w:divBdr>
                </w:div>
                <w:div w:id="1611813300">
                  <w:marLeft w:val="0"/>
                  <w:marRight w:val="0"/>
                  <w:marTop w:val="200"/>
                  <w:marBottom w:val="200"/>
                  <w:divBdr>
                    <w:top w:val="none" w:sz="0" w:space="0" w:color="auto"/>
                    <w:left w:val="none" w:sz="0" w:space="0" w:color="auto"/>
                    <w:bottom w:val="none" w:sz="0" w:space="0" w:color="auto"/>
                    <w:right w:val="none" w:sz="0" w:space="0" w:color="auto"/>
                  </w:divBdr>
                </w:div>
                <w:div w:id="1985544367">
                  <w:marLeft w:val="0"/>
                  <w:marRight w:val="0"/>
                  <w:marTop w:val="200"/>
                  <w:marBottom w:val="200"/>
                  <w:divBdr>
                    <w:top w:val="none" w:sz="0" w:space="0" w:color="auto"/>
                    <w:left w:val="none" w:sz="0" w:space="0" w:color="auto"/>
                    <w:bottom w:val="none" w:sz="0" w:space="0" w:color="auto"/>
                    <w:right w:val="none" w:sz="0" w:space="0" w:color="auto"/>
                  </w:divBdr>
                </w:div>
                <w:div w:id="1320959390">
                  <w:marLeft w:val="0"/>
                  <w:marRight w:val="0"/>
                  <w:marTop w:val="200"/>
                  <w:marBottom w:val="200"/>
                  <w:divBdr>
                    <w:top w:val="none" w:sz="0" w:space="0" w:color="auto"/>
                    <w:left w:val="none" w:sz="0" w:space="0" w:color="auto"/>
                    <w:bottom w:val="none" w:sz="0" w:space="0" w:color="auto"/>
                    <w:right w:val="none" w:sz="0" w:space="0" w:color="auto"/>
                  </w:divBdr>
                </w:div>
                <w:div w:id="2039699819">
                  <w:marLeft w:val="0"/>
                  <w:marRight w:val="0"/>
                  <w:marTop w:val="200"/>
                  <w:marBottom w:val="200"/>
                  <w:divBdr>
                    <w:top w:val="none" w:sz="0" w:space="0" w:color="auto"/>
                    <w:left w:val="none" w:sz="0" w:space="0" w:color="auto"/>
                    <w:bottom w:val="none" w:sz="0" w:space="0" w:color="auto"/>
                    <w:right w:val="none" w:sz="0" w:space="0" w:color="auto"/>
                  </w:divBdr>
                </w:div>
                <w:div w:id="170686882">
                  <w:marLeft w:val="0"/>
                  <w:marRight w:val="0"/>
                  <w:marTop w:val="200"/>
                  <w:marBottom w:val="200"/>
                  <w:divBdr>
                    <w:top w:val="none" w:sz="0" w:space="0" w:color="auto"/>
                    <w:left w:val="none" w:sz="0" w:space="0" w:color="auto"/>
                    <w:bottom w:val="none" w:sz="0" w:space="0" w:color="auto"/>
                    <w:right w:val="none" w:sz="0" w:space="0" w:color="auto"/>
                  </w:divBdr>
                </w:div>
                <w:div w:id="1761021957">
                  <w:marLeft w:val="0"/>
                  <w:marRight w:val="0"/>
                  <w:marTop w:val="200"/>
                  <w:marBottom w:val="200"/>
                  <w:divBdr>
                    <w:top w:val="none" w:sz="0" w:space="0" w:color="auto"/>
                    <w:left w:val="none" w:sz="0" w:space="0" w:color="auto"/>
                    <w:bottom w:val="none" w:sz="0" w:space="0" w:color="auto"/>
                    <w:right w:val="none" w:sz="0" w:space="0" w:color="auto"/>
                  </w:divBdr>
                </w:div>
                <w:div w:id="722680350">
                  <w:marLeft w:val="0"/>
                  <w:marRight w:val="0"/>
                  <w:marTop w:val="200"/>
                  <w:marBottom w:val="200"/>
                  <w:divBdr>
                    <w:top w:val="none" w:sz="0" w:space="0" w:color="auto"/>
                    <w:left w:val="none" w:sz="0" w:space="0" w:color="auto"/>
                    <w:bottom w:val="none" w:sz="0" w:space="0" w:color="auto"/>
                    <w:right w:val="none" w:sz="0" w:space="0" w:color="auto"/>
                  </w:divBdr>
                </w:div>
                <w:div w:id="575209763">
                  <w:marLeft w:val="0"/>
                  <w:marRight w:val="0"/>
                  <w:marTop w:val="200"/>
                  <w:marBottom w:val="200"/>
                  <w:divBdr>
                    <w:top w:val="none" w:sz="0" w:space="0" w:color="auto"/>
                    <w:left w:val="none" w:sz="0" w:space="0" w:color="auto"/>
                    <w:bottom w:val="none" w:sz="0" w:space="0" w:color="auto"/>
                    <w:right w:val="none" w:sz="0" w:space="0" w:color="auto"/>
                  </w:divBdr>
                </w:div>
                <w:div w:id="667832939">
                  <w:marLeft w:val="0"/>
                  <w:marRight w:val="0"/>
                  <w:marTop w:val="200"/>
                  <w:marBottom w:val="200"/>
                  <w:divBdr>
                    <w:top w:val="none" w:sz="0" w:space="0" w:color="auto"/>
                    <w:left w:val="none" w:sz="0" w:space="0" w:color="auto"/>
                    <w:bottom w:val="none" w:sz="0" w:space="0" w:color="auto"/>
                    <w:right w:val="none" w:sz="0" w:space="0" w:color="auto"/>
                  </w:divBdr>
                </w:div>
                <w:div w:id="1845050441">
                  <w:marLeft w:val="0"/>
                  <w:marRight w:val="0"/>
                  <w:marTop w:val="200"/>
                  <w:marBottom w:val="200"/>
                  <w:divBdr>
                    <w:top w:val="none" w:sz="0" w:space="0" w:color="auto"/>
                    <w:left w:val="none" w:sz="0" w:space="0" w:color="auto"/>
                    <w:bottom w:val="none" w:sz="0" w:space="0" w:color="auto"/>
                    <w:right w:val="none" w:sz="0" w:space="0" w:color="auto"/>
                  </w:divBdr>
                </w:div>
                <w:div w:id="1213541743">
                  <w:marLeft w:val="0"/>
                  <w:marRight w:val="0"/>
                  <w:marTop w:val="200"/>
                  <w:marBottom w:val="200"/>
                  <w:divBdr>
                    <w:top w:val="none" w:sz="0" w:space="0" w:color="auto"/>
                    <w:left w:val="none" w:sz="0" w:space="0" w:color="auto"/>
                    <w:bottom w:val="none" w:sz="0" w:space="0" w:color="auto"/>
                    <w:right w:val="none" w:sz="0" w:space="0" w:color="auto"/>
                  </w:divBdr>
                </w:div>
                <w:div w:id="486938235">
                  <w:marLeft w:val="0"/>
                  <w:marRight w:val="0"/>
                  <w:marTop w:val="200"/>
                  <w:marBottom w:val="200"/>
                  <w:divBdr>
                    <w:top w:val="none" w:sz="0" w:space="0" w:color="auto"/>
                    <w:left w:val="none" w:sz="0" w:space="0" w:color="auto"/>
                    <w:bottom w:val="none" w:sz="0" w:space="0" w:color="auto"/>
                    <w:right w:val="none" w:sz="0" w:space="0" w:color="auto"/>
                  </w:divBdr>
                </w:div>
                <w:div w:id="2063361025">
                  <w:marLeft w:val="0"/>
                  <w:marRight w:val="0"/>
                  <w:marTop w:val="200"/>
                  <w:marBottom w:val="200"/>
                  <w:divBdr>
                    <w:top w:val="none" w:sz="0" w:space="0" w:color="auto"/>
                    <w:left w:val="none" w:sz="0" w:space="0" w:color="auto"/>
                    <w:bottom w:val="none" w:sz="0" w:space="0" w:color="auto"/>
                    <w:right w:val="none" w:sz="0" w:space="0" w:color="auto"/>
                  </w:divBdr>
                </w:div>
                <w:div w:id="326321816">
                  <w:marLeft w:val="0"/>
                  <w:marRight w:val="0"/>
                  <w:marTop w:val="200"/>
                  <w:marBottom w:val="200"/>
                  <w:divBdr>
                    <w:top w:val="none" w:sz="0" w:space="0" w:color="auto"/>
                    <w:left w:val="none" w:sz="0" w:space="0" w:color="auto"/>
                    <w:bottom w:val="none" w:sz="0" w:space="0" w:color="auto"/>
                    <w:right w:val="none" w:sz="0" w:space="0" w:color="auto"/>
                  </w:divBdr>
                </w:div>
                <w:div w:id="1278559871">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www.ncbi.nlm.nih.gov/core/lw/2.0/html/tileshop_pmc/tileshop_pmc_inline.html?title=Click%20on%20image%20to%20zoom&amp;p=PMC3&amp;id=3702687_nihms438326f5.jpg" TargetMode="External"/><Relationship Id="rId26" Type="http://schemas.openxmlformats.org/officeDocument/2006/relationships/hyperlink" Target="https://www.ncbi.nlm.nih.gov/core/lw/2.0/html/tileshop_pmc/tileshop_pmc_inline.html?title=Click%20on%20image%20to%20zoom&amp;p=PMC3&amp;id=3702687_nihms438326f9.jpg" TargetMode="External"/><Relationship Id="rId3" Type="http://schemas.openxmlformats.org/officeDocument/2006/relationships/customXml" Target="../customXml/item3.xml"/><Relationship Id="rId21" Type="http://schemas.openxmlformats.org/officeDocument/2006/relationships/image" Target="media/image7.jpeg"/><Relationship Id="rId7" Type="http://schemas.openxmlformats.org/officeDocument/2006/relationships/hyperlink" Target="https://doi.org/10.1002%2Fjbio.201200187" TargetMode="External"/><Relationship Id="rId12" Type="http://schemas.openxmlformats.org/officeDocument/2006/relationships/hyperlink" Target="https://www.ncbi.nlm.nih.gov/core/lw/2.0/html/tileshop_pmc/tileshop_pmc_inline.html?title=Click%20on%20image%20to%20zoom&amp;p=PMC3&amp;id=3702687_nihms438326f2.jpg"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cbi.nlm.nih.gov/core/lw/2.0/html/tileshop_pmc/tileshop_pmc_inline.html?title=Click%20on%20image%20to%20zoom&amp;p=PMC3&amp;id=3702687_nihms438326f4.jpg" TargetMode="External"/><Relationship Id="rId20" Type="http://schemas.openxmlformats.org/officeDocument/2006/relationships/hyperlink" Target="https://www.ncbi.nlm.nih.gov/core/lw/2.0/html/tileshop_pmc/tileshop_pmc_inline.html?title=Click%20on%20image%20to%20zoom&amp;p=PMC3&amp;id=3702687_nihms438326f6.jpg" TargetMode="External"/><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www.ncbi.nlm.nih.gov/core/lw/2.0/html/tileshop_pmc/tileshop_pmc_inline.html?title=Click%20on%20image%20to%20zoom&amp;p=PMC3&amp;id=3702687_nihms438326f8.jpg"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yperlink" Target="https://www.ncbi.nlm.nih.gov/core/lw/2.0/html/tileshop_pmc/tileshop_pmc_inline.html?title=Click%20on%20image%20to%20zoom&amp;p=PMC3&amp;id=3702687_nihms438326f10.jpg" TargetMode="External"/><Relationship Id="rId10" Type="http://schemas.openxmlformats.org/officeDocument/2006/relationships/hyperlink" Target="https://www.ncbi.nlm.nih.gov/core/lw/2.0/html/tileshop_pmc/tileshop_pmc_inline.html?title=Click%20on%20image%20to%20zoom&amp;p=PMC3&amp;id=3702687_nihms438326f1.jpg" TargetMode="External"/><Relationship Id="rId19" Type="http://schemas.openxmlformats.org/officeDocument/2006/relationships/image" Target="media/image6.jpeg"/><Relationship Id="rId31" Type="http://schemas.openxmlformats.org/officeDocument/2006/relationships/image" Target="media/image1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ncbi.nlm.nih.gov/core/lw/2.0/html/tileshop_pmc/tileshop_pmc_inline.html?title=Click%20on%20image%20to%20zoom&amp;p=PMC3&amp;id=3702687_nihms438326f3.jpg" TargetMode="External"/><Relationship Id="rId22" Type="http://schemas.openxmlformats.org/officeDocument/2006/relationships/hyperlink" Target="https://www.ncbi.nlm.nih.gov/core/lw/2.0/html/tileshop_pmc/tileshop_pmc_inline.html?title=Click%20on%20image%20to%20zoom&amp;p=PMC3&amp;id=3702687_nihms438326f7.jpg" TargetMode="External"/><Relationship Id="rId27" Type="http://schemas.openxmlformats.org/officeDocument/2006/relationships/image" Target="media/image10.jpeg"/><Relationship Id="rId30" Type="http://schemas.openxmlformats.org/officeDocument/2006/relationships/hyperlink" Target="https://www.ncbi.nlm.nih.gov/core/lw/2.0/html/tileshop_pmc/tileshop_pmc_inline.html?title=Click%20on%20image%20to%20zoom&amp;p=PMC3&amp;id=3702687_nihms438326f11.jpg" TargetMode="External"/><Relationship Id="rId8"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6F8045FA-E3F2-4438-8060-374A5504A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20</Pages>
  <Words>6341</Words>
  <Characters>36149</Characters>
  <Application>Microsoft Office Word</Application>
  <DocSecurity>8</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74</cp:revision>
  <dcterms:created xsi:type="dcterms:W3CDTF">2022-09-07T18:14:00Z</dcterms:created>
  <dcterms:modified xsi:type="dcterms:W3CDTF">2022-10-03T17:57:00Z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