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F46276D" w:rsidR="000A7622" w:rsidRPr="00C04F25" w:rsidRDefault="00A351B7"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A523D6" w:rsidR="000A7622" w:rsidRDefault="00A351B7" w:rsidP="00D14423">
      <w:pPr>
        <w:rPr>
          <w:rFonts w:cstheme="minorHAnsi"/>
          <w:sz w:val="24"/>
          <w:szCs w:val="24"/>
        </w:rPr>
      </w:pPr>
      <w:r>
        <w:rPr>
          <w:rFonts w:cstheme="minorHAnsi"/>
          <w:i/>
          <w:sz w:val="24"/>
          <w:szCs w:val="24"/>
          <w:lang w:val="fr-FR"/>
        </w:rPr>
        <w:t>Shock</w:t>
      </w:r>
      <w:r w:rsidR="000A7622" w:rsidRPr="00C04F25">
        <w:rPr>
          <w:rFonts w:cstheme="minorHAnsi"/>
          <w:sz w:val="24"/>
          <w:szCs w:val="24"/>
          <w:lang w:val="fr-FR"/>
        </w:rPr>
        <w:t xml:space="preserve">, Vol. </w:t>
      </w:r>
      <w:r>
        <w:rPr>
          <w:rFonts w:cstheme="minorHAnsi"/>
          <w:sz w:val="24"/>
          <w:szCs w:val="24"/>
          <w:lang w:val="fr-FR"/>
        </w:rPr>
        <w:t>57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sidR="00922FE2">
        <w:rPr>
          <w:rFonts w:cstheme="minorHAnsi"/>
          <w:sz w:val="24"/>
          <w:szCs w:val="24"/>
          <w:lang w:val="fr-FR"/>
        </w:rPr>
        <w:t>February</w:t>
      </w:r>
      <w:proofErr w:type="spellEnd"/>
      <w:r w:rsidR="00922FE2">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274</w:t>
      </w:r>
      <w:r w:rsidR="000A7622" w:rsidRPr="00C04F25">
        <w:rPr>
          <w:rFonts w:cstheme="minorHAnsi"/>
          <w:sz w:val="24"/>
          <w:szCs w:val="24"/>
          <w:lang w:val="fr-FR"/>
        </w:rPr>
        <w:t>-</w:t>
      </w:r>
      <w:r>
        <w:rPr>
          <w:rFonts w:cstheme="minorHAnsi"/>
          <w:sz w:val="24"/>
          <w:szCs w:val="24"/>
          <w:lang w:val="fr-FR"/>
        </w:rPr>
        <w:t>280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Lippincott Williams &amp; Wilkins, Inc.</w:t>
      </w:r>
      <w:r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Lippincott Williams &amp; Wilkins, Inc.</w:t>
      </w:r>
      <w:r w:rsidR="000A7622" w:rsidRPr="00C04F25">
        <w:rPr>
          <w:rFonts w:cstheme="minorHAnsi"/>
          <w:sz w:val="24"/>
          <w:szCs w:val="24"/>
        </w:rPr>
        <w:t xml:space="preserve"> </w:t>
      </w:r>
      <w:bookmarkEnd w:id="1"/>
    </w:p>
    <w:p w14:paraId="7F468161" w14:textId="5A939C1C" w:rsidR="007A51D7" w:rsidRDefault="007A51D7" w:rsidP="007A51D7">
      <w:pPr>
        <w:pStyle w:val="Title"/>
      </w:pPr>
      <w:r>
        <w:t>Assessment of Protection Offered by the NRF2 Pathway Against Hyperoxia-Induced Acute Lung Injury in NRF2 Knockout Rats</w:t>
      </w:r>
    </w:p>
    <w:p w14:paraId="410635E5" w14:textId="77777777" w:rsidR="00E87365" w:rsidRPr="00E87365" w:rsidRDefault="00E87365" w:rsidP="00E87365"/>
    <w:p w14:paraId="77AD1381" w14:textId="677B0459" w:rsidR="007A51D7" w:rsidRPr="00FF6744" w:rsidRDefault="006F1537" w:rsidP="007A51D7">
      <w:pPr>
        <w:pStyle w:val="NoSpacing"/>
        <w:rPr>
          <w:sz w:val="28"/>
          <w:szCs w:val="28"/>
        </w:rPr>
      </w:pPr>
      <w:r w:rsidRPr="00FF6744">
        <w:rPr>
          <w:sz w:val="28"/>
          <w:szCs w:val="28"/>
        </w:rPr>
        <w:t>Said H. Audi</w:t>
      </w:r>
    </w:p>
    <w:p w14:paraId="473A2C95" w14:textId="188A68D1" w:rsidR="006F1537" w:rsidRDefault="006F1537" w:rsidP="007A51D7">
      <w:pPr>
        <w:pStyle w:val="NoSpacing"/>
      </w:pPr>
      <w:r>
        <w:t>Medical College of Wisconsin, Clement J. Zablocki V.A. Medical Center</w:t>
      </w:r>
    </w:p>
    <w:p w14:paraId="1062620A" w14:textId="52E3A266" w:rsidR="006F1537" w:rsidRPr="00FF6744" w:rsidRDefault="006F1537" w:rsidP="007A51D7">
      <w:pPr>
        <w:pStyle w:val="NoSpacing"/>
        <w:rPr>
          <w:sz w:val="28"/>
          <w:szCs w:val="28"/>
        </w:rPr>
      </w:pPr>
      <w:r w:rsidRPr="00FF6744">
        <w:rPr>
          <w:sz w:val="28"/>
          <w:szCs w:val="28"/>
        </w:rPr>
        <w:t>Elizabeth R. Jacobs</w:t>
      </w:r>
    </w:p>
    <w:p w14:paraId="21913CD5" w14:textId="6B483705" w:rsidR="006F1537" w:rsidRDefault="00FF6744" w:rsidP="007A51D7">
      <w:pPr>
        <w:pStyle w:val="NoSpacing"/>
      </w:pPr>
      <w:r>
        <w:t>Medical College of Wisconsin</w:t>
      </w:r>
    </w:p>
    <w:p w14:paraId="0ACFAF20" w14:textId="0195C604" w:rsidR="00FF6744" w:rsidRPr="00FF6744" w:rsidRDefault="00FF6744" w:rsidP="007A51D7">
      <w:pPr>
        <w:pStyle w:val="NoSpacing"/>
        <w:rPr>
          <w:sz w:val="28"/>
          <w:szCs w:val="28"/>
        </w:rPr>
      </w:pPr>
      <w:r w:rsidRPr="00FF6744">
        <w:rPr>
          <w:sz w:val="28"/>
          <w:szCs w:val="28"/>
        </w:rPr>
        <w:t>Pardis Taheri</w:t>
      </w:r>
    </w:p>
    <w:p w14:paraId="74FF4387" w14:textId="34749A7D" w:rsidR="00FF6744" w:rsidRDefault="00FF6744" w:rsidP="007A51D7">
      <w:pPr>
        <w:pStyle w:val="NoSpacing"/>
      </w:pPr>
      <w:r>
        <w:t>Medical College of Wisconsin, Clement J. Zablocki V.A. Medical Center</w:t>
      </w:r>
    </w:p>
    <w:p w14:paraId="502BDC96" w14:textId="6A327A0F" w:rsidR="00FF6744" w:rsidRPr="00FF6744" w:rsidRDefault="00FF6744" w:rsidP="007A51D7">
      <w:pPr>
        <w:pStyle w:val="NoSpacing"/>
        <w:rPr>
          <w:sz w:val="28"/>
          <w:szCs w:val="28"/>
        </w:rPr>
      </w:pPr>
      <w:r w:rsidRPr="00FF6744">
        <w:rPr>
          <w:sz w:val="28"/>
          <w:szCs w:val="28"/>
        </w:rPr>
        <w:t>Swetha Ganesh</w:t>
      </w:r>
    </w:p>
    <w:p w14:paraId="59E0DD56" w14:textId="7D344775" w:rsidR="00FF6744" w:rsidRDefault="00FF6744" w:rsidP="007A51D7">
      <w:pPr>
        <w:pStyle w:val="NoSpacing"/>
      </w:pPr>
      <w:r>
        <w:t>Medical College of Wisconsin, Clement J. Zablocki V.A. Medical Center</w:t>
      </w:r>
    </w:p>
    <w:p w14:paraId="5D843176" w14:textId="4419FF74" w:rsidR="00FF6744" w:rsidRPr="00FF6744" w:rsidRDefault="00FF6744" w:rsidP="007A51D7">
      <w:pPr>
        <w:pStyle w:val="NoSpacing"/>
        <w:rPr>
          <w:sz w:val="28"/>
          <w:szCs w:val="28"/>
        </w:rPr>
      </w:pPr>
      <w:r w:rsidRPr="00FF6744">
        <w:rPr>
          <w:sz w:val="28"/>
          <w:szCs w:val="28"/>
        </w:rPr>
        <w:t>Anne V. Clough</w:t>
      </w:r>
    </w:p>
    <w:p w14:paraId="5CE6D17E" w14:textId="77A5D09B" w:rsidR="00FF6744" w:rsidRDefault="00FF6744" w:rsidP="007A51D7">
      <w:pPr>
        <w:pStyle w:val="NoSpacing"/>
      </w:pPr>
      <w:r>
        <w:t>Clement J. Zablocki V.A. Medical Center, Marquette University</w:t>
      </w:r>
    </w:p>
    <w:p w14:paraId="2B51097C" w14:textId="77777777" w:rsidR="007A51D7" w:rsidRPr="007A51D7" w:rsidRDefault="007A51D7" w:rsidP="00FF6744">
      <w:pPr>
        <w:pStyle w:val="Heading1"/>
      </w:pPr>
      <w:r w:rsidRPr="007A51D7">
        <w:t>Abstract</w:t>
      </w:r>
    </w:p>
    <w:p w14:paraId="5EE5A44D" w14:textId="77777777" w:rsidR="007A51D7" w:rsidRPr="007A51D7" w:rsidRDefault="007A51D7" w:rsidP="007A51D7">
      <w:pPr>
        <w:rPr>
          <w:rFonts w:cstheme="minorHAnsi"/>
          <w:sz w:val="24"/>
          <w:szCs w:val="24"/>
        </w:rPr>
      </w:pPr>
      <w:r w:rsidRPr="007A51D7">
        <w:rPr>
          <w:rFonts w:cstheme="minorHAnsi"/>
          <w:sz w:val="24"/>
          <w:szCs w:val="24"/>
        </w:rPr>
        <w:t xml:space="preserve">Nuclear factor erythroid 2-related factor (Nrf2) is a redox-sensitive transcription factor that responds to oxidative stress by activating expressions of key antioxidant and cytoprotective enzymes via the Nrf2-antioxidant response element (ARE) signaling pathway. Our objective was to characterize hyperoxia-induced acute lung injury (HALI) in Nrf2 knock-out (KO) rats to elucidate the role of this pathway in HALI. Adult Nrf2 wildtype (WT), and KO rats were exposed to room air (normoxia) or &gt;95% </w:t>
      </w:r>
      <w:r w:rsidRPr="007A51D7">
        <w:rPr>
          <w:rFonts w:cstheme="minorHAnsi"/>
          <w:sz w:val="24"/>
          <w:szCs w:val="24"/>
        </w:rPr>
        <w:lastRenderedPageBreak/>
        <w:t>O</w:t>
      </w:r>
      <w:r w:rsidRPr="007A51D7">
        <w:rPr>
          <w:rFonts w:cstheme="minorHAnsi"/>
          <w:sz w:val="24"/>
          <w:szCs w:val="24"/>
          <w:vertAlign w:val="subscript"/>
        </w:rPr>
        <w:t>2</w:t>
      </w:r>
      <w:r w:rsidRPr="007A51D7">
        <w:rPr>
          <w:rFonts w:cstheme="minorHAnsi"/>
          <w:sz w:val="24"/>
          <w:szCs w:val="24"/>
        </w:rPr>
        <w:t> (hyperoxia) for 48 h, after which selected injury and functional endpoints were measured </w:t>
      </w:r>
      <w:r w:rsidRPr="007A51D7">
        <w:rPr>
          <w:rFonts w:cstheme="minorHAnsi"/>
          <w:i/>
          <w:iCs/>
          <w:sz w:val="24"/>
          <w:szCs w:val="24"/>
        </w:rPr>
        <w:t>in vivo</w:t>
      </w:r>
      <w:r w:rsidRPr="007A51D7">
        <w:rPr>
          <w:rFonts w:cstheme="minorHAnsi"/>
          <w:sz w:val="24"/>
          <w:szCs w:val="24"/>
        </w:rPr>
        <w:t> and </w:t>
      </w:r>
      <w:r w:rsidRPr="007A51D7">
        <w:rPr>
          <w:rFonts w:cstheme="minorHAnsi"/>
          <w:i/>
          <w:iCs/>
          <w:sz w:val="24"/>
          <w:szCs w:val="24"/>
        </w:rPr>
        <w:t>ex vivo</w:t>
      </w:r>
      <w:r w:rsidRPr="007A51D7">
        <w:rPr>
          <w:rFonts w:cstheme="minorHAnsi"/>
          <w:sz w:val="24"/>
          <w:szCs w:val="24"/>
        </w:rPr>
        <w:t>. Results demonstrate that the Nrf2-ARE signaling pathway provides some protection against HALI, as reflected by greater hyperoxia-induced histological injury and higher pulmonary endothelial filtration coefficient in KO versus WT rats. We observed larger hyperoxia-induced increases in lung expression of glutathione (GSH) synthetase, 3-nitrotyrosine (index of oxidative stress), and interleukin-1β, and </w:t>
      </w:r>
      <w:r w:rsidRPr="007A51D7">
        <w:rPr>
          <w:rFonts w:cstheme="minorHAnsi"/>
          <w:i/>
          <w:iCs/>
          <w:sz w:val="24"/>
          <w:szCs w:val="24"/>
        </w:rPr>
        <w:t>in vivo</w:t>
      </w:r>
      <w:r w:rsidRPr="007A51D7">
        <w:rPr>
          <w:rFonts w:cstheme="minorHAnsi"/>
          <w:sz w:val="24"/>
          <w:szCs w:val="24"/>
        </w:rPr>
        <w:t> lung uptake of the GSH-sensitive SPECT biomarker </w:t>
      </w:r>
      <w:r w:rsidRPr="007A51D7">
        <w:rPr>
          <w:rFonts w:cstheme="minorHAnsi"/>
          <w:sz w:val="24"/>
          <w:szCs w:val="24"/>
          <w:vertAlign w:val="superscript"/>
        </w:rPr>
        <w:t>99m</w:t>
      </w:r>
      <w:r w:rsidRPr="007A51D7">
        <w:rPr>
          <w:rFonts w:cstheme="minorHAnsi"/>
          <w:sz w:val="24"/>
          <w:szCs w:val="24"/>
        </w:rPr>
        <w:t>Tc-HMPAO in WT compared to KO rats. Hyperoxia also induced increases in lung expression of myeloperoxidase in both WT and KO rats, but with no difference between WT and KO. Hyperoxia had no effect on expression of Bcl-2 (anti-apoptotic protein) or peroxiredoxin-1. These results suggest that the protection offered by the Nrf2-ARE pathway against HALI is in part via its regulation of the GSH redox pathway. To the best of our knowledge, this is the first study to assess the role of the Nrf2-ARE signaling pathway in protection against HALI using a rat Nrf2 knockout model.</w:t>
      </w:r>
    </w:p>
    <w:p w14:paraId="2ADCF80A" w14:textId="77777777" w:rsidR="007A51D7" w:rsidRPr="007A51D7" w:rsidRDefault="007A51D7" w:rsidP="00FF6744">
      <w:pPr>
        <w:pStyle w:val="Heading1"/>
      </w:pPr>
      <w:r w:rsidRPr="007A51D7">
        <w:t>INTRODUCTION</w:t>
      </w:r>
    </w:p>
    <w:p w14:paraId="7A2457D8" w14:textId="1AFAD224" w:rsidR="007A51D7" w:rsidRPr="007A51D7" w:rsidRDefault="007A51D7" w:rsidP="007A51D7">
      <w:pPr>
        <w:rPr>
          <w:rFonts w:cstheme="minorHAnsi"/>
          <w:sz w:val="24"/>
          <w:szCs w:val="24"/>
        </w:rPr>
      </w:pPr>
      <w:r w:rsidRPr="007A51D7">
        <w:rPr>
          <w:rFonts w:cstheme="minorHAnsi"/>
          <w:sz w:val="24"/>
          <w:szCs w:val="24"/>
        </w:rPr>
        <w:t>Acute lung injury (ALI) is one of the most frequent causes of admission to medical intensive care units</w:t>
      </w:r>
      <w:r w:rsidRPr="007A51D7">
        <w:rPr>
          <w:rFonts w:cstheme="minorHAnsi"/>
          <w:sz w:val="24"/>
          <w:szCs w:val="24"/>
          <w:vertAlign w:val="superscript"/>
        </w:rPr>
        <w:t>1, 2</w:t>
      </w:r>
      <w:r w:rsidRPr="007A51D7">
        <w:rPr>
          <w:rFonts w:cstheme="minorHAnsi"/>
          <w:sz w:val="24"/>
          <w:szCs w:val="24"/>
        </w:rPr>
        <w:t xml:space="preserve">. ALI and its most serious form </w:t>
      </w:r>
      <w:proofErr w:type="gramStart"/>
      <w:r w:rsidRPr="007A51D7">
        <w:rPr>
          <w:rFonts w:cstheme="minorHAnsi"/>
          <w:sz w:val="24"/>
          <w:szCs w:val="24"/>
        </w:rPr>
        <w:t>Acute Respiratory Distress Syndrome</w:t>
      </w:r>
      <w:proofErr w:type="gramEnd"/>
      <w:r w:rsidRPr="007A51D7">
        <w:rPr>
          <w:rFonts w:cstheme="minorHAnsi"/>
          <w:sz w:val="24"/>
          <w:szCs w:val="24"/>
        </w:rPr>
        <w:t xml:space="preserve"> (ARDS) are characterized by rapidly progressing hypoxic lung failure and carry high morbidity. ALI is often triggered by overwhelming infections associated with sepsis or pneumonia, including that caused by COVID-19</w:t>
      </w:r>
      <w:r w:rsidRPr="007A51D7">
        <w:rPr>
          <w:rFonts w:cstheme="minorHAnsi"/>
          <w:sz w:val="24"/>
          <w:szCs w:val="24"/>
          <w:vertAlign w:val="superscript"/>
        </w:rPr>
        <w:t>3</w:t>
      </w:r>
      <w:r w:rsidRPr="007A51D7">
        <w:rPr>
          <w:rFonts w:cstheme="minorHAnsi"/>
          <w:sz w:val="24"/>
          <w:szCs w:val="24"/>
        </w:rPr>
        <w:t xml:space="preserve">. Even prior to COVID-19, ARDS occurred in </w:t>
      </w:r>
      <w:r w:rsidRPr="007A51D7">
        <w:rPr>
          <w:rFonts w:ascii="Cambria Math" w:hAnsi="Cambria Math" w:cs="Cambria Math"/>
          <w:sz w:val="24"/>
          <w:szCs w:val="24"/>
        </w:rPr>
        <w:t>∼</w:t>
      </w:r>
      <w:r w:rsidRPr="007A51D7">
        <w:rPr>
          <w:rFonts w:cstheme="minorHAnsi"/>
          <w:sz w:val="24"/>
          <w:szCs w:val="24"/>
        </w:rPr>
        <w:t>250,000 patients/year in the United States, carried a mortality rate that exceeded 40%, lacked early detection tools, and had limited therapies</w:t>
      </w:r>
      <w:r w:rsidRPr="007A51D7">
        <w:rPr>
          <w:rFonts w:cstheme="minorHAnsi"/>
          <w:sz w:val="24"/>
          <w:szCs w:val="24"/>
          <w:vertAlign w:val="superscript"/>
        </w:rPr>
        <w:t>1, 2</w:t>
      </w:r>
      <w:r w:rsidRPr="007A51D7">
        <w:rPr>
          <w:rFonts w:cstheme="minorHAnsi"/>
          <w:sz w:val="24"/>
          <w:szCs w:val="24"/>
        </w:rPr>
        <w:t>. Ventilation with high concentrations of oxygen (hyperoxia) is required to maintain adequate oxygenation to systemic organs and tissues</w:t>
      </w:r>
      <w:r w:rsidRPr="007A51D7">
        <w:rPr>
          <w:rFonts w:cstheme="minorHAnsi"/>
          <w:sz w:val="24"/>
          <w:szCs w:val="24"/>
          <w:vertAlign w:val="superscript"/>
        </w:rPr>
        <w:t>4</w:t>
      </w:r>
      <w:r w:rsidRPr="007A51D7">
        <w:rPr>
          <w:rFonts w:cstheme="minorHAnsi"/>
          <w:sz w:val="24"/>
          <w:szCs w:val="24"/>
        </w:rPr>
        <w:t>. However, sustained exposure to high fractions of oxygen causes or exacerbates ALI</w:t>
      </w:r>
      <w:r w:rsidRPr="007A51D7">
        <w:rPr>
          <w:rFonts w:cstheme="minorHAnsi"/>
          <w:sz w:val="24"/>
          <w:szCs w:val="24"/>
          <w:vertAlign w:val="superscript"/>
        </w:rPr>
        <w:t>5</w:t>
      </w:r>
      <w:r w:rsidRPr="007A51D7">
        <w:rPr>
          <w:rFonts w:cstheme="minorHAnsi"/>
          <w:sz w:val="24"/>
          <w:szCs w:val="24"/>
        </w:rPr>
        <w:t>.</w:t>
      </w:r>
    </w:p>
    <w:p w14:paraId="5F4AECDB" w14:textId="7BF0EBD8" w:rsidR="007A51D7" w:rsidRPr="007A51D7" w:rsidRDefault="007A51D7" w:rsidP="007A51D7">
      <w:pPr>
        <w:rPr>
          <w:rFonts w:cstheme="minorHAnsi"/>
          <w:sz w:val="24"/>
          <w:szCs w:val="24"/>
        </w:rPr>
      </w:pPr>
      <w:r w:rsidRPr="007A51D7">
        <w:rPr>
          <w:rFonts w:cstheme="minorHAnsi"/>
          <w:sz w:val="24"/>
          <w:szCs w:val="24"/>
        </w:rPr>
        <w:t>Oxidative stress, inflammation, and mitochondrial dysfunction are key pathways in the pathogenesis of ALI, with the pulmonary capillary endothelium a primary and early target</w:t>
      </w:r>
      <w:r w:rsidRPr="007A51D7">
        <w:rPr>
          <w:rFonts w:cstheme="minorHAnsi"/>
          <w:sz w:val="24"/>
          <w:szCs w:val="24"/>
          <w:vertAlign w:val="superscript"/>
        </w:rPr>
        <w:t>6–12</w:t>
      </w:r>
      <w:r w:rsidRPr="007A51D7">
        <w:rPr>
          <w:rFonts w:cstheme="minorHAnsi"/>
          <w:sz w:val="24"/>
          <w:szCs w:val="24"/>
        </w:rPr>
        <w:t>. Nuclear factor erythroid 2-related factor (Nrf2) is a redox-sensitive transcription factor that responds to oxidative stress by activating the expression of key antioxidant and cytoprotective enzymes via the Nrf2-</w:t>
      </w:r>
      <w:r w:rsidRPr="007A51D7">
        <w:rPr>
          <w:rFonts w:cstheme="minorHAnsi"/>
          <w:b/>
          <w:bCs/>
          <w:sz w:val="24"/>
          <w:szCs w:val="24"/>
        </w:rPr>
        <w:t>a</w:t>
      </w:r>
      <w:r w:rsidRPr="007A51D7">
        <w:rPr>
          <w:rFonts w:cstheme="minorHAnsi"/>
          <w:sz w:val="24"/>
          <w:szCs w:val="24"/>
        </w:rPr>
        <w:t>ntioxidant </w:t>
      </w:r>
      <w:r w:rsidRPr="007A51D7">
        <w:rPr>
          <w:rFonts w:cstheme="minorHAnsi"/>
          <w:b/>
          <w:bCs/>
          <w:sz w:val="24"/>
          <w:szCs w:val="24"/>
        </w:rPr>
        <w:t>r</w:t>
      </w:r>
      <w:r w:rsidRPr="007A51D7">
        <w:rPr>
          <w:rFonts w:cstheme="minorHAnsi"/>
          <w:sz w:val="24"/>
          <w:szCs w:val="24"/>
        </w:rPr>
        <w:t>esponse </w:t>
      </w:r>
      <w:r w:rsidRPr="007A51D7">
        <w:rPr>
          <w:rFonts w:cstheme="minorHAnsi"/>
          <w:b/>
          <w:bCs/>
          <w:sz w:val="24"/>
          <w:szCs w:val="24"/>
        </w:rPr>
        <w:t>e</w:t>
      </w:r>
      <w:r w:rsidRPr="007A51D7">
        <w:rPr>
          <w:rFonts w:cstheme="minorHAnsi"/>
          <w:sz w:val="24"/>
          <w:szCs w:val="24"/>
        </w:rPr>
        <w:t>lement (ARE) signaling pathway</w:t>
      </w:r>
      <w:r w:rsidRPr="007A51D7">
        <w:rPr>
          <w:rFonts w:cstheme="minorHAnsi"/>
          <w:sz w:val="24"/>
          <w:szCs w:val="24"/>
          <w:vertAlign w:val="superscript"/>
        </w:rPr>
        <w:t>13, 14</w:t>
      </w:r>
      <w:r w:rsidRPr="007A51D7">
        <w:rPr>
          <w:rFonts w:cstheme="minorHAnsi"/>
          <w:sz w:val="24"/>
          <w:szCs w:val="24"/>
        </w:rPr>
        <w:t>. As such, Nrf2 has been shown to regulate glutathione (GSH) biosynthesis, protect mitochondrial function, and inhibit apoptosis, all of which are pertinent to the pathogenesis of ALI</w:t>
      </w:r>
      <w:r w:rsidRPr="007A51D7">
        <w:rPr>
          <w:rFonts w:cstheme="minorHAnsi"/>
          <w:sz w:val="24"/>
          <w:szCs w:val="24"/>
          <w:vertAlign w:val="superscript"/>
        </w:rPr>
        <w:t>13–17</w:t>
      </w:r>
      <w:r w:rsidRPr="007A51D7">
        <w:rPr>
          <w:rFonts w:cstheme="minorHAnsi"/>
          <w:sz w:val="24"/>
          <w:szCs w:val="24"/>
        </w:rPr>
        <w:t>.</w:t>
      </w:r>
    </w:p>
    <w:p w14:paraId="586D8345" w14:textId="7D518F7B" w:rsidR="007A51D7" w:rsidRPr="007A51D7" w:rsidRDefault="007A51D7" w:rsidP="007A51D7">
      <w:pPr>
        <w:rPr>
          <w:rFonts w:cstheme="minorHAnsi"/>
          <w:sz w:val="24"/>
          <w:szCs w:val="24"/>
        </w:rPr>
      </w:pPr>
      <w:r w:rsidRPr="007A51D7">
        <w:rPr>
          <w:rFonts w:cstheme="minorHAnsi"/>
          <w:sz w:val="24"/>
          <w:szCs w:val="24"/>
        </w:rPr>
        <w:t>Previous studies in mice have suggested that the Nrf2-ARE signaling pathway provides protection against acute lung injuries, including ARDS</w:t>
      </w:r>
      <w:r w:rsidRPr="007A51D7">
        <w:rPr>
          <w:rFonts w:cstheme="minorHAnsi"/>
          <w:sz w:val="24"/>
          <w:szCs w:val="24"/>
          <w:vertAlign w:val="superscript"/>
        </w:rPr>
        <w:t>18–22</w:t>
      </w:r>
      <w:r w:rsidRPr="007A51D7">
        <w:rPr>
          <w:rFonts w:cstheme="minorHAnsi"/>
          <w:sz w:val="24"/>
          <w:szCs w:val="24"/>
        </w:rPr>
        <w:t xml:space="preserve">. Using Nrf2 knockout mouse strains, Cho et al. suggested that the Nfe212 gene, which encodes the Nrf2 transcription factor, diminishes susceptibility to </w:t>
      </w:r>
      <w:proofErr w:type="spellStart"/>
      <w:r w:rsidRPr="007A51D7">
        <w:rPr>
          <w:rFonts w:cstheme="minorHAnsi"/>
          <w:sz w:val="24"/>
          <w:szCs w:val="24"/>
        </w:rPr>
        <w:t>hyperoxic</w:t>
      </w:r>
      <w:proofErr w:type="spellEnd"/>
      <w:r w:rsidRPr="007A51D7">
        <w:rPr>
          <w:rFonts w:cstheme="minorHAnsi"/>
          <w:sz w:val="24"/>
          <w:szCs w:val="24"/>
        </w:rPr>
        <w:t xml:space="preserve"> lung injury</w:t>
      </w:r>
      <w:r w:rsidRPr="007A51D7">
        <w:rPr>
          <w:rFonts w:cstheme="minorHAnsi"/>
          <w:sz w:val="24"/>
          <w:szCs w:val="24"/>
          <w:vertAlign w:val="superscript"/>
        </w:rPr>
        <w:t>22</w:t>
      </w:r>
      <w:r w:rsidRPr="007A51D7">
        <w:rPr>
          <w:rFonts w:cstheme="minorHAnsi"/>
          <w:sz w:val="24"/>
          <w:szCs w:val="24"/>
        </w:rPr>
        <w:t>. In another study, Cho et al. showed that Nrf2 knockout mice were more sensitive to hyperoxia (&gt;95% O</w:t>
      </w:r>
      <w:r w:rsidRPr="007A51D7">
        <w:rPr>
          <w:rFonts w:cstheme="minorHAnsi"/>
          <w:sz w:val="24"/>
          <w:szCs w:val="24"/>
          <w:vertAlign w:val="subscript"/>
        </w:rPr>
        <w:t>2</w:t>
      </w:r>
      <w:r w:rsidRPr="007A51D7">
        <w:rPr>
          <w:rFonts w:cstheme="minorHAnsi"/>
          <w:sz w:val="24"/>
          <w:szCs w:val="24"/>
        </w:rPr>
        <w:t xml:space="preserve"> for 72 h) than </w:t>
      </w:r>
      <w:proofErr w:type="gramStart"/>
      <w:r w:rsidRPr="007A51D7">
        <w:rPr>
          <w:rFonts w:cstheme="minorHAnsi"/>
          <w:sz w:val="24"/>
          <w:szCs w:val="24"/>
        </w:rPr>
        <w:t>wild-type</w:t>
      </w:r>
      <w:proofErr w:type="gramEnd"/>
      <w:r w:rsidRPr="007A51D7">
        <w:rPr>
          <w:rFonts w:cstheme="minorHAnsi"/>
          <w:sz w:val="24"/>
          <w:szCs w:val="24"/>
        </w:rPr>
        <w:t xml:space="preserve"> mice</w:t>
      </w:r>
      <w:r w:rsidRPr="007A51D7">
        <w:rPr>
          <w:rFonts w:cstheme="minorHAnsi"/>
          <w:sz w:val="24"/>
          <w:szCs w:val="24"/>
          <w:vertAlign w:val="superscript"/>
        </w:rPr>
        <w:t>18</w:t>
      </w:r>
      <w:r w:rsidRPr="007A51D7">
        <w:rPr>
          <w:rFonts w:cstheme="minorHAnsi"/>
          <w:sz w:val="24"/>
          <w:szCs w:val="24"/>
        </w:rPr>
        <w:t>. Additionally, Reddy el al. demonstrated a role for Nrf2-regulated GSH synthesis not only in protection against hyperoxia-induced injury, but also in the resolution of lung injury following exposure to hyperoxia</w:t>
      </w:r>
      <w:r w:rsidRPr="007A51D7">
        <w:rPr>
          <w:rFonts w:cstheme="minorHAnsi"/>
          <w:sz w:val="24"/>
          <w:szCs w:val="24"/>
          <w:vertAlign w:val="superscript"/>
        </w:rPr>
        <w:t>20</w:t>
      </w:r>
      <w:r w:rsidRPr="007A51D7">
        <w:rPr>
          <w:rFonts w:cstheme="minorHAnsi"/>
          <w:sz w:val="24"/>
          <w:szCs w:val="24"/>
        </w:rPr>
        <w:t>. These results suggest a protective role for Nrf2 against hyperoxic lung injury.</w:t>
      </w:r>
    </w:p>
    <w:p w14:paraId="7C51D59D" w14:textId="59335A5F" w:rsidR="007A51D7" w:rsidRPr="007A51D7" w:rsidRDefault="007A51D7" w:rsidP="007A51D7">
      <w:pPr>
        <w:rPr>
          <w:rFonts w:cstheme="minorHAnsi"/>
          <w:sz w:val="24"/>
          <w:szCs w:val="24"/>
        </w:rPr>
      </w:pPr>
      <w:r w:rsidRPr="007A51D7">
        <w:rPr>
          <w:rFonts w:cstheme="minorHAnsi"/>
          <w:sz w:val="24"/>
          <w:szCs w:val="24"/>
        </w:rPr>
        <w:t>Priestley et al. developed a Nrf2 knock-out (KO) rat model</w:t>
      </w:r>
      <w:r w:rsidRPr="007A51D7">
        <w:rPr>
          <w:rFonts w:cstheme="minorHAnsi"/>
          <w:sz w:val="24"/>
          <w:szCs w:val="24"/>
          <w:vertAlign w:val="superscript"/>
        </w:rPr>
        <w:t>23</w:t>
      </w:r>
      <w:r w:rsidRPr="007A51D7">
        <w:rPr>
          <w:rFonts w:cstheme="minorHAnsi"/>
          <w:sz w:val="24"/>
          <w:szCs w:val="24"/>
        </w:rPr>
        <w:t>. They reported that mRNA expression for catalase, HO-1, superoxide dismutase 1 and 2, and glutathione reductase in livers of KO rats were 35% to 55% lower than those in wild-type (WT) rats. The objective of the present study is to use the rat Nrf2 KO model to assess specific lung injury endpoints and the role of this pathway in protection against hyperoxia-induced ALI in rats. Nrf2 WT and KO rats were compared under normoxic and hyperoxic conditions using both </w:t>
      </w:r>
      <w:r w:rsidRPr="007A51D7">
        <w:rPr>
          <w:rFonts w:cstheme="minorHAnsi"/>
          <w:i/>
          <w:iCs/>
          <w:sz w:val="24"/>
          <w:szCs w:val="24"/>
        </w:rPr>
        <w:t>in vivo</w:t>
      </w:r>
      <w:r w:rsidRPr="007A51D7">
        <w:rPr>
          <w:rFonts w:cstheme="minorHAnsi"/>
          <w:sz w:val="24"/>
          <w:szCs w:val="24"/>
        </w:rPr>
        <w:t> molecular imaging to demonstrate alterations in the pulmonary oxidant status and </w:t>
      </w:r>
      <w:r w:rsidRPr="007A51D7">
        <w:rPr>
          <w:rFonts w:cstheme="minorHAnsi"/>
          <w:i/>
          <w:iCs/>
          <w:sz w:val="24"/>
          <w:szCs w:val="24"/>
        </w:rPr>
        <w:t>ex vivo</w:t>
      </w:r>
      <w:r w:rsidRPr="007A51D7">
        <w:rPr>
          <w:rFonts w:cstheme="minorHAnsi"/>
          <w:sz w:val="24"/>
          <w:szCs w:val="24"/>
        </w:rPr>
        <w:t> assays to determine changes in selected functional and structural endpoints. It is important to perform studies on the role of the Nrf2 pathway in hyperoxia-induced ALI (HALI) in this rat Nrf2 KO model since rats undergo a unique acclimation process during exposure to hyperoxia and develop tolerance to otherwise lethal hyperoxia that mice do not</w:t>
      </w:r>
      <w:r w:rsidRPr="007A51D7">
        <w:rPr>
          <w:rFonts w:cstheme="minorHAnsi"/>
          <w:sz w:val="24"/>
          <w:szCs w:val="24"/>
          <w:vertAlign w:val="superscript"/>
        </w:rPr>
        <w:t>24, 25</w:t>
      </w:r>
      <w:r w:rsidRPr="007A51D7">
        <w:rPr>
          <w:rFonts w:cstheme="minorHAnsi"/>
          <w:sz w:val="24"/>
          <w:szCs w:val="24"/>
        </w:rPr>
        <w:t>. Moreover, the sequence of events leading to O</w:t>
      </w:r>
      <w:r w:rsidRPr="007A51D7">
        <w:rPr>
          <w:rFonts w:cstheme="minorHAnsi"/>
          <w:sz w:val="24"/>
          <w:szCs w:val="24"/>
          <w:vertAlign w:val="subscript"/>
        </w:rPr>
        <w:t>2</w:t>
      </w:r>
      <w:r w:rsidRPr="007A51D7">
        <w:rPr>
          <w:rFonts w:cstheme="minorHAnsi"/>
          <w:sz w:val="24"/>
          <w:szCs w:val="24"/>
        </w:rPr>
        <w:t> toxicity is best described in rats</w:t>
      </w:r>
      <w:r w:rsidRPr="007A51D7">
        <w:rPr>
          <w:rFonts w:cstheme="minorHAnsi"/>
          <w:sz w:val="24"/>
          <w:szCs w:val="24"/>
          <w:vertAlign w:val="superscript"/>
        </w:rPr>
        <w:t>5</w:t>
      </w:r>
      <w:r w:rsidRPr="007A51D7">
        <w:rPr>
          <w:rFonts w:cstheme="minorHAnsi"/>
          <w:sz w:val="24"/>
          <w:szCs w:val="24"/>
        </w:rPr>
        <w:t>.</w:t>
      </w:r>
    </w:p>
    <w:p w14:paraId="6A7CE949" w14:textId="77777777" w:rsidR="007A51D7" w:rsidRPr="007A51D7" w:rsidRDefault="007A51D7" w:rsidP="00FF6744">
      <w:pPr>
        <w:pStyle w:val="Heading1"/>
      </w:pPr>
      <w:r w:rsidRPr="007A51D7">
        <w:t>MATERIALS AND METHODS</w:t>
      </w:r>
    </w:p>
    <w:p w14:paraId="550E7C18" w14:textId="77777777" w:rsidR="007A51D7" w:rsidRPr="007A51D7" w:rsidRDefault="007A51D7" w:rsidP="00FF6744">
      <w:pPr>
        <w:pStyle w:val="Heading2"/>
      </w:pPr>
      <w:r w:rsidRPr="007A51D7">
        <w:t>Materials</w:t>
      </w:r>
    </w:p>
    <w:p w14:paraId="27BB981C" w14:textId="77777777" w:rsidR="007A51D7" w:rsidRPr="007A51D7" w:rsidRDefault="007A51D7" w:rsidP="007A51D7">
      <w:pPr>
        <w:rPr>
          <w:rFonts w:cstheme="minorHAnsi"/>
          <w:sz w:val="24"/>
          <w:szCs w:val="24"/>
        </w:rPr>
      </w:pPr>
      <w:r w:rsidRPr="007A51D7">
        <w:rPr>
          <w:rFonts w:cstheme="minorHAnsi"/>
          <w:sz w:val="24"/>
          <w:szCs w:val="24"/>
        </w:rPr>
        <w:t>HMPAO (Ceretec®) was purchased in kit form from GE Healthcare (Arlington Heights, IL), and technetium-labeled macroaggregated albumin (</w:t>
      </w:r>
      <w:r w:rsidRPr="007A51D7">
        <w:rPr>
          <w:rFonts w:cstheme="minorHAnsi"/>
          <w:sz w:val="24"/>
          <w:szCs w:val="24"/>
          <w:vertAlign w:val="superscript"/>
        </w:rPr>
        <w:t>99m</w:t>
      </w:r>
      <w:r w:rsidRPr="007A51D7">
        <w:rPr>
          <w:rFonts w:cstheme="minorHAnsi"/>
          <w:sz w:val="24"/>
          <w:szCs w:val="24"/>
        </w:rPr>
        <w:t>Tc-MAA, particle sizes 20–40 μm) was purchased from Cardinal Health (Wauwatosa, WI). Antibodies were purchased from Abcam for GSH synthetase (cat # 124811), Bcl-2 (cat # ab59348), myeloperoxidase (MPO) (cat # ab188211), and 3-nitrotyrosine (3-NT) (cat # ab52309). Antibodies for interleukin-1β (IL-1β) and peroxiredoxin-1 </w:t>
      </w:r>
      <w:r w:rsidRPr="007A51D7">
        <w:rPr>
          <w:rFonts w:cstheme="minorHAnsi"/>
          <w:b/>
          <w:bCs/>
          <w:sz w:val="24"/>
          <w:szCs w:val="24"/>
        </w:rPr>
        <w:t>(</w:t>
      </w:r>
      <w:r w:rsidRPr="007A51D7">
        <w:rPr>
          <w:rFonts w:cstheme="minorHAnsi"/>
          <w:sz w:val="24"/>
          <w:szCs w:val="24"/>
        </w:rPr>
        <w:t>Prdx-1) were purchased from RD systems (cat # MAB5011) and Cell Signaling (cat # 8499), respectively.</w:t>
      </w:r>
    </w:p>
    <w:p w14:paraId="62C73985" w14:textId="77777777" w:rsidR="007A51D7" w:rsidRPr="007A51D7" w:rsidRDefault="007A51D7" w:rsidP="00FF6744">
      <w:pPr>
        <w:pStyle w:val="Heading2"/>
      </w:pPr>
      <w:r w:rsidRPr="007A51D7">
        <w:t>Rat model of human ALI</w:t>
      </w:r>
    </w:p>
    <w:p w14:paraId="0FF68ADF" w14:textId="77777777" w:rsidR="007A51D7" w:rsidRPr="007A51D7" w:rsidRDefault="007A51D7" w:rsidP="007A51D7">
      <w:pPr>
        <w:rPr>
          <w:rFonts w:cstheme="minorHAnsi"/>
          <w:sz w:val="24"/>
          <w:szCs w:val="24"/>
        </w:rPr>
      </w:pPr>
      <w:r w:rsidRPr="007A51D7">
        <w:rPr>
          <w:rFonts w:cstheme="minorHAnsi"/>
          <w:sz w:val="24"/>
          <w:szCs w:val="24"/>
        </w:rPr>
        <w:t>All treatment protocols were approved by the Institutional Animal Care and Use Committees of the Zablocki Veterans Affairs Medical Center, the Medical College of Wisconsin, and Marquette University.</w:t>
      </w:r>
    </w:p>
    <w:p w14:paraId="003A418A" w14:textId="5D7A318C" w:rsidR="007A51D7" w:rsidRPr="007A51D7" w:rsidRDefault="007A51D7" w:rsidP="007A51D7">
      <w:pPr>
        <w:rPr>
          <w:rFonts w:cstheme="minorHAnsi"/>
          <w:sz w:val="24"/>
          <w:szCs w:val="24"/>
        </w:rPr>
      </w:pPr>
      <w:r w:rsidRPr="007A51D7">
        <w:rPr>
          <w:rFonts w:cstheme="minorHAnsi"/>
          <w:sz w:val="24"/>
          <w:szCs w:val="24"/>
        </w:rPr>
        <w:t>Male littermate Sprague Dawley Nrf2 KO (SD-</w:t>
      </w:r>
      <w:r w:rsidRPr="007A51D7">
        <w:rPr>
          <w:rFonts w:cstheme="minorHAnsi"/>
          <w:i/>
          <w:iCs/>
          <w:sz w:val="24"/>
          <w:szCs w:val="24"/>
        </w:rPr>
        <w:t>Nfe212</w:t>
      </w:r>
      <w:r w:rsidRPr="007A51D7">
        <w:rPr>
          <w:rFonts w:cstheme="minorHAnsi"/>
          <w:i/>
          <w:iCs/>
          <w:sz w:val="24"/>
          <w:szCs w:val="24"/>
          <w:vertAlign w:val="superscript"/>
        </w:rPr>
        <w:t>em1Mcwi</w:t>
      </w:r>
      <w:r w:rsidRPr="007A51D7">
        <w:rPr>
          <w:rFonts w:cstheme="minorHAnsi"/>
          <w:sz w:val="24"/>
          <w:szCs w:val="24"/>
        </w:rPr>
        <w:t>) wildtype (WT) and homozygous (KO) rats were bred by and obtained from the Medical College of Wisconsin Rat Research Model Service Center as described by Priestley et al.</w:t>
      </w:r>
      <w:r w:rsidRPr="007A51D7">
        <w:rPr>
          <w:rFonts w:cstheme="minorHAnsi"/>
          <w:sz w:val="24"/>
          <w:szCs w:val="24"/>
          <w:vertAlign w:val="superscript"/>
        </w:rPr>
        <w:t>23</w:t>
      </w:r>
      <w:r w:rsidRPr="007A51D7">
        <w:rPr>
          <w:rFonts w:cstheme="minorHAnsi"/>
          <w:sz w:val="24"/>
          <w:szCs w:val="24"/>
        </w:rPr>
        <w:t>. For normoxia (control) studies, adult (68–77 days old) WT and KO rats (321 ± 7 (SE) g, n = 25) were housed in chambers with room air. For hyperoxia studies, age- and weight-matched WT (331 ± 8 g, n = 18) and KO rats (332 ± 14 g, n = 17) were housed adjacent to the room-air chambers in exposure chambers with &gt; 95% O</w:t>
      </w:r>
      <w:r w:rsidRPr="007A51D7">
        <w:rPr>
          <w:rFonts w:cstheme="minorHAnsi"/>
          <w:sz w:val="24"/>
          <w:szCs w:val="24"/>
          <w:vertAlign w:val="subscript"/>
        </w:rPr>
        <w:t>2</w:t>
      </w:r>
      <w:r w:rsidRPr="007A51D7">
        <w:rPr>
          <w:rFonts w:cstheme="minorHAnsi"/>
          <w:sz w:val="24"/>
          <w:szCs w:val="24"/>
        </w:rPr>
        <w:t> for 48 h, as previously described</w:t>
      </w:r>
      <w:r w:rsidRPr="007A51D7">
        <w:rPr>
          <w:rFonts w:cstheme="minorHAnsi"/>
          <w:sz w:val="24"/>
          <w:szCs w:val="24"/>
          <w:vertAlign w:val="superscript"/>
        </w:rPr>
        <w:t>26</w:t>
      </w:r>
      <w:r w:rsidRPr="007A51D7">
        <w:rPr>
          <w:rFonts w:cstheme="minorHAnsi"/>
          <w:sz w:val="24"/>
          <w:szCs w:val="24"/>
        </w:rPr>
        <w:t>. This exposure period was chosen since it is relatively early in the pathogenesis of hyperoxia-induced ALI, prior to clinical evidence of respiratory distress</w:t>
      </w:r>
      <w:r w:rsidRPr="007A51D7">
        <w:rPr>
          <w:rFonts w:cstheme="minorHAnsi"/>
          <w:sz w:val="24"/>
          <w:szCs w:val="24"/>
          <w:vertAlign w:val="superscript"/>
        </w:rPr>
        <w:t>5, 26, 27</w:t>
      </w:r>
      <w:r w:rsidRPr="007A51D7">
        <w:rPr>
          <w:rFonts w:cstheme="minorHAnsi"/>
          <w:sz w:val="24"/>
          <w:szCs w:val="24"/>
        </w:rPr>
        <w:t>. Four groups of rats were studied: WT normoxia, WT hyperoxia, KO normoxia, and KO hyperoxia.</w:t>
      </w:r>
    </w:p>
    <w:p w14:paraId="55F10B45" w14:textId="77777777" w:rsidR="007A51D7" w:rsidRPr="007A51D7" w:rsidRDefault="007A51D7" w:rsidP="00FF6744">
      <w:pPr>
        <w:pStyle w:val="Heading2"/>
      </w:pPr>
      <w:r w:rsidRPr="007A51D7">
        <w:t>Lung wet-to-dry weight ratio, weight of pleural effusion</w:t>
      </w:r>
    </w:p>
    <w:p w14:paraId="1B4A427E" w14:textId="7C6C705F" w:rsidR="007A51D7" w:rsidRPr="007A51D7" w:rsidRDefault="007A51D7" w:rsidP="007A51D7">
      <w:pPr>
        <w:rPr>
          <w:rFonts w:cstheme="minorHAnsi"/>
          <w:sz w:val="24"/>
          <w:szCs w:val="24"/>
        </w:rPr>
      </w:pPr>
      <w:r w:rsidRPr="007A51D7">
        <w:rPr>
          <w:rFonts w:cstheme="minorHAnsi"/>
          <w:sz w:val="24"/>
          <w:szCs w:val="24"/>
        </w:rPr>
        <w:t>Heart and lungs from a randomly selected subset of each group of rats were isolated as previously described</w:t>
      </w:r>
      <w:r w:rsidRPr="007A51D7">
        <w:rPr>
          <w:rFonts w:cstheme="minorHAnsi"/>
          <w:sz w:val="24"/>
          <w:szCs w:val="24"/>
          <w:vertAlign w:val="superscript"/>
        </w:rPr>
        <w:t>26</w:t>
      </w:r>
      <w:r w:rsidRPr="007A51D7">
        <w:rPr>
          <w:rFonts w:cstheme="minorHAnsi"/>
          <w:sz w:val="24"/>
          <w:szCs w:val="24"/>
        </w:rPr>
        <w:t>. The lungs were dissected free of the heart, trachea and mainstem bronchi and total lung wet weight was obtained. The left lung lobe was weighed and dried at 60</w:t>
      </w:r>
      <w:r w:rsidRPr="007A51D7">
        <w:rPr>
          <w:rFonts w:cstheme="minorHAnsi"/>
          <w:sz w:val="24"/>
          <w:szCs w:val="24"/>
          <w:vertAlign w:val="superscript"/>
        </w:rPr>
        <w:t>o</w:t>
      </w:r>
      <w:r w:rsidRPr="007A51D7">
        <w:rPr>
          <w:rFonts w:cstheme="minorHAnsi"/>
          <w:sz w:val="24"/>
          <w:szCs w:val="24"/>
        </w:rPr>
        <w:t>C for 72 h for wet-to-dry weight ratio and the remaining lung lobes were used for histological studies described below</w:t>
      </w:r>
      <w:r w:rsidRPr="007A51D7">
        <w:rPr>
          <w:rFonts w:cstheme="minorHAnsi"/>
          <w:sz w:val="24"/>
          <w:szCs w:val="24"/>
          <w:vertAlign w:val="superscript"/>
        </w:rPr>
        <w:t>26</w:t>
      </w:r>
      <w:r w:rsidRPr="007A51D7">
        <w:rPr>
          <w:rFonts w:cstheme="minorHAnsi"/>
          <w:sz w:val="24"/>
          <w:szCs w:val="24"/>
        </w:rPr>
        <w:t>. For a subset of rats exposed to hyperoxia, cotton gauze was inserted into the chest cavity to absorb any pleural effusion</w:t>
      </w:r>
      <w:r w:rsidRPr="007A51D7">
        <w:rPr>
          <w:rFonts w:cstheme="minorHAnsi"/>
          <w:sz w:val="24"/>
          <w:szCs w:val="24"/>
          <w:vertAlign w:val="superscript"/>
        </w:rPr>
        <w:t>28</w:t>
      </w:r>
      <w:r w:rsidRPr="007A51D7">
        <w:rPr>
          <w:rFonts w:cstheme="minorHAnsi"/>
          <w:sz w:val="24"/>
          <w:szCs w:val="24"/>
        </w:rPr>
        <w:t>. The gauze was weighed before and after use and the difference in weights was determined.</w:t>
      </w:r>
    </w:p>
    <w:p w14:paraId="0AE59745" w14:textId="77777777" w:rsidR="007A51D7" w:rsidRPr="007A51D7" w:rsidRDefault="007A51D7" w:rsidP="00FF6744">
      <w:pPr>
        <w:pStyle w:val="Heading2"/>
      </w:pPr>
      <w:r w:rsidRPr="007A51D7">
        <w:t>Histology</w:t>
      </w:r>
    </w:p>
    <w:p w14:paraId="24E8EE16" w14:textId="6C8AE479" w:rsidR="007A51D7" w:rsidRPr="007A51D7" w:rsidRDefault="007A51D7" w:rsidP="007A51D7">
      <w:pPr>
        <w:rPr>
          <w:rFonts w:cstheme="minorHAnsi"/>
          <w:sz w:val="24"/>
          <w:szCs w:val="24"/>
        </w:rPr>
      </w:pPr>
      <w:r w:rsidRPr="007A51D7">
        <w:rPr>
          <w:rFonts w:cstheme="minorHAnsi"/>
          <w:sz w:val="24"/>
          <w:szCs w:val="24"/>
        </w:rPr>
        <w:t xml:space="preserve">In a randomly selected subset of rats from each group, excised lungs were fixed after inflation in 10% neutral buffered formalin (Fisher Scientific, Pittsburg, PA) and embedded in paraffin. Whole-mount sections of lung were cut (4 μm thick), processed and stained with Hematoxylin &amp; Eosin (H&amp;E, Richard Allan, Kalamazoo, MI). Using high resolution jpeg images of the slides, an investigator masked to the treatment groups obtained 3 to 5 representative images from preselected areas of the lung on each slide, avoiding large vessels or airways at 100X (for neutrophils and edema) and 400X (for alveolar septum thickness). These images were then scored for injury independently and values for each rat averaged for a single “n.” We used a 0 to 2 scoring system suggested by </w:t>
      </w:r>
      <w:proofErr w:type="spellStart"/>
      <w:r w:rsidRPr="007A51D7">
        <w:rPr>
          <w:rFonts w:cstheme="minorHAnsi"/>
          <w:sz w:val="24"/>
          <w:szCs w:val="24"/>
        </w:rPr>
        <w:t>Matute</w:t>
      </w:r>
      <w:proofErr w:type="spellEnd"/>
      <w:r w:rsidRPr="007A51D7">
        <w:rPr>
          <w:rFonts w:cstheme="minorHAnsi"/>
          <w:sz w:val="24"/>
          <w:szCs w:val="24"/>
        </w:rPr>
        <w:t>-Bello et al.</w:t>
      </w:r>
      <w:r w:rsidRPr="007A51D7">
        <w:rPr>
          <w:rFonts w:cstheme="minorHAnsi"/>
          <w:sz w:val="24"/>
          <w:szCs w:val="24"/>
          <w:vertAlign w:val="superscript"/>
        </w:rPr>
        <w:t>29</w:t>
      </w:r>
      <w:r w:rsidRPr="007A51D7">
        <w:rPr>
          <w:rFonts w:cstheme="minorHAnsi"/>
          <w:sz w:val="24"/>
          <w:szCs w:val="24"/>
        </w:rPr>
        <w:t> for neutrophil influx, edema, and thickness of the diffusion barrier (</w:t>
      </w:r>
      <w:r w:rsidRPr="00922FE2">
        <w:rPr>
          <w:rFonts w:cstheme="minorHAnsi"/>
          <w:sz w:val="24"/>
          <w:szCs w:val="24"/>
        </w:rPr>
        <w:t>Table 1</w:t>
      </w:r>
      <w:r w:rsidRPr="007A51D7">
        <w:rPr>
          <w:rFonts w:cstheme="minorHAnsi"/>
          <w:sz w:val="24"/>
          <w:szCs w:val="24"/>
        </w:rPr>
        <w:t>).</w:t>
      </w:r>
    </w:p>
    <w:p w14:paraId="1702886D" w14:textId="77777777" w:rsidR="007A51D7" w:rsidRPr="00922FE2" w:rsidRDefault="007A51D7" w:rsidP="00FF6744">
      <w:pPr>
        <w:pStyle w:val="NoSpacing"/>
        <w:rPr>
          <w:sz w:val="24"/>
          <w:szCs w:val="24"/>
        </w:rPr>
      </w:pPr>
      <w:r w:rsidRPr="00922FE2">
        <w:rPr>
          <w:sz w:val="24"/>
          <w:szCs w:val="24"/>
        </w:rPr>
        <w:t>Table 1 - Endpoints for histological injury grading on a scale of 0–2 for each injury</w:t>
      </w:r>
    </w:p>
    <w:tbl>
      <w:tblPr>
        <w:tblStyle w:val="TableGrid"/>
        <w:tblW w:w="0" w:type="auto"/>
        <w:jc w:val="center"/>
        <w:tblLook w:val="04A0" w:firstRow="1" w:lastRow="0" w:firstColumn="1" w:lastColumn="0" w:noHBand="0" w:noVBand="1"/>
      </w:tblPr>
      <w:tblGrid>
        <w:gridCol w:w="2538"/>
        <w:gridCol w:w="1792"/>
        <w:gridCol w:w="3118"/>
        <w:gridCol w:w="2622"/>
      </w:tblGrid>
      <w:tr w:rsidR="007A51D7" w:rsidRPr="007A51D7" w14:paraId="5586F46D" w14:textId="77777777" w:rsidTr="00FF6744">
        <w:trPr>
          <w:jc w:val="center"/>
        </w:trPr>
        <w:tc>
          <w:tcPr>
            <w:tcW w:w="0" w:type="auto"/>
            <w:hideMark/>
          </w:tcPr>
          <w:p w14:paraId="57388D8C"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Histology injury endpoint/score</w:t>
            </w:r>
          </w:p>
        </w:tc>
        <w:tc>
          <w:tcPr>
            <w:tcW w:w="0" w:type="auto"/>
            <w:hideMark/>
          </w:tcPr>
          <w:p w14:paraId="2F9B066F"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0</w:t>
            </w:r>
          </w:p>
        </w:tc>
        <w:tc>
          <w:tcPr>
            <w:tcW w:w="0" w:type="auto"/>
            <w:hideMark/>
          </w:tcPr>
          <w:p w14:paraId="69528A3E"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1</w:t>
            </w:r>
          </w:p>
        </w:tc>
        <w:tc>
          <w:tcPr>
            <w:tcW w:w="0" w:type="auto"/>
            <w:hideMark/>
          </w:tcPr>
          <w:p w14:paraId="1E8E5606"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2</w:t>
            </w:r>
          </w:p>
        </w:tc>
      </w:tr>
      <w:tr w:rsidR="007A51D7" w:rsidRPr="007A51D7" w14:paraId="672557AF" w14:textId="77777777" w:rsidTr="00FF6744">
        <w:trPr>
          <w:jc w:val="center"/>
        </w:trPr>
        <w:tc>
          <w:tcPr>
            <w:tcW w:w="0" w:type="auto"/>
            <w:hideMark/>
          </w:tcPr>
          <w:p w14:paraId="355BE80B" w14:textId="77777777" w:rsidR="007A51D7" w:rsidRPr="007A51D7" w:rsidRDefault="007A51D7" w:rsidP="00922FE2">
            <w:pPr>
              <w:spacing w:line="259" w:lineRule="auto"/>
              <w:rPr>
                <w:rFonts w:cstheme="minorHAnsi"/>
                <w:sz w:val="24"/>
                <w:szCs w:val="24"/>
              </w:rPr>
            </w:pPr>
            <w:r w:rsidRPr="007A51D7">
              <w:rPr>
                <w:rFonts w:cstheme="minorHAnsi"/>
                <w:sz w:val="24"/>
                <w:szCs w:val="24"/>
              </w:rPr>
              <w:t>Neutrophilic influx</w:t>
            </w:r>
          </w:p>
        </w:tc>
        <w:tc>
          <w:tcPr>
            <w:tcW w:w="0" w:type="auto"/>
            <w:hideMark/>
          </w:tcPr>
          <w:p w14:paraId="21E1BDCC" w14:textId="77777777" w:rsidR="007A51D7" w:rsidRPr="007A51D7" w:rsidRDefault="007A51D7" w:rsidP="00922FE2">
            <w:pPr>
              <w:rPr>
                <w:rFonts w:cstheme="minorHAnsi"/>
                <w:sz w:val="24"/>
                <w:szCs w:val="24"/>
              </w:rPr>
            </w:pPr>
            <w:r w:rsidRPr="007A51D7">
              <w:rPr>
                <w:rFonts w:cstheme="minorHAnsi"/>
                <w:sz w:val="24"/>
                <w:szCs w:val="24"/>
              </w:rPr>
              <w:t>None to very rare</w:t>
            </w:r>
          </w:p>
        </w:tc>
        <w:tc>
          <w:tcPr>
            <w:tcW w:w="0" w:type="auto"/>
            <w:hideMark/>
          </w:tcPr>
          <w:p w14:paraId="6C3AFFBE" w14:textId="77777777" w:rsidR="007A51D7" w:rsidRPr="007A51D7" w:rsidRDefault="007A51D7" w:rsidP="00922FE2">
            <w:pPr>
              <w:rPr>
                <w:rFonts w:cstheme="minorHAnsi"/>
                <w:sz w:val="24"/>
                <w:szCs w:val="24"/>
              </w:rPr>
            </w:pPr>
            <w:r w:rsidRPr="007A51D7">
              <w:rPr>
                <w:rFonts w:cstheme="minorHAnsi"/>
                <w:sz w:val="24"/>
                <w:szCs w:val="24"/>
              </w:rPr>
              <w:t>Perivascular or peribronchiolar only</w:t>
            </w:r>
          </w:p>
        </w:tc>
        <w:tc>
          <w:tcPr>
            <w:tcW w:w="0" w:type="auto"/>
            <w:hideMark/>
          </w:tcPr>
          <w:p w14:paraId="2E72048D" w14:textId="77777777" w:rsidR="007A51D7" w:rsidRPr="007A51D7" w:rsidRDefault="007A51D7" w:rsidP="00922FE2">
            <w:pPr>
              <w:rPr>
                <w:rFonts w:cstheme="minorHAnsi"/>
                <w:sz w:val="24"/>
                <w:szCs w:val="24"/>
              </w:rPr>
            </w:pPr>
            <w:r w:rsidRPr="007A51D7">
              <w:rPr>
                <w:rFonts w:cstheme="minorHAnsi"/>
                <w:sz w:val="24"/>
                <w:szCs w:val="24"/>
              </w:rPr>
              <w:t>Intra-alveolar and widely distributed</w:t>
            </w:r>
          </w:p>
        </w:tc>
      </w:tr>
      <w:tr w:rsidR="007A51D7" w:rsidRPr="007A51D7" w14:paraId="28D1FC02" w14:textId="77777777" w:rsidTr="00FF6744">
        <w:trPr>
          <w:jc w:val="center"/>
        </w:trPr>
        <w:tc>
          <w:tcPr>
            <w:tcW w:w="0" w:type="auto"/>
            <w:hideMark/>
          </w:tcPr>
          <w:p w14:paraId="1EA1B2D6" w14:textId="77777777" w:rsidR="007A51D7" w:rsidRPr="007A51D7" w:rsidRDefault="007A51D7" w:rsidP="00922FE2">
            <w:pPr>
              <w:rPr>
                <w:rFonts w:cstheme="minorHAnsi"/>
                <w:sz w:val="24"/>
                <w:szCs w:val="24"/>
              </w:rPr>
            </w:pPr>
            <w:r w:rsidRPr="007A51D7">
              <w:rPr>
                <w:rFonts w:cstheme="minorHAnsi"/>
                <w:sz w:val="24"/>
                <w:szCs w:val="24"/>
              </w:rPr>
              <w:t>Edema</w:t>
            </w:r>
          </w:p>
        </w:tc>
        <w:tc>
          <w:tcPr>
            <w:tcW w:w="0" w:type="auto"/>
            <w:hideMark/>
          </w:tcPr>
          <w:p w14:paraId="3C56828D" w14:textId="77777777" w:rsidR="007A51D7" w:rsidRPr="007A51D7" w:rsidRDefault="007A51D7" w:rsidP="00922FE2">
            <w:pPr>
              <w:rPr>
                <w:rFonts w:cstheme="minorHAnsi"/>
                <w:sz w:val="24"/>
                <w:szCs w:val="24"/>
              </w:rPr>
            </w:pPr>
            <w:r w:rsidRPr="007A51D7">
              <w:rPr>
                <w:rFonts w:cstheme="minorHAnsi"/>
                <w:sz w:val="24"/>
                <w:szCs w:val="24"/>
              </w:rPr>
              <w:t>None to very rare</w:t>
            </w:r>
          </w:p>
        </w:tc>
        <w:tc>
          <w:tcPr>
            <w:tcW w:w="0" w:type="auto"/>
            <w:hideMark/>
          </w:tcPr>
          <w:p w14:paraId="5DDB27A6" w14:textId="77777777" w:rsidR="007A51D7" w:rsidRPr="007A51D7" w:rsidRDefault="007A51D7" w:rsidP="00922FE2">
            <w:pPr>
              <w:rPr>
                <w:rFonts w:cstheme="minorHAnsi"/>
                <w:sz w:val="24"/>
                <w:szCs w:val="24"/>
              </w:rPr>
            </w:pPr>
            <w:r w:rsidRPr="007A51D7">
              <w:rPr>
                <w:rFonts w:cstheme="minorHAnsi"/>
                <w:sz w:val="24"/>
                <w:szCs w:val="24"/>
              </w:rPr>
              <w:t>Proteinacious material in &lt;5% and &lt;20% field</w:t>
            </w:r>
          </w:p>
        </w:tc>
        <w:tc>
          <w:tcPr>
            <w:tcW w:w="0" w:type="auto"/>
            <w:hideMark/>
          </w:tcPr>
          <w:p w14:paraId="3B8CEFA2" w14:textId="77777777" w:rsidR="007A51D7" w:rsidRPr="007A51D7" w:rsidRDefault="007A51D7" w:rsidP="00922FE2">
            <w:pPr>
              <w:rPr>
                <w:rFonts w:cstheme="minorHAnsi"/>
                <w:sz w:val="24"/>
                <w:szCs w:val="24"/>
              </w:rPr>
            </w:pPr>
            <w:r w:rsidRPr="007A51D7">
              <w:rPr>
                <w:rFonts w:cstheme="minorHAnsi"/>
                <w:sz w:val="24"/>
                <w:szCs w:val="24"/>
              </w:rPr>
              <w:t>proteinacious material in &gt;20% field</w:t>
            </w:r>
          </w:p>
        </w:tc>
      </w:tr>
      <w:tr w:rsidR="007A51D7" w:rsidRPr="007A51D7" w14:paraId="4E586E5A" w14:textId="77777777" w:rsidTr="00FF6744">
        <w:trPr>
          <w:jc w:val="center"/>
        </w:trPr>
        <w:tc>
          <w:tcPr>
            <w:tcW w:w="0" w:type="auto"/>
            <w:hideMark/>
          </w:tcPr>
          <w:p w14:paraId="1ABDB09F" w14:textId="77777777" w:rsidR="007A51D7" w:rsidRPr="007A51D7" w:rsidRDefault="007A51D7" w:rsidP="00922FE2">
            <w:pPr>
              <w:rPr>
                <w:rFonts w:cstheme="minorHAnsi"/>
                <w:sz w:val="24"/>
                <w:szCs w:val="24"/>
              </w:rPr>
            </w:pPr>
            <w:r w:rsidRPr="007A51D7">
              <w:rPr>
                <w:rFonts w:cstheme="minorHAnsi"/>
                <w:sz w:val="24"/>
                <w:szCs w:val="24"/>
              </w:rPr>
              <w:t>Thickness of alveolar septum</w:t>
            </w:r>
          </w:p>
        </w:tc>
        <w:tc>
          <w:tcPr>
            <w:tcW w:w="0" w:type="auto"/>
            <w:hideMark/>
          </w:tcPr>
          <w:p w14:paraId="7A2D79B5" w14:textId="77777777" w:rsidR="007A51D7" w:rsidRPr="007A51D7" w:rsidRDefault="007A51D7" w:rsidP="00922FE2">
            <w:pPr>
              <w:rPr>
                <w:rFonts w:cstheme="minorHAnsi"/>
                <w:sz w:val="24"/>
                <w:szCs w:val="24"/>
              </w:rPr>
            </w:pPr>
            <w:r w:rsidRPr="007A51D7">
              <w:rPr>
                <w:rFonts w:cstheme="minorHAnsi"/>
                <w:sz w:val="24"/>
                <w:szCs w:val="24"/>
              </w:rPr>
              <w:t>≤1.8 x control thickness</w:t>
            </w:r>
          </w:p>
        </w:tc>
        <w:tc>
          <w:tcPr>
            <w:tcW w:w="0" w:type="auto"/>
            <w:hideMark/>
          </w:tcPr>
          <w:p w14:paraId="3DA30C91" w14:textId="77777777" w:rsidR="007A51D7" w:rsidRPr="007A51D7" w:rsidRDefault="007A51D7" w:rsidP="00922FE2">
            <w:pPr>
              <w:rPr>
                <w:rFonts w:cstheme="minorHAnsi"/>
                <w:sz w:val="24"/>
                <w:szCs w:val="24"/>
              </w:rPr>
            </w:pPr>
            <w:r w:rsidRPr="007A51D7">
              <w:rPr>
                <w:rFonts w:cstheme="minorHAnsi"/>
                <w:sz w:val="24"/>
                <w:szCs w:val="24"/>
              </w:rPr>
              <w:t>&gt;1.8 but &lt;2.5 × control thickness</w:t>
            </w:r>
          </w:p>
        </w:tc>
        <w:tc>
          <w:tcPr>
            <w:tcW w:w="0" w:type="auto"/>
            <w:hideMark/>
          </w:tcPr>
          <w:p w14:paraId="3325DB3C" w14:textId="77777777" w:rsidR="007A51D7" w:rsidRPr="007A51D7" w:rsidRDefault="007A51D7" w:rsidP="00922FE2">
            <w:pPr>
              <w:rPr>
                <w:rFonts w:cstheme="minorHAnsi"/>
                <w:sz w:val="24"/>
                <w:szCs w:val="24"/>
              </w:rPr>
            </w:pPr>
            <w:r w:rsidRPr="007A51D7">
              <w:rPr>
                <w:rFonts w:cstheme="minorHAnsi"/>
                <w:sz w:val="24"/>
                <w:szCs w:val="24"/>
              </w:rPr>
              <w:t>&gt;2.5 × control thickness</w:t>
            </w:r>
          </w:p>
        </w:tc>
      </w:tr>
    </w:tbl>
    <w:p w14:paraId="318E5F91" w14:textId="30A4F376" w:rsidR="007A51D7" w:rsidRPr="007A51D7" w:rsidRDefault="007A51D7" w:rsidP="007A51D7">
      <w:pPr>
        <w:rPr>
          <w:rFonts w:cstheme="minorHAnsi"/>
          <w:sz w:val="24"/>
          <w:szCs w:val="24"/>
        </w:rPr>
      </w:pPr>
    </w:p>
    <w:p w14:paraId="3DF51498" w14:textId="77777777" w:rsidR="007A51D7" w:rsidRPr="007A51D7" w:rsidRDefault="007A51D7" w:rsidP="00FF6744">
      <w:pPr>
        <w:pStyle w:val="Heading2"/>
      </w:pPr>
      <w:r w:rsidRPr="007A51D7">
        <w:t>Western blots</w:t>
      </w:r>
    </w:p>
    <w:p w14:paraId="7E23D9AA" w14:textId="629D8000" w:rsidR="007A51D7" w:rsidRPr="007A51D7" w:rsidRDefault="007A51D7" w:rsidP="007A51D7">
      <w:pPr>
        <w:rPr>
          <w:rFonts w:cstheme="minorHAnsi"/>
          <w:sz w:val="24"/>
          <w:szCs w:val="24"/>
        </w:rPr>
      </w:pPr>
      <w:r w:rsidRPr="007A51D7">
        <w:rPr>
          <w:rFonts w:cstheme="minorHAnsi"/>
          <w:sz w:val="24"/>
          <w:szCs w:val="24"/>
        </w:rPr>
        <w:t>Western blot analysis was carried out as previously described</w:t>
      </w:r>
      <w:r w:rsidRPr="007A51D7">
        <w:rPr>
          <w:rFonts w:cstheme="minorHAnsi"/>
          <w:sz w:val="24"/>
          <w:szCs w:val="24"/>
          <w:vertAlign w:val="superscript"/>
        </w:rPr>
        <w:t>30</w:t>
      </w:r>
      <w:r w:rsidRPr="007A51D7">
        <w:rPr>
          <w:rFonts w:cstheme="minorHAnsi"/>
          <w:sz w:val="24"/>
          <w:szCs w:val="24"/>
        </w:rPr>
        <w:t> on whole lung tissue homogenate to quantify the expressions of glutathione (GSH) synthetase as an indicator of the GSH redox pathway, the anti-apoptotic protein Bcl-2, and pro-inflammatory cytokine interleukin-1β (IL-1β) (for electrophoresis, protein used was 40 μg/lane). For myeloperoxidase (MPO), as an indicator of inflammation, and the anti-oxidant peroxiredoxin 1 (Prdx-1), 45 μg/lane protein was loaded. Western blot analysis was also carried out on whole lung tissue homogenate (protein concentration 30 μg/μL) to quantify the expression of 3-nitrotyrosine (3-NT) as an indicator of oxidative stress</w:t>
      </w:r>
      <w:r w:rsidRPr="007A51D7">
        <w:rPr>
          <w:rFonts w:cstheme="minorHAnsi"/>
          <w:sz w:val="24"/>
          <w:szCs w:val="24"/>
          <w:vertAlign w:val="superscript"/>
        </w:rPr>
        <w:t>27</w:t>
      </w:r>
      <w:r w:rsidRPr="007A51D7">
        <w:rPr>
          <w:rFonts w:cstheme="minorHAnsi"/>
          <w:sz w:val="24"/>
          <w:szCs w:val="24"/>
        </w:rPr>
        <w:t>.</w:t>
      </w:r>
    </w:p>
    <w:p w14:paraId="406255C7" w14:textId="77777777" w:rsidR="007A51D7" w:rsidRPr="007A51D7" w:rsidRDefault="007A51D7" w:rsidP="00FF6744">
      <w:pPr>
        <w:pStyle w:val="Heading2"/>
      </w:pPr>
      <w:r w:rsidRPr="007A51D7">
        <w:t>Pulmonary vascular endothelial filtration coefficient (</w:t>
      </w:r>
      <w:r w:rsidRPr="007A51D7">
        <w:rPr>
          <w:i/>
          <w:iCs/>
        </w:rPr>
        <w:t>K</w:t>
      </w:r>
      <w:r w:rsidRPr="007A51D7">
        <w:rPr>
          <w:i/>
          <w:iCs/>
          <w:vertAlign w:val="subscript"/>
        </w:rPr>
        <w:t>f</w:t>
      </w:r>
      <w:r w:rsidRPr="007A51D7">
        <w:t>)</w:t>
      </w:r>
    </w:p>
    <w:p w14:paraId="1781996C" w14:textId="0DBE4D31" w:rsidR="007A51D7" w:rsidRPr="007A51D7" w:rsidRDefault="007A51D7" w:rsidP="007A51D7">
      <w:pPr>
        <w:rPr>
          <w:rFonts w:cstheme="minorHAnsi"/>
          <w:sz w:val="24"/>
          <w:szCs w:val="24"/>
        </w:rPr>
      </w:pPr>
      <w:r w:rsidRPr="007A51D7">
        <w:rPr>
          <w:rFonts w:cstheme="minorHAnsi"/>
          <w:sz w:val="24"/>
          <w:szCs w:val="24"/>
        </w:rPr>
        <w:t>Randomly selected rats from normoxia and 48-h hyperoxia WT and KO groups were anesthetized with pentobarbital sodium (50–100 mg/kg i.p.). The lungs were then removed and suspended from a calibrated force displacement transducer (ModelFT03; Grass Instruments), attached to a rat lung ventilation-perfusion system, and lung weight was monitored continuously</w:t>
      </w:r>
      <w:r w:rsidRPr="007A51D7">
        <w:rPr>
          <w:rFonts w:cstheme="minorHAnsi"/>
          <w:sz w:val="24"/>
          <w:szCs w:val="24"/>
          <w:vertAlign w:val="superscript"/>
        </w:rPr>
        <w:t>26, 31</w:t>
      </w:r>
      <w:r w:rsidRPr="007A51D7">
        <w:rPr>
          <w:rFonts w:cstheme="minorHAnsi"/>
          <w:sz w:val="24"/>
          <w:szCs w:val="24"/>
        </w:rPr>
        <w:t>. The value of </w:t>
      </w:r>
      <w:r w:rsidRPr="007A51D7">
        <w:rPr>
          <w:rFonts w:cstheme="minorHAnsi"/>
          <w:i/>
          <w:iCs/>
          <w:sz w:val="24"/>
          <w:szCs w:val="24"/>
        </w:rPr>
        <w:t>K</w:t>
      </w:r>
      <w:r w:rsidRPr="007A51D7">
        <w:rPr>
          <w:rFonts w:cstheme="minorHAnsi"/>
          <w:i/>
          <w:iCs/>
          <w:sz w:val="24"/>
          <w:szCs w:val="24"/>
          <w:vertAlign w:val="subscript"/>
        </w:rPr>
        <w:t>f</w:t>
      </w:r>
      <w:r w:rsidRPr="007A51D7">
        <w:rPr>
          <w:rFonts w:cstheme="minorHAnsi"/>
          <w:sz w:val="24"/>
          <w:szCs w:val="24"/>
        </w:rPr>
        <w:t xml:space="preserve">, a measure of vascular permeability, was then determined using the approach described by </w:t>
      </w:r>
      <w:proofErr w:type="spellStart"/>
      <w:r w:rsidRPr="007A51D7">
        <w:rPr>
          <w:rFonts w:cstheme="minorHAnsi"/>
          <w:sz w:val="24"/>
          <w:szCs w:val="24"/>
        </w:rPr>
        <w:t>Bongard</w:t>
      </w:r>
      <w:proofErr w:type="spellEnd"/>
      <w:r w:rsidRPr="007A51D7">
        <w:rPr>
          <w:rFonts w:cstheme="minorHAnsi"/>
          <w:sz w:val="24"/>
          <w:szCs w:val="24"/>
        </w:rPr>
        <w:t xml:space="preserve"> et al.</w:t>
      </w:r>
      <w:r w:rsidRPr="007A51D7">
        <w:rPr>
          <w:rFonts w:cstheme="minorHAnsi"/>
          <w:sz w:val="24"/>
          <w:szCs w:val="24"/>
          <w:vertAlign w:val="superscript"/>
        </w:rPr>
        <w:t>31</w:t>
      </w:r>
      <w:r w:rsidRPr="007A51D7">
        <w:rPr>
          <w:rFonts w:cstheme="minorHAnsi"/>
          <w:sz w:val="24"/>
          <w:szCs w:val="24"/>
        </w:rPr>
        <w:t>. Briefly, after a 10 min stabilization period with the venous pressure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set at atmospheric pressure,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was raised to 3.7 mm Hg and the lung perfused for 10 min. Then,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was raised to 10 mmHg and perfusion continued for an additional 10 min. </w:t>
      </w:r>
      <w:r w:rsidRPr="007A51D7">
        <w:rPr>
          <w:rFonts w:cstheme="minorHAnsi"/>
          <w:i/>
          <w:iCs/>
          <w:sz w:val="24"/>
          <w:szCs w:val="24"/>
        </w:rPr>
        <w:t>K</w:t>
      </w:r>
      <w:r w:rsidRPr="007A51D7">
        <w:rPr>
          <w:rFonts w:cstheme="minorHAnsi"/>
          <w:i/>
          <w:iCs/>
          <w:sz w:val="24"/>
          <w:szCs w:val="24"/>
          <w:vertAlign w:val="subscript"/>
        </w:rPr>
        <w:t>f</w:t>
      </w:r>
      <w:r w:rsidRPr="007A51D7">
        <w:rPr>
          <w:rFonts w:cstheme="minorHAnsi"/>
          <w:sz w:val="24"/>
          <w:szCs w:val="24"/>
        </w:rPr>
        <w:t> was determined by dividing the difference in the rate of lung weight gain measured 10 min after increasing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from 3.7 to 10 mm Hg and after increasing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from 0 to 3.7 mm Hg by the difference in pulmonary capillary pressure at these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values. For each </w:t>
      </w:r>
      <w:r w:rsidRPr="007A51D7">
        <w:rPr>
          <w:rFonts w:cstheme="minorHAnsi"/>
          <w:i/>
          <w:iCs/>
          <w:sz w:val="24"/>
          <w:szCs w:val="24"/>
        </w:rPr>
        <w:t>P</w:t>
      </w:r>
      <w:r w:rsidRPr="007A51D7">
        <w:rPr>
          <w:rFonts w:cstheme="minorHAnsi"/>
          <w:i/>
          <w:iCs/>
          <w:sz w:val="24"/>
          <w:szCs w:val="24"/>
          <w:vertAlign w:val="subscript"/>
        </w:rPr>
        <w:t>V</w:t>
      </w:r>
      <w:r w:rsidRPr="007A51D7">
        <w:rPr>
          <w:rFonts w:cstheme="minorHAnsi"/>
          <w:sz w:val="24"/>
          <w:szCs w:val="24"/>
        </w:rPr>
        <w:t>, the capillary pressure was estimated as the average of arterial and venous pressures. </w:t>
      </w:r>
      <w:r w:rsidRPr="007A51D7">
        <w:rPr>
          <w:rFonts w:cstheme="minorHAnsi"/>
          <w:i/>
          <w:iCs/>
          <w:sz w:val="24"/>
          <w:szCs w:val="24"/>
        </w:rPr>
        <w:t>K</w:t>
      </w:r>
      <w:r w:rsidRPr="007A51D7">
        <w:rPr>
          <w:rFonts w:cstheme="minorHAnsi"/>
          <w:i/>
          <w:iCs/>
          <w:sz w:val="24"/>
          <w:szCs w:val="24"/>
          <w:vertAlign w:val="subscript"/>
        </w:rPr>
        <w:t>f</w:t>
      </w:r>
      <w:r w:rsidRPr="007A51D7">
        <w:rPr>
          <w:rFonts w:cstheme="minorHAnsi"/>
          <w:sz w:val="24"/>
          <w:szCs w:val="24"/>
        </w:rPr>
        <w:t> was normalized to gram of dry lung weight.</w:t>
      </w:r>
    </w:p>
    <w:p w14:paraId="61E78DD0" w14:textId="77777777" w:rsidR="007A51D7" w:rsidRPr="007A51D7" w:rsidRDefault="007A51D7" w:rsidP="00FF6744">
      <w:pPr>
        <w:pStyle w:val="Heading2"/>
      </w:pPr>
      <w:r w:rsidRPr="007A51D7">
        <w:t>Imaging studies</w:t>
      </w:r>
    </w:p>
    <w:p w14:paraId="0B384CA4" w14:textId="58A412D0" w:rsidR="007A51D7" w:rsidRPr="007A51D7" w:rsidRDefault="007A51D7" w:rsidP="007A51D7">
      <w:pPr>
        <w:rPr>
          <w:rFonts w:cstheme="minorHAnsi"/>
          <w:sz w:val="24"/>
          <w:szCs w:val="24"/>
        </w:rPr>
      </w:pPr>
      <w:r w:rsidRPr="007A51D7">
        <w:rPr>
          <w:rFonts w:cstheme="minorHAnsi"/>
          <w:i/>
          <w:iCs/>
          <w:sz w:val="24"/>
          <w:szCs w:val="24"/>
        </w:rPr>
        <w:t>In vivo</w:t>
      </w:r>
      <w:r w:rsidRPr="007A51D7">
        <w:rPr>
          <w:rFonts w:cstheme="minorHAnsi"/>
          <w:sz w:val="24"/>
          <w:szCs w:val="24"/>
        </w:rPr>
        <w:t> imaging studies described below were conducted on randomly selected subsets of rats from each group. Sample sizes were chosen to achieve a power ≥ 85% using power analysis (ANOVA power) based on previously published means and standard deviations of the lung uptake of </w:t>
      </w:r>
      <w:r w:rsidRPr="007A51D7">
        <w:rPr>
          <w:rFonts w:cstheme="minorHAnsi"/>
          <w:sz w:val="24"/>
          <w:szCs w:val="24"/>
          <w:vertAlign w:val="superscript"/>
        </w:rPr>
        <w:t>99m</w:t>
      </w:r>
      <w:r w:rsidRPr="007A51D7">
        <w:rPr>
          <w:rFonts w:cstheme="minorHAnsi"/>
          <w:sz w:val="24"/>
          <w:szCs w:val="24"/>
        </w:rPr>
        <w:t>Tc-HMPAO</w:t>
      </w:r>
      <w:r w:rsidRPr="007A51D7">
        <w:rPr>
          <w:rFonts w:cstheme="minorHAnsi"/>
          <w:sz w:val="24"/>
          <w:szCs w:val="24"/>
          <w:vertAlign w:val="superscript"/>
        </w:rPr>
        <w:t>26, 28, 32</w:t>
      </w:r>
      <w:r w:rsidRPr="007A51D7">
        <w:rPr>
          <w:rFonts w:cstheme="minorHAnsi"/>
          <w:sz w:val="24"/>
          <w:szCs w:val="24"/>
        </w:rPr>
        <w:t>.</w:t>
      </w:r>
    </w:p>
    <w:p w14:paraId="09E0EE86" w14:textId="0F129054" w:rsidR="007A51D7" w:rsidRPr="007A51D7" w:rsidRDefault="007A51D7" w:rsidP="007A51D7">
      <w:pPr>
        <w:rPr>
          <w:rFonts w:cstheme="minorHAnsi"/>
          <w:sz w:val="24"/>
          <w:szCs w:val="24"/>
        </w:rPr>
      </w:pPr>
      <w:r w:rsidRPr="007A51D7">
        <w:rPr>
          <w:rFonts w:cstheme="minorHAnsi"/>
          <w:sz w:val="24"/>
          <w:szCs w:val="24"/>
          <w:vertAlign w:val="superscript"/>
        </w:rPr>
        <w:t>99m</w:t>
      </w:r>
      <w:r w:rsidRPr="007A51D7">
        <w:rPr>
          <w:rFonts w:cstheme="minorHAnsi"/>
          <w:sz w:val="24"/>
          <w:szCs w:val="24"/>
        </w:rPr>
        <w:t>Tc-HMPAO was constituted and labeled according to kit directions as previously described</w:t>
      </w:r>
      <w:r w:rsidRPr="007A51D7">
        <w:rPr>
          <w:rFonts w:cstheme="minorHAnsi"/>
          <w:sz w:val="24"/>
          <w:szCs w:val="24"/>
          <w:vertAlign w:val="superscript"/>
        </w:rPr>
        <w:t>26, 28</w:t>
      </w:r>
      <w:r w:rsidRPr="007A51D7">
        <w:rPr>
          <w:rFonts w:cstheme="minorHAnsi"/>
          <w:sz w:val="24"/>
          <w:szCs w:val="24"/>
        </w:rPr>
        <w:t>. Rats were anesthetized with sodium pentobarbital (40–50 mg/kg, i.p.) and a tail vein was cannulated. The rat was then placed supine on a plexiglass plate (4 mm) positioned directly on the face of a parallel-hole collimator (hole diameter = 2 mm, depth = 25 mm) attached to a modular gamma camera (</w:t>
      </w:r>
      <w:r w:rsidRPr="007A51D7">
        <w:rPr>
          <w:rFonts w:cstheme="minorHAnsi"/>
          <w:i/>
          <w:iCs/>
          <w:sz w:val="24"/>
          <w:szCs w:val="24"/>
        </w:rPr>
        <w:t>Radiation Sensors, LLC</w:t>
      </w:r>
      <w:r w:rsidRPr="007A51D7">
        <w:rPr>
          <w:rFonts w:cstheme="minorHAnsi"/>
          <w:sz w:val="24"/>
          <w:szCs w:val="24"/>
        </w:rPr>
        <w:t>) for planar imaging</w:t>
      </w:r>
      <w:r w:rsidRPr="007A51D7">
        <w:rPr>
          <w:rFonts w:cstheme="minorHAnsi"/>
          <w:sz w:val="24"/>
          <w:szCs w:val="24"/>
          <w:vertAlign w:val="superscript"/>
        </w:rPr>
        <w:t>26, 28</w:t>
      </w:r>
      <w:r w:rsidRPr="007A51D7">
        <w:rPr>
          <w:rFonts w:cstheme="minorHAnsi"/>
          <w:sz w:val="24"/>
          <w:szCs w:val="24"/>
        </w:rPr>
        <w:t>. An injection (37–74 MBq) of </w:t>
      </w:r>
      <w:r w:rsidRPr="007A51D7">
        <w:rPr>
          <w:rFonts w:cstheme="minorHAnsi"/>
          <w:sz w:val="24"/>
          <w:szCs w:val="24"/>
          <w:vertAlign w:val="superscript"/>
        </w:rPr>
        <w:t>99m</w:t>
      </w:r>
      <w:r w:rsidRPr="007A51D7">
        <w:rPr>
          <w:rFonts w:cstheme="minorHAnsi"/>
          <w:sz w:val="24"/>
          <w:szCs w:val="24"/>
        </w:rPr>
        <w:t>Tc-HMPAO was administered via the tail vein catheter. </w:t>
      </w:r>
      <w:r w:rsidRPr="007A51D7">
        <w:rPr>
          <w:rFonts w:cstheme="minorHAnsi"/>
          <w:sz w:val="24"/>
          <w:szCs w:val="24"/>
          <w:vertAlign w:val="superscript"/>
        </w:rPr>
        <w:t>99m</w:t>
      </w:r>
      <w:r w:rsidRPr="007A51D7">
        <w:rPr>
          <w:rFonts w:cstheme="minorHAnsi"/>
          <w:sz w:val="24"/>
          <w:szCs w:val="24"/>
        </w:rPr>
        <w:t>Tc-HMPAO reaches steady-state in the lung by 20 min postinjection, at which time three thirty-second planar images were acquired</w:t>
      </w:r>
      <w:r w:rsidRPr="007A51D7">
        <w:rPr>
          <w:rFonts w:cstheme="minorHAnsi"/>
          <w:sz w:val="24"/>
          <w:szCs w:val="24"/>
          <w:vertAlign w:val="superscript"/>
        </w:rPr>
        <w:t>26, 28</w:t>
      </w:r>
      <w:r w:rsidRPr="007A51D7">
        <w:rPr>
          <w:rFonts w:cstheme="minorHAnsi"/>
          <w:sz w:val="24"/>
          <w:szCs w:val="24"/>
        </w:rPr>
        <w:t>.</w:t>
      </w:r>
    </w:p>
    <w:p w14:paraId="152B2DF9" w14:textId="77777777" w:rsidR="007A51D7" w:rsidRPr="007A51D7" w:rsidRDefault="007A51D7" w:rsidP="007A51D7">
      <w:pPr>
        <w:rPr>
          <w:rFonts w:cstheme="minorHAnsi"/>
          <w:sz w:val="24"/>
          <w:szCs w:val="24"/>
        </w:rPr>
      </w:pPr>
      <w:r w:rsidRPr="007A51D7">
        <w:rPr>
          <w:rFonts w:cstheme="minorHAnsi"/>
          <w:sz w:val="24"/>
          <w:szCs w:val="24"/>
        </w:rPr>
        <w:t>A subsequent injection of </w:t>
      </w:r>
      <w:r w:rsidRPr="007A51D7">
        <w:rPr>
          <w:rFonts w:cstheme="minorHAnsi"/>
          <w:sz w:val="24"/>
          <w:szCs w:val="24"/>
          <w:vertAlign w:val="superscript"/>
        </w:rPr>
        <w:t>99m</w:t>
      </w:r>
      <w:r w:rsidRPr="007A51D7">
        <w:rPr>
          <w:rFonts w:cstheme="minorHAnsi"/>
          <w:sz w:val="24"/>
          <w:szCs w:val="24"/>
        </w:rPr>
        <w:t>Tc-MAA (37 MBq) was made via the same tail-vein cannula and the rat re-imaged. The </w:t>
      </w:r>
      <w:r w:rsidRPr="007A51D7">
        <w:rPr>
          <w:rFonts w:cstheme="minorHAnsi"/>
          <w:sz w:val="24"/>
          <w:szCs w:val="24"/>
          <w:vertAlign w:val="superscript"/>
        </w:rPr>
        <w:t>99m</w:t>
      </w:r>
      <w:r w:rsidRPr="007A51D7">
        <w:rPr>
          <w:rFonts w:cstheme="minorHAnsi"/>
          <w:sz w:val="24"/>
          <w:szCs w:val="24"/>
        </w:rPr>
        <w:t>Tc-MAA injection provided a planar image in which the lung boundaries were clearly identified, since &gt;95% of </w:t>
      </w:r>
      <w:r w:rsidRPr="007A51D7">
        <w:rPr>
          <w:rFonts w:cstheme="minorHAnsi"/>
          <w:sz w:val="24"/>
          <w:szCs w:val="24"/>
          <w:vertAlign w:val="superscript"/>
        </w:rPr>
        <w:t>99m</w:t>
      </w:r>
      <w:r w:rsidRPr="007A51D7">
        <w:rPr>
          <w:rFonts w:cstheme="minorHAnsi"/>
          <w:sz w:val="24"/>
          <w:szCs w:val="24"/>
        </w:rPr>
        <w:t>Tc-MAA lodged in the lungs. After imaging, the rats were euthanized with an overdose of pentobarbital.</w:t>
      </w:r>
    </w:p>
    <w:p w14:paraId="348F7223" w14:textId="77777777" w:rsidR="007A51D7" w:rsidRPr="007A51D7" w:rsidRDefault="007A51D7" w:rsidP="00FF6744">
      <w:pPr>
        <w:pStyle w:val="Heading2"/>
      </w:pPr>
      <w:r w:rsidRPr="007A51D7">
        <w:t>Image analysis</w:t>
      </w:r>
    </w:p>
    <w:p w14:paraId="7E1A89E5" w14:textId="29EDC125" w:rsidR="007A51D7" w:rsidRPr="007A51D7" w:rsidRDefault="007A51D7" w:rsidP="007A51D7">
      <w:pPr>
        <w:rPr>
          <w:rFonts w:cstheme="minorHAnsi"/>
          <w:sz w:val="24"/>
          <w:szCs w:val="24"/>
        </w:rPr>
      </w:pPr>
      <w:r w:rsidRPr="007A51D7">
        <w:rPr>
          <w:rFonts w:cstheme="minorHAnsi"/>
          <w:sz w:val="24"/>
          <w:szCs w:val="24"/>
        </w:rPr>
        <w:t>Images were analyzed using MATLAB-based software developed in-house. The boundaries of the upper portion of the lungs were identified in the high-sensitivity </w:t>
      </w:r>
      <w:r w:rsidRPr="007A51D7">
        <w:rPr>
          <w:rFonts w:cstheme="minorHAnsi"/>
          <w:sz w:val="24"/>
          <w:szCs w:val="24"/>
          <w:vertAlign w:val="superscript"/>
        </w:rPr>
        <w:t>99m</w:t>
      </w:r>
      <w:r w:rsidRPr="007A51D7">
        <w:rPr>
          <w:rFonts w:cstheme="minorHAnsi"/>
          <w:sz w:val="24"/>
          <w:szCs w:val="24"/>
        </w:rPr>
        <w:t>Tc-MAA images and manually outlined to construct a lung region of interest (ROI) free of liver contribution</w:t>
      </w:r>
      <w:r w:rsidRPr="007A51D7">
        <w:rPr>
          <w:rFonts w:cstheme="minorHAnsi"/>
          <w:sz w:val="24"/>
          <w:szCs w:val="24"/>
          <w:vertAlign w:val="superscript"/>
        </w:rPr>
        <w:t>26</w:t>
      </w:r>
      <w:r w:rsidRPr="007A51D7">
        <w:rPr>
          <w:rFonts w:cstheme="minorHAnsi"/>
          <w:sz w:val="24"/>
          <w:szCs w:val="24"/>
        </w:rPr>
        <w:t>. The </w:t>
      </w:r>
      <w:r w:rsidRPr="007A51D7">
        <w:rPr>
          <w:rFonts w:cstheme="minorHAnsi"/>
          <w:sz w:val="24"/>
          <w:szCs w:val="24"/>
          <w:vertAlign w:val="superscript"/>
        </w:rPr>
        <w:t>99m</w:t>
      </w:r>
      <w:r w:rsidRPr="007A51D7">
        <w:rPr>
          <w:rFonts w:cstheme="minorHAnsi"/>
          <w:sz w:val="24"/>
          <w:szCs w:val="24"/>
        </w:rPr>
        <w:t>Tc-MAA lung ROI mask was then superimposed on the </w:t>
      </w:r>
      <w:r w:rsidRPr="007A51D7">
        <w:rPr>
          <w:rFonts w:cstheme="minorHAnsi"/>
          <w:sz w:val="24"/>
          <w:szCs w:val="24"/>
          <w:vertAlign w:val="superscript"/>
        </w:rPr>
        <w:t>99m</w:t>
      </w:r>
      <w:r w:rsidRPr="007A51D7">
        <w:rPr>
          <w:rFonts w:cstheme="minorHAnsi"/>
          <w:sz w:val="24"/>
          <w:szCs w:val="24"/>
        </w:rPr>
        <w:t>Tc-HMPAO image yielding a lung </w:t>
      </w:r>
      <w:r w:rsidRPr="007A51D7">
        <w:rPr>
          <w:rFonts w:cstheme="minorHAnsi"/>
          <w:sz w:val="24"/>
          <w:szCs w:val="24"/>
          <w:vertAlign w:val="superscript"/>
        </w:rPr>
        <w:t>99m</w:t>
      </w:r>
      <w:r w:rsidRPr="007A51D7">
        <w:rPr>
          <w:rFonts w:cstheme="minorHAnsi"/>
          <w:sz w:val="24"/>
          <w:szCs w:val="24"/>
        </w:rPr>
        <w:t>Tc-HMPAO ROI. No registration was required since the animal was maintained in the same location throughout the imaging study. Background regions in the upper forelimbs were also identified in the </w:t>
      </w:r>
      <w:r w:rsidRPr="007A51D7">
        <w:rPr>
          <w:rFonts w:cstheme="minorHAnsi"/>
          <w:sz w:val="24"/>
          <w:szCs w:val="24"/>
          <w:vertAlign w:val="superscript"/>
        </w:rPr>
        <w:t>99m</w:t>
      </w:r>
      <w:r w:rsidRPr="007A51D7">
        <w:rPr>
          <w:rFonts w:cstheme="minorHAnsi"/>
          <w:sz w:val="24"/>
          <w:szCs w:val="24"/>
        </w:rPr>
        <w:t>Tc-HMPAO image to normalize lung activity for injected </w:t>
      </w:r>
      <w:r w:rsidRPr="007A51D7">
        <w:rPr>
          <w:rFonts w:cstheme="minorHAnsi"/>
          <w:sz w:val="24"/>
          <w:szCs w:val="24"/>
          <w:vertAlign w:val="superscript"/>
        </w:rPr>
        <w:t>99m</w:t>
      </w:r>
      <w:r w:rsidRPr="007A51D7">
        <w:rPr>
          <w:rFonts w:cstheme="minorHAnsi"/>
          <w:sz w:val="24"/>
          <w:szCs w:val="24"/>
        </w:rPr>
        <w:t>Tc-HMPAO specific activity, dose, and decay</w:t>
      </w:r>
      <w:r w:rsidRPr="007A51D7">
        <w:rPr>
          <w:rFonts w:cstheme="minorHAnsi"/>
          <w:sz w:val="24"/>
          <w:szCs w:val="24"/>
          <w:vertAlign w:val="superscript"/>
        </w:rPr>
        <w:t>26, 28</w:t>
      </w:r>
      <w:r w:rsidRPr="007A51D7">
        <w:rPr>
          <w:rFonts w:cstheme="minorHAnsi"/>
          <w:sz w:val="24"/>
          <w:szCs w:val="24"/>
        </w:rPr>
        <w:t>. Mean counts/sec/pixel/injected dose within both the lung and forelimb-background ROIs were then determined and decay corrected. The ratio of the lung and background ROI signals averaged over the 3x30 second time interval, when the </w:t>
      </w:r>
      <w:r w:rsidRPr="007A51D7">
        <w:rPr>
          <w:rFonts w:cstheme="minorHAnsi"/>
          <w:sz w:val="24"/>
          <w:szCs w:val="24"/>
          <w:vertAlign w:val="superscript"/>
        </w:rPr>
        <w:t>99m</w:t>
      </w:r>
      <w:r w:rsidRPr="007A51D7">
        <w:rPr>
          <w:rFonts w:cstheme="minorHAnsi"/>
          <w:sz w:val="24"/>
          <w:szCs w:val="24"/>
        </w:rPr>
        <w:t>Tc-HMPAO signal within the ROIs had reached steady state, was used as the measure of lung </w:t>
      </w:r>
      <w:r w:rsidRPr="007A51D7">
        <w:rPr>
          <w:rFonts w:cstheme="minorHAnsi"/>
          <w:sz w:val="24"/>
          <w:szCs w:val="24"/>
          <w:vertAlign w:val="superscript"/>
        </w:rPr>
        <w:t>99m</w:t>
      </w:r>
      <w:r w:rsidRPr="007A51D7">
        <w:rPr>
          <w:rFonts w:cstheme="minorHAnsi"/>
          <w:sz w:val="24"/>
          <w:szCs w:val="24"/>
        </w:rPr>
        <w:t>Tc-HMPAO uptake</w:t>
      </w:r>
      <w:r w:rsidRPr="007A51D7">
        <w:rPr>
          <w:rFonts w:cstheme="minorHAnsi"/>
          <w:sz w:val="24"/>
          <w:szCs w:val="24"/>
          <w:vertAlign w:val="superscript"/>
        </w:rPr>
        <w:t>26, 28</w:t>
      </w:r>
      <w:r w:rsidRPr="007A51D7">
        <w:rPr>
          <w:rFonts w:cstheme="minorHAnsi"/>
          <w:sz w:val="24"/>
          <w:szCs w:val="24"/>
        </w:rPr>
        <w:t>.</w:t>
      </w:r>
    </w:p>
    <w:p w14:paraId="5B290695" w14:textId="77777777" w:rsidR="007A51D7" w:rsidRPr="007A51D7" w:rsidRDefault="007A51D7" w:rsidP="00FF6744">
      <w:pPr>
        <w:pStyle w:val="Heading2"/>
      </w:pPr>
      <w:r w:rsidRPr="007A51D7">
        <w:t>Statistical analysis</w:t>
      </w:r>
    </w:p>
    <w:p w14:paraId="4FEE6DA6" w14:textId="77777777" w:rsidR="007A51D7" w:rsidRPr="007A51D7" w:rsidRDefault="007A51D7" w:rsidP="007A51D7">
      <w:pPr>
        <w:rPr>
          <w:rFonts w:cstheme="minorHAnsi"/>
          <w:sz w:val="24"/>
          <w:szCs w:val="24"/>
        </w:rPr>
      </w:pPr>
      <w:r w:rsidRPr="007A51D7">
        <w:rPr>
          <w:rFonts w:cstheme="minorHAnsi"/>
          <w:sz w:val="24"/>
          <w:szCs w:val="24"/>
        </w:rPr>
        <w:t>Statistical evaluation of data was carried out using SigmaPlot version 12.0 (Systat Software Inc., San Jose, CA). Results are expressed as means ± SE unless stated otherwise. To evaluate differences between two groups of rats, an unpaired two-tailed </w:t>
      </w:r>
      <w:r w:rsidRPr="007A51D7">
        <w:rPr>
          <w:rFonts w:cstheme="minorHAnsi"/>
          <w:i/>
          <w:iCs/>
          <w:sz w:val="24"/>
          <w:szCs w:val="24"/>
        </w:rPr>
        <w:t>t</w:t>
      </w:r>
      <w:r w:rsidRPr="007A51D7">
        <w:rPr>
          <w:rFonts w:cstheme="minorHAnsi"/>
          <w:sz w:val="24"/>
          <w:szCs w:val="24"/>
        </w:rPr>
        <w:t> test was used with the level of statistical significance set at 0.05.</w:t>
      </w:r>
    </w:p>
    <w:p w14:paraId="08F16C40" w14:textId="77777777" w:rsidR="007A51D7" w:rsidRPr="007A51D7" w:rsidRDefault="007A51D7" w:rsidP="00FF6744">
      <w:pPr>
        <w:pStyle w:val="Heading1"/>
      </w:pPr>
      <w:r w:rsidRPr="007A51D7">
        <w:t>RESULTS</w:t>
      </w:r>
    </w:p>
    <w:p w14:paraId="30D278CA" w14:textId="77777777" w:rsidR="007A51D7" w:rsidRPr="007A51D7" w:rsidRDefault="007A51D7" w:rsidP="00FF6744">
      <w:pPr>
        <w:pStyle w:val="Heading2"/>
      </w:pPr>
      <w:r w:rsidRPr="007A51D7">
        <w:t>Lung wet/dry weight ratios, pleural effusion, and </w:t>
      </w:r>
      <w:r w:rsidRPr="007A51D7">
        <w:rPr>
          <w:i/>
          <w:iCs/>
        </w:rPr>
        <w:t>K</w:t>
      </w:r>
      <w:r w:rsidRPr="007A51D7">
        <w:rPr>
          <w:i/>
          <w:iCs/>
          <w:vertAlign w:val="subscript"/>
        </w:rPr>
        <w:t>f</w:t>
      </w:r>
    </w:p>
    <w:p w14:paraId="1570B74D" w14:textId="16BF71A0" w:rsidR="007A51D7" w:rsidRPr="007A51D7" w:rsidRDefault="007A51D7" w:rsidP="007A51D7">
      <w:pPr>
        <w:rPr>
          <w:rFonts w:cstheme="minorHAnsi"/>
          <w:sz w:val="24"/>
          <w:szCs w:val="24"/>
        </w:rPr>
      </w:pPr>
      <w:r w:rsidRPr="007A51D7">
        <w:rPr>
          <w:rFonts w:cstheme="minorHAnsi"/>
          <w:sz w:val="24"/>
          <w:szCs w:val="24"/>
        </w:rPr>
        <w:t>Rat exposure to hyperoxia for 48 h increased lung wet/dry weight ratio in both WT and KO groups and the increase was not different between WT and KO groups (</w:t>
      </w:r>
      <w:r w:rsidRPr="00922FE2">
        <w:rPr>
          <w:rFonts w:cstheme="minorHAnsi"/>
          <w:sz w:val="24"/>
          <w:szCs w:val="24"/>
        </w:rPr>
        <w:t>Table 2</w:t>
      </w:r>
      <w:r w:rsidRPr="007A51D7">
        <w:rPr>
          <w:rFonts w:cstheme="minorHAnsi"/>
          <w:sz w:val="24"/>
          <w:szCs w:val="24"/>
        </w:rPr>
        <w:t xml:space="preserve">). No pleural effusion was observed in either group of normoxic rats. Pleural effusions were identified in </w:t>
      </w:r>
      <w:proofErr w:type="gramStart"/>
      <w:r w:rsidRPr="007A51D7">
        <w:rPr>
          <w:rFonts w:cstheme="minorHAnsi"/>
          <w:sz w:val="24"/>
          <w:szCs w:val="24"/>
        </w:rPr>
        <w:t>both of the hyperoxia</w:t>
      </w:r>
      <w:proofErr w:type="gramEnd"/>
      <w:r w:rsidRPr="007A51D7">
        <w:rPr>
          <w:rFonts w:cstheme="minorHAnsi"/>
          <w:sz w:val="24"/>
          <w:szCs w:val="24"/>
        </w:rPr>
        <w:t xml:space="preserve"> cohorts, but no differences between the WT and KO groups were observed (</w:t>
      </w:r>
      <w:r w:rsidRPr="00922FE2">
        <w:rPr>
          <w:rFonts w:cstheme="minorHAnsi"/>
          <w:sz w:val="24"/>
          <w:szCs w:val="24"/>
        </w:rPr>
        <w:t>Table 2</w:t>
      </w:r>
      <w:r w:rsidRPr="007A51D7">
        <w:rPr>
          <w:rFonts w:cstheme="minorHAnsi"/>
          <w:sz w:val="24"/>
          <w:szCs w:val="24"/>
        </w:rPr>
        <w:t>).</w:t>
      </w:r>
    </w:p>
    <w:p w14:paraId="2034B740" w14:textId="77777777" w:rsidR="007A51D7" w:rsidRPr="00922FE2" w:rsidRDefault="007A51D7" w:rsidP="00FF6744">
      <w:pPr>
        <w:pStyle w:val="NoSpacing"/>
        <w:rPr>
          <w:sz w:val="24"/>
          <w:szCs w:val="24"/>
        </w:rPr>
      </w:pPr>
      <w:r w:rsidRPr="00922FE2">
        <w:rPr>
          <w:sz w:val="24"/>
          <w:szCs w:val="24"/>
        </w:rPr>
        <w:t>Table 2 - Injury endpoints</w:t>
      </w:r>
    </w:p>
    <w:tbl>
      <w:tblPr>
        <w:tblStyle w:val="TableGrid"/>
        <w:tblW w:w="0" w:type="auto"/>
        <w:jc w:val="center"/>
        <w:tblLook w:val="04A0" w:firstRow="1" w:lastRow="0" w:firstColumn="1" w:lastColumn="0" w:noHBand="0" w:noVBand="1"/>
      </w:tblPr>
      <w:tblGrid>
        <w:gridCol w:w="1414"/>
        <w:gridCol w:w="1724"/>
        <w:gridCol w:w="1682"/>
        <w:gridCol w:w="1856"/>
        <w:gridCol w:w="1627"/>
        <w:gridCol w:w="1767"/>
      </w:tblGrid>
      <w:tr w:rsidR="007A51D7" w:rsidRPr="007A51D7" w14:paraId="36B3FD25" w14:textId="77777777" w:rsidTr="00FF6744">
        <w:trPr>
          <w:jc w:val="center"/>
        </w:trPr>
        <w:tc>
          <w:tcPr>
            <w:tcW w:w="0" w:type="auto"/>
            <w:hideMark/>
          </w:tcPr>
          <w:p w14:paraId="2166E785"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Group</w:t>
            </w:r>
          </w:p>
        </w:tc>
        <w:tc>
          <w:tcPr>
            <w:tcW w:w="0" w:type="auto"/>
            <w:hideMark/>
          </w:tcPr>
          <w:p w14:paraId="03CCA7EC"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Lung wet/dry wt</w:t>
            </w:r>
          </w:p>
        </w:tc>
        <w:tc>
          <w:tcPr>
            <w:tcW w:w="0" w:type="auto"/>
            <w:hideMark/>
          </w:tcPr>
          <w:p w14:paraId="5D52AA9A"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Pleural effusion (g)</w:t>
            </w:r>
          </w:p>
        </w:tc>
        <w:tc>
          <w:tcPr>
            <w:tcW w:w="0" w:type="auto"/>
            <w:hideMark/>
          </w:tcPr>
          <w:p w14:paraId="4767B3AE"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3-NT</w:t>
            </w:r>
          </w:p>
        </w:tc>
        <w:tc>
          <w:tcPr>
            <w:tcW w:w="0" w:type="auto"/>
            <w:hideMark/>
          </w:tcPr>
          <w:p w14:paraId="7064FCF7"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MPO</w:t>
            </w:r>
          </w:p>
        </w:tc>
        <w:tc>
          <w:tcPr>
            <w:tcW w:w="0" w:type="auto"/>
            <w:hideMark/>
          </w:tcPr>
          <w:p w14:paraId="6D497901"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IL-1β</w:t>
            </w:r>
          </w:p>
        </w:tc>
      </w:tr>
      <w:tr w:rsidR="007A51D7" w:rsidRPr="007A51D7" w14:paraId="5CF0B0AC" w14:textId="77777777" w:rsidTr="00FF6744">
        <w:trPr>
          <w:jc w:val="center"/>
        </w:trPr>
        <w:tc>
          <w:tcPr>
            <w:tcW w:w="0" w:type="auto"/>
            <w:hideMark/>
          </w:tcPr>
          <w:p w14:paraId="32034FEE" w14:textId="77777777" w:rsidR="007A51D7" w:rsidRPr="007A51D7" w:rsidRDefault="007A51D7" w:rsidP="00922FE2">
            <w:pPr>
              <w:spacing w:line="259" w:lineRule="auto"/>
              <w:rPr>
                <w:rFonts w:cstheme="minorHAnsi"/>
                <w:sz w:val="24"/>
                <w:szCs w:val="24"/>
              </w:rPr>
            </w:pPr>
            <w:r w:rsidRPr="007A51D7">
              <w:rPr>
                <w:rFonts w:cstheme="minorHAnsi"/>
                <w:sz w:val="24"/>
                <w:szCs w:val="24"/>
              </w:rPr>
              <w:t>WT normoxia</w:t>
            </w:r>
          </w:p>
        </w:tc>
        <w:tc>
          <w:tcPr>
            <w:tcW w:w="0" w:type="auto"/>
            <w:hideMark/>
          </w:tcPr>
          <w:p w14:paraId="441E2EFC" w14:textId="77777777" w:rsidR="007A51D7" w:rsidRPr="007A51D7" w:rsidRDefault="007A51D7" w:rsidP="00922FE2">
            <w:pPr>
              <w:rPr>
                <w:rFonts w:cstheme="minorHAnsi"/>
                <w:sz w:val="24"/>
                <w:szCs w:val="24"/>
              </w:rPr>
            </w:pPr>
            <w:r w:rsidRPr="007A51D7">
              <w:rPr>
                <w:rFonts w:cstheme="minorHAnsi"/>
                <w:sz w:val="24"/>
                <w:szCs w:val="24"/>
              </w:rPr>
              <w:t>5.28 ± 0.21 (n = 12)</w:t>
            </w:r>
          </w:p>
        </w:tc>
        <w:tc>
          <w:tcPr>
            <w:tcW w:w="0" w:type="auto"/>
            <w:hideMark/>
          </w:tcPr>
          <w:p w14:paraId="54FD4500" w14:textId="77777777" w:rsidR="007A51D7" w:rsidRPr="007A51D7" w:rsidRDefault="007A51D7" w:rsidP="00922FE2">
            <w:pPr>
              <w:spacing w:line="259" w:lineRule="auto"/>
              <w:rPr>
                <w:rFonts w:cstheme="minorHAnsi"/>
                <w:sz w:val="24"/>
                <w:szCs w:val="24"/>
              </w:rPr>
            </w:pPr>
            <w:r w:rsidRPr="007A51D7">
              <w:rPr>
                <w:rFonts w:cstheme="minorHAnsi"/>
                <w:sz w:val="24"/>
                <w:szCs w:val="24"/>
              </w:rPr>
              <w:t>ND</w:t>
            </w:r>
          </w:p>
        </w:tc>
        <w:tc>
          <w:tcPr>
            <w:tcW w:w="0" w:type="auto"/>
            <w:hideMark/>
          </w:tcPr>
          <w:p w14:paraId="134CE778" w14:textId="77777777" w:rsidR="007A51D7" w:rsidRPr="007A51D7" w:rsidRDefault="007A51D7" w:rsidP="00922FE2">
            <w:pPr>
              <w:spacing w:line="259" w:lineRule="auto"/>
              <w:rPr>
                <w:rFonts w:cstheme="minorHAnsi"/>
                <w:sz w:val="24"/>
                <w:szCs w:val="24"/>
              </w:rPr>
            </w:pPr>
            <w:r w:rsidRPr="007A51D7">
              <w:rPr>
                <w:rFonts w:cstheme="minorHAnsi"/>
                <w:sz w:val="24"/>
                <w:szCs w:val="24"/>
              </w:rPr>
              <w:t>1.0 ± 0.26 (n = 6)</w:t>
            </w:r>
          </w:p>
        </w:tc>
        <w:tc>
          <w:tcPr>
            <w:tcW w:w="0" w:type="auto"/>
            <w:hideMark/>
          </w:tcPr>
          <w:p w14:paraId="0858B19A" w14:textId="77777777" w:rsidR="007A51D7" w:rsidRPr="007A51D7" w:rsidRDefault="007A51D7" w:rsidP="00922FE2">
            <w:pPr>
              <w:spacing w:line="259" w:lineRule="auto"/>
              <w:rPr>
                <w:rFonts w:cstheme="minorHAnsi"/>
                <w:sz w:val="24"/>
                <w:szCs w:val="24"/>
              </w:rPr>
            </w:pPr>
            <w:r w:rsidRPr="007A51D7">
              <w:rPr>
                <w:rFonts w:cstheme="minorHAnsi"/>
                <w:sz w:val="24"/>
                <w:szCs w:val="24"/>
              </w:rPr>
              <w:t>± 0.27 (n = 6)</w:t>
            </w:r>
          </w:p>
        </w:tc>
        <w:tc>
          <w:tcPr>
            <w:tcW w:w="0" w:type="auto"/>
            <w:hideMark/>
          </w:tcPr>
          <w:p w14:paraId="4DA20D9A" w14:textId="77777777" w:rsidR="007A51D7" w:rsidRPr="007A51D7" w:rsidRDefault="007A51D7" w:rsidP="00922FE2">
            <w:pPr>
              <w:spacing w:line="259" w:lineRule="auto"/>
              <w:rPr>
                <w:rFonts w:cstheme="minorHAnsi"/>
                <w:sz w:val="24"/>
                <w:szCs w:val="24"/>
              </w:rPr>
            </w:pPr>
            <w:r w:rsidRPr="007A51D7">
              <w:rPr>
                <w:rFonts w:cstheme="minorHAnsi"/>
                <w:sz w:val="24"/>
                <w:szCs w:val="24"/>
              </w:rPr>
              <w:t>± 0.17 (n = 6)</w:t>
            </w:r>
          </w:p>
        </w:tc>
      </w:tr>
      <w:tr w:rsidR="007A51D7" w:rsidRPr="007A51D7" w14:paraId="06BB0CBF" w14:textId="77777777" w:rsidTr="00FF6744">
        <w:trPr>
          <w:jc w:val="center"/>
        </w:trPr>
        <w:tc>
          <w:tcPr>
            <w:tcW w:w="0" w:type="auto"/>
            <w:hideMark/>
          </w:tcPr>
          <w:p w14:paraId="18B6ADA0" w14:textId="77777777" w:rsidR="007A51D7" w:rsidRPr="007A51D7" w:rsidRDefault="007A51D7" w:rsidP="00922FE2">
            <w:pPr>
              <w:spacing w:line="259" w:lineRule="auto"/>
              <w:rPr>
                <w:rFonts w:cstheme="minorHAnsi"/>
                <w:sz w:val="24"/>
                <w:szCs w:val="24"/>
              </w:rPr>
            </w:pPr>
            <w:r w:rsidRPr="007A51D7">
              <w:rPr>
                <w:rFonts w:cstheme="minorHAnsi"/>
                <w:sz w:val="24"/>
                <w:szCs w:val="24"/>
              </w:rPr>
              <w:t>WT hyperoxia</w:t>
            </w:r>
          </w:p>
        </w:tc>
        <w:tc>
          <w:tcPr>
            <w:tcW w:w="0" w:type="auto"/>
            <w:hideMark/>
          </w:tcPr>
          <w:p w14:paraId="332F7F42" w14:textId="77777777" w:rsidR="007A51D7" w:rsidRPr="007A51D7" w:rsidRDefault="007A51D7" w:rsidP="00922FE2">
            <w:pPr>
              <w:rPr>
                <w:rFonts w:cstheme="minorHAnsi"/>
                <w:sz w:val="24"/>
                <w:szCs w:val="24"/>
              </w:rPr>
            </w:pPr>
            <w:r w:rsidRPr="007A51D7">
              <w:rPr>
                <w:rFonts w:cstheme="minorHAnsi"/>
                <w:sz w:val="24"/>
                <w:szCs w:val="24"/>
              </w:rPr>
              <w:t>6.07 ± 0.16</w:t>
            </w:r>
            <w:r w:rsidRPr="007A51D7">
              <w:rPr>
                <w:rFonts w:ascii="Cambria Math" w:hAnsi="Cambria Math" w:cs="Cambria Math"/>
                <w:sz w:val="24"/>
                <w:szCs w:val="24"/>
                <w:vertAlign w:val="superscript"/>
              </w:rPr>
              <w:t>∗</w:t>
            </w:r>
            <w:r w:rsidRPr="007A51D7">
              <w:rPr>
                <w:rFonts w:cstheme="minorHAnsi"/>
                <w:sz w:val="24"/>
                <w:szCs w:val="24"/>
              </w:rPr>
              <w:t> (n = 15)</w:t>
            </w:r>
          </w:p>
        </w:tc>
        <w:tc>
          <w:tcPr>
            <w:tcW w:w="0" w:type="auto"/>
            <w:hideMark/>
          </w:tcPr>
          <w:p w14:paraId="4031E04B" w14:textId="77777777" w:rsidR="007A51D7" w:rsidRPr="007A51D7" w:rsidRDefault="007A51D7" w:rsidP="00922FE2">
            <w:pPr>
              <w:spacing w:line="259" w:lineRule="auto"/>
              <w:rPr>
                <w:rFonts w:cstheme="minorHAnsi"/>
                <w:sz w:val="24"/>
                <w:szCs w:val="24"/>
              </w:rPr>
            </w:pPr>
            <w:r w:rsidRPr="007A51D7">
              <w:rPr>
                <w:rFonts w:cstheme="minorHAnsi"/>
                <w:sz w:val="24"/>
                <w:szCs w:val="24"/>
              </w:rPr>
              <w:t>3.53 ± 0.79 (n = 16)</w:t>
            </w:r>
          </w:p>
        </w:tc>
        <w:tc>
          <w:tcPr>
            <w:tcW w:w="0" w:type="auto"/>
            <w:hideMark/>
          </w:tcPr>
          <w:p w14:paraId="54766481" w14:textId="77777777" w:rsidR="007A51D7" w:rsidRPr="007A51D7" w:rsidRDefault="007A51D7" w:rsidP="00922FE2">
            <w:pPr>
              <w:spacing w:line="259" w:lineRule="auto"/>
              <w:rPr>
                <w:rFonts w:cstheme="minorHAnsi"/>
                <w:sz w:val="24"/>
                <w:szCs w:val="24"/>
              </w:rPr>
            </w:pPr>
            <w:r w:rsidRPr="007A51D7">
              <w:rPr>
                <w:rFonts w:cstheme="minorHAnsi"/>
                <w:sz w:val="24"/>
                <w:szCs w:val="24"/>
              </w:rPr>
              <w:t>2.45 ± 0.35</w:t>
            </w:r>
            <w:r w:rsidRPr="007A51D7">
              <w:rPr>
                <w:rFonts w:ascii="Cambria Math" w:hAnsi="Cambria Math" w:cs="Cambria Math"/>
                <w:sz w:val="24"/>
                <w:szCs w:val="24"/>
                <w:vertAlign w:val="superscript"/>
              </w:rPr>
              <w:t>∗</w:t>
            </w:r>
            <w:r w:rsidRPr="007A51D7">
              <w:rPr>
                <w:rFonts w:cstheme="minorHAnsi"/>
                <w:sz w:val="24"/>
                <w:szCs w:val="24"/>
              </w:rPr>
              <w:t> (n = 6)</w:t>
            </w:r>
          </w:p>
        </w:tc>
        <w:tc>
          <w:tcPr>
            <w:tcW w:w="0" w:type="auto"/>
            <w:hideMark/>
          </w:tcPr>
          <w:p w14:paraId="5CFA78BC" w14:textId="77777777" w:rsidR="007A51D7" w:rsidRPr="007A51D7" w:rsidRDefault="007A51D7" w:rsidP="00922FE2">
            <w:pPr>
              <w:spacing w:line="259" w:lineRule="auto"/>
              <w:rPr>
                <w:rFonts w:cstheme="minorHAnsi"/>
                <w:sz w:val="24"/>
                <w:szCs w:val="24"/>
              </w:rPr>
            </w:pPr>
            <w:r w:rsidRPr="007A51D7">
              <w:rPr>
                <w:rFonts w:cstheme="minorHAnsi"/>
                <w:sz w:val="24"/>
                <w:szCs w:val="24"/>
              </w:rPr>
              <w:t>3.41 ± 0.36</w:t>
            </w:r>
            <w:r w:rsidRPr="007A51D7">
              <w:rPr>
                <w:rFonts w:ascii="Cambria Math" w:hAnsi="Cambria Math" w:cs="Cambria Math"/>
                <w:sz w:val="24"/>
                <w:szCs w:val="24"/>
                <w:vertAlign w:val="superscript"/>
              </w:rPr>
              <w:t>∗</w:t>
            </w:r>
            <w:r w:rsidRPr="007A51D7">
              <w:rPr>
                <w:rFonts w:cstheme="minorHAnsi"/>
                <w:sz w:val="24"/>
                <w:szCs w:val="24"/>
              </w:rPr>
              <w:t> (n = 6)</w:t>
            </w:r>
          </w:p>
        </w:tc>
        <w:tc>
          <w:tcPr>
            <w:tcW w:w="0" w:type="auto"/>
            <w:hideMark/>
          </w:tcPr>
          <w:p w14:paraId="0FF6B644" w14:textId="77777777" w:rsidR="007A51D7" w:rsidRPr="007A51D7" w:rsidRDefault="007A51D7" w:rsidP="00922FE2">
            <w:pPr>
              <w:spacing w:line="259" w:lineRule="auto"/>
              <w:rPr>
                <w:rFonts w:cstheme="minorHAnsi"/>
                <w:sz w:val="24"/>
                <w:szCs w:val="24"/>
              </w:rPr>
            </w:pPr>
            <w:r w:rsidRPr="007A51D7">
              <w:rPr>
                <w:rFonts w:cstheme="minorHAnsi"/>
                <w:sz w:val="24"/>
                <w:szCs w:val="24"/>
              </w:rPr>
              <w:t>1.92 ± 0.28</w:t>
            </w:r>
            <w:r w:rsidRPr="007A51D7">
              <w:rPr>
                <w:rFonts w:ascii="Cambria Math" w:hAnsi="Cambria Math" w:cs="Cambria Math"/>
                <w:sz w:val="24"/>
                <w:szCs w:val="24"/>
                <w:vertAlign w:val="superscript"/>
              </w:rPr>
              <w:t>∗</w:t>
            </w:r>
            <w:r w:rsidRPr="007A51D7">
              <w:rPr>
                <w:rFonts w:cstheme="minorHAnsi"/>
                <w:sz w:val="24"/>
                <w:szCs w:val="24"/>
              </w:rPr>
              <w:t> (n = 6)</w:t>
            </w:r>
          </w:p>
        </w:tc>
      </w:tr>
      <w:tr w:rsidR="007A51D7" w:rsidRPr="007A51D7" w14:paraId="6CE21B9D" w14:textId="77777777" w:rsidTr="00FF6744">
        <w:trPr>
          <w:jc w:val="center"/>
        </w:trPr>
        <w:tc>
          <w:tcPr>
            <w:tcW w:w="0" w:type="auto"/>
            <w:hideMark/>
          </w:tcPr>
          <w:p w14:paraId="50E4BE26" w14:textId="77777777" w:rsidR="007A51D7" w:rsidRPr="007A51D7" w:rsidRDefault="007A51D7" w:rsidP="00922FE2">
            <w:pPr>
              <w:spacing w:line="259" w:lineRule="auto"/>
              <w:rPr>
                <w:rFonts w:cstheme="minorHAnsi"/>
                <w:sz w:val="24"/>
                <w:szCs w:val="24"/>
              </w:rPr>
            </w:pPr>
            <w:r w:rsidRPr="007A51D7">
              <w:rPr>
                <w:rFonts w:cstheme="minorHAnsi"/>
                <w:sz w:val="24"/>
                <w:szCs w:val="24"/>
              </w:rPr>
              <w:t>KO normoxia</w:t>
            </w:r>
          </w:p>
        </w:tc>
        <w:tc>
          <w:tcPr>
            <w:tcW w:w="0" w:type="auto"/>
            <w:hideMark/>
          </w:tcPr>
          <w:p w14:paraId="725F8B92" w14:textId="77777777" w:rsidR="007A51D7" w:rsidRPr="007A51D7" w:rsidRDefault="007A51D7" w:rsidP="00922FE2">
            <w:pPr>
              <w:rPr>
                <w:rFonts w:cstheme="minorHAnsi"/>
                <w:sz w:val="24"/>
                <w:szCs w:val="24"/>
              </w:rPr>
            </w:pPr>
            <w:r w:rsidRPr="007A51D7">
              <w:rPr>
                <w:rFonts w:cstheme="minorHAnsi"/>
                <w:sz w:val="24"/>
                <w:szCs w:val="24"/>
              </w:rPr>
              <w:t>5.35 ± 0.23 (n = 8)</w:t>
            </w:r>
          </w:p>
        </w:tc>
        <w:tc>
          <w:tcPr>
            <w:tcW w:w="0" w:type="auto"/>
            <w:hideMark/>
          </w:tcPr>
          <w:p w14:paraId="567A6316" w14:textId="77777777" w:rsidR="007A51D7" w:rsidRPr="007A51D7" w:rsidRDefault="007A51D7" w:rsidP="00922FE2">
            <w:pPr>
              <w:spacing w:line="259" w:lineRule="auto"/>
              <w:rPr>
                <w:rFonts w:cstheme="minorHAnsi"/>
                <w:sz w:val="24"/>
                <w:szCs w:val="24"/>
              </w:rPr>
            </w:pPr>
            <w:r w:rsidRPr="007A51D7">
              <w:rPr>
                <w:rFonts w:cstheme="minorHAnsi"/>
                <w:sz w:val="24"/>
                <w:szCs w:val="24"/>
              </w:rPr>
              <w:t>ND</w:t>
            </w:r>
          </w:p>
        </w:tc>
        <w:tc>
          <w:tcPr>
            <w:tcW w:w="0" w:type="auto"/>
            <w:hideMark/>
          </w:tcPr>
          <w:p w14:paraId="3038375B" w14:textId="77777777" w:rsidR="007A51D7" w:rsidRPr="007A51D7" w:rsidRDefault="007A51D7" w:rsidP="00922FE2">
            <w:pPr>
              <w:spacing w:line="259" w:lineRule="auto"/>
              <w:rPr>
                <w:rFonts w:cstheme="minorHAnsi"/>
                <w:sz w:val="24"/>
                <w:szCs w:val="24"/>
              </w:rPr>
            </w:pPr>
            <w:r w:rsidRPr="007A51D7">
              <w:rPr>
                <w:rFonts w:cstheme="minorHAnsi"/>
                <w:sz w:val="24"/>
                <w:szCs w:val="24"/>
              </w:rPr>
              <w:t>1.0 ± 0.36 (n = 4)</w:t>
            </w:r>
          </w:p>
        </w:tc>
        <w:tc>
          <w:tcPr>
            <w:tcW w:w="0" w:type="auto"/>
            <w:hideMark/>
          </w:tcPr>
          <w:p w14:paraId="77B07B44" w14:textId="77777777" w:rsidR="007A51D7" w:rsidRPr="007A51D7" w:rsidRDefault="007A51D7" w:rsidP="00922FE2">
            <w:pPr>
              <w:spacing w:line="259" w:lineRule="auto"/>
              <w:rPr>
                <w:rFonts w:cstheme="minorHAnsi"/>
                <w:sz w:val="24"/>
                <w:szCs w:val="24"/>
              </w:rPr>
            </w:pPr>
            <w:r w:rsidRPr="007A51D7">
              <w:rPr>
                <w:rFonts w:cstheme="minorHAnsi"/>
                <w:sz w:val="24"/>
                <w:szCs w:val="24"/>
              </w:rPr>
              <w:t>± 0.28 (n = 3)</w:t>
            </w:r>
          </w:p>
        </w:tc>
        <w:tc>
          <w:tcPr>
            <w:tcW w:w="0" w:type="auto"/>
            <w:hideMark/>
          </w:tcPr>
          <w:p w14:paraId="4875DE68" w14:textId="77777777" w:rsidR="007A51D7" w:rsidRPr="007A51D7" w:rsidRDefault="007A51D7" w:rsidP="00922FE2">
            <w:pPr>
              <w:spacing w:line="259" w:lineRule="auto"/>
              <w:rPr>
                <w:rFonts w:cstheme="minorHAnsi"/>
                <w:sz w:val="24"/>
                <w:szCs w:val="24"/>
              </w:rPr>
            </w:pPr>
            <w:r w:rsidRPr="007A51D7">
              <w:rPr>
                <w:rFonts w:cstheme="minorHAnsi"/>
                <w:sz w:val="24"/>
                <w:szCs w:val="24"/>
              </w:rPr>
              <w:t>± 0.32 (n = 4)</w:t>
            </w:r>
          </w:p>
        </w:tc>
      </w:tr>
      <w:tr w:rsidR="007A51D7" w:rsidRPr="007A51D7" w14:paraId="5FF33484" w14:textId="77777777" w:rsidTr="00FF6744">
        <w:trPr>
          <w:jc w:val="center"/>
        </w:trPr>
        <w:tc>
          <w:tcPr>
            <w:tcW w:w="0" w:type="auto"/>
            <w:hideMark/>
          </w:tcPr>
          <w:p w14:paraId="394A3C17" w14:textId="77777777" w:rsidR="007A51D7" w:rsidRPr="007A51D7" w:rsidRDefault="007A51D7" w:rsidP="00922FE2">
            <w:pPr>
              <w:spacing w:line="259" w:lineRule="auto"/>
              <w:rPr>
                <w:rFonts w:cstheme="minorHAnsi"/>
                <w:sz w:val="24"/>
                <w:szCs w:val="24"/>
              </w:rPr>
            </w:pPr>
            <w:r w:rsidRPr="007A51D7">
              <w:rPr>
                <w:rFonts w:cstheme="minorHAnsi"/>
                <w:sz w:val="24"/>
                <w:szCs w:val="24"/>
              </w:rPr>
              <w:t>KO hyperoxia</w:t>
            </w:r>
          </w:p>
        </w:tc>
        <w:tc>
          <w:tcPr>
            <w:tcW w:w="0" w:type="auto"/>
            <w:hideMark/>
          </w:tcPr>
          <w:p w14:paraId="6FF0011D" w14:textId="77777777" w:rsidR="007A51D7" w:rsidRPr="007A51D7" w:rsidRDefault="007A51D7" w:rsidP="00922FE2">
            <w:pPr>
              <w:rPr>
                <w:rFonts w:cstheme="minorHAnsi"/>
                <w:sz w:val="24"/>
                <w:szCs w:val="24"/>
              </w:rPr>
            </w:pPr>
            <w:r w:rsidRPr="007A51D7">
              <w:rPr>
                <w:rFonts w:cstheme="minorHAnsi"/>
                <w:sz w:val="24"/>
                <w:szCs w:val="24"/>
              </w:rPr>
              <w:t>5.96 ± 0.12</w:t>
            </w:r>
            <w:r w:rsidRPr="007A51D7">
              <w:rPr>
                <w:rFonts w:ascii="Cambria Math" w:hAnsi="Cambria Math" w:cs="Cambria Math"/>
                <w:sz w:val="24"/>
                <w:szCs w:val="24"/>
                <w:vertAlign w:val="superscript"/>
              </w:rPr>
              <w:t>∗</w:t>
            </w:r>
            <w:r w:rsidRPr="007A51D7">
              <w:rPr>
                <w:rFonts w:cstheme="minorHAnsi"/>
                <w:sz w:val="24"/>
                <w:szCs w:val="24"/>
              </w:rPr>
              <w:t> (n = 17)</w:t>
            </w:r>
          </w:p>
        </w:tc>
        <w:tc>
          <w:tcPr>
            <w:tcW w:w="0" w:type="auto"/>
            <w:hideMark/>
          </w:tcPr>
          <w:p w14:paraId="6567AFAB" w14:textId="77777777" w:rsidR="007A51D7" w:rsidRPr="007A51D7" w:rsidRDefault="007A51D7" w:rsidP="00922FE2">
            <w:pPr>
              <w:spacing w:line="259" w:lineRule="auto"/>
              <w:rPr>
                <w:rFonts w:cstheme="minorHAnsi"/>
                <w:sz w:val="24"/>
                <w:szCs w:val="24"/>
              </w:rPr>
            </w:pPr>
            <w:r w:rsidRPr="007A51D7">
              <w:rPr>
                <w:rFonts w:cstheme="minorHAnsi"/>
                <w:sz w:val="24"/>
                <w:szCs w:val="24"/>
              </w:rPr>
              <w:t>3.82 ± 1.02 (n = 14)</w:t>
            </w:r>
          </w:p>
        </w:tc>
        <w:tc>
          <w:tcPr>
            <w:tcW w:w="0" w:type="auto"/>
            <w:hideMark/>
          </w:tcPr>
          <w:p w14:paraId="55CB0FF5" w14:textId="77777777" w:rsidR="007A51D7" w:rsidRPr="007A51D7" w:rsidRDefault="007A51D7" w:rsidP="00922FE2">
            <w:pPr>
              <w:spacing w:line="259" w:lineRule="auto"/>
              <w:rPr>
                <w:rFonts w:cstheme="minorHAnsi"/>
                <w:sz w:val="24"/>
                <w:szCs w:val="24"/>
              </w:rPr>
            </w:pPr>
            <w:r w:rsidRPr="007A51D7">
              <w:rPr>
                <w:rFonts w:cstheme="minorHAnsi"/>
                <w:sz w:val="24"/>
                <w:szCs w:val="24"/>
              </w:rPr>
              <w:t>6.45 ± 1.67</w:t>
            </w:r>
            <w:r w:rsidRPr="007A51D7">
              <w:rPr>
                <w:rFonts w:ascii="Cambria Math" w:hAnsi="Cambria Math" w:cs="Cambria Math"/>
                <w:sz w:val="24"/>
                <w:szCs w:val="24"/>
                <w:vertAlign w:val="superscript"/>
              </w:rPr>
              <w:t>∗</w:t>
            </w:r>
            <w:r w:rsidRPr="007A51D7">
              <w:rPr>
                <w:rFonts w:cstheme="minorHAnsi"/>
                <w:sz w:val="24"/>
                <w:szCs w:val="24"/>
              </w:rPr>
              <w:t> </w:t>
            </w:r>
            <w:r w:rsidRPr="007A51D7">
              <w:rPr>
                <w:rFonts w:cstheme="minorHAnsi"/>
                <w:sz w:val="24"/>
                <w:szCs w:val="24"/>
                <w:vertAlign w:val="superscript"/>
              </w:rPr>
              <w:t>,</w:t>
            </w:r>
            <w:r w:rsidRPr="007A51D7">
              <w:rPr>
                <w:rFonts w:cstheme="minorHAnsi"/>
                <w:sz w:val="24"/>
                <w:szCs w:val="24"/>
              </w:rPr>
              <w:t> </w:t>
            </w:r>
            <w:r w:rsidRPr="007A51D7">
              <w:rPr>
                <w:rFonts w:cstheme="minorHAnsi"/>
                <w:sz w:val="24"/>
                <w:szCs w:val="24"/>
                <w:vertAlign w:val="superscript"/>
              </w:rPr>
              <w:t>†</w:t>
            </w:r>
            <w:r w:rsidRPr="007A51D7">
              <w:rPr>
                <w:rFonts w:cstheme="minorHAnsi"/>
                <w:sz w:val="24"/>
                <w:szCs w:val="24"/>
              </w:rPr>
              <w:t> (n = 6)</w:t>
            </w:r>
          </w:p>
        </w:tc>
        <w:tc>
          <w:tcPr>
            <w:tcW w:w="0" w:type="auto"/>
            <w:hideMark/>
          </w:tcPr>
          <w:p w14:paraId="6A3005DD" w14:textId="77777777" w:rsidR="007A51D7" w:rsidRPr="007A51D7" w:rsidRDefault="007A51D7" w:rsidP="00922FE2">
            <w:pPr>
              <w:spacing w:line="259" w:lineRule="auto"/>
              <w:rPr>
                <w:rFonts w:cstheme="minorHAnsi"/>
                <w:sz w:val="24"/>
                <w:szCs w:val="24"/>
              </w:rPr>
            </w:pPr>
            <w:r w:rsidRPr="007A51D7">
              <w:rPr>
                <w:rFonts w:cstheme="minorHAnsi"/>
                <w:sz w:val="24"/>
                <w:szCs w:val="24"/>
              </w:rPr>
              <w:t>3.13 ± 0.37</w:t>
            </w:r>
            <w:r w:rsidRPr="007A51D7">
              <w:rPr>
                <w:rFonts w:ascii="Cambria Math" w:hAnsi="Cambria Math" w:cs="Cambria Math"/>
                <w:sz w:val="24"/>
                <w:szCs w:val="24"/>
                <w:vertAlign w:val="superscript"/>
              </w:rPr>
              <w:t>∗</w:t>
            </w:r>
            <w:r w:rsidRPr="007A51D7">
              <w:rPr>
                <w:rFonts w:cstheme="minorHAnsi"/>
                <w:sz w:val="24"/>
                <w:szCs w:val="24"/>
              </w:rPr>
              <w:t> (n = 6)</w:t>
            </w:r>
          </w:p>
        </w:tc>
        <w:tc>
          <w:tcPr>
            <w:tcW w:w="0" w:type="auto"/>
            <w:hideMark/>
          </w:tcPr>
          <w:p w14:paraId="4F5DE3A6" w14:textId="77777777" w:rsidR="007A51D7" w:rsidRPr="007A51D7" w:rsidRDefault="007A51D7" w:rsidP="00922FE2">
            <w:pPr>
              <w:spacing w:line="259" w:lineRule="auto"/>
              <w:rPr>
                <w:rFonts w:cstheme="minorHAnsi"/>
                <w:sz w:val="24"/>
                <w:szCs w:val="24"/>
              </w:rPr>
            </w:pPr>
            <w:r w:rsidRPr="007A51D7">
              <w:rPr>
                <w:rFonts w:cstheme="minorHAnsi"/>
                <w:sz w:val="24"/>
                <w:szCs w:val="24"/>
              </w:rPr>
              <w:t>4.95 ± 1.05</w:t>
            </w:r>
            <w:r w:rsidRPr="007A51D7">
              <w:rPr>
                <w:rFonts w:ascii="Cambria Math" w:hAnsi="Cambria Math" w:cs="Cambria Math"/>
                <w:sz w:val="24"/>
                <w:szCs w:val="24"/>
                <w:vertAlign w:val="superscript"/>
              </w:rPr>
              <w:t>∗</w:t>
            </w:r>
            <w:r w:rsidRPr="007A51D7">
              <w:rPr>
                <w:rFonts w:cstheme="minorHAnsi"/>
                <w:sz w:val="24"/>
                <w:szCs w:val="24"/>
              </w:rPr>
              <w:t>,</w:t>
            </w:r>
            <w:r w:rsidRPr="007A51D7">
              <w:rPr>
                <w:rFonts w:cstheme="minorHAnsi"/>
                <w:sz w:val="24"/>
                <w:szCs w:val="24"/>
                <w:vertAlign w:val="superscript"/>
              </w:rPr>
              <w:t>†</w:t>
            </w:r>
            <w:r w:rsidRPr="007A51D7">
              <w:rPr>
                <w:rFonts w:cstheme="minorHAnsi"/>
                <w:sz w:val="24"/>
                <w:szCs w:val="24"/>
              </w:rPr>
              <w:t> (n = 6)</w:t>
            </w:r>
          </w:p>
        </w:tc>
      </w:tr>
    </w:tbl>
    <w:p w14:paraId="1032844C" w14:textId="77777777" w:rsidR="007A51D7" w:rsidRPr="007A51D7" w:rsidRDefault="007A51D7" w:rsidP="00FF6744">
      <w:pPr>
        <w:pStyle w:val="NoSpacing"/>
      </w:pPr>
      <w:r w:rsidRPr="007A51D7">
        <w:t>3-NT indicates 3-nitrotyrosine; MPO, myloperoxidase; IL-1β, interleukin-1β.3-NT, MPO, and IL-1β band density normalized to β actin and resulting values normalized to corresponding normoxia values. n = number of rats. ND, not detectable. Values are mean ± SE.</w:t>
      </w:r>
    </w:p>
    <w:p w14:paraId="7D0A1100" w14:textId="77777777" w:rsidR="007A51D7" w:rsidRPr="007A51D7" w:rsidRDefault="007A51D7" w:rsidP="00FF6744">
      <w:pPr>
        <w:pStyle w:val="NoSpacing"/>
      </w:pPr>
      <w:r w:rsidRPr="007A51D7">
        <w:rPr>
          <w:rFonts w:ascii="Cambria Math" w:hAnsi="Cambria Math" w:cs="Cambria Math"/>
          <w:vertAlign w:val="superscript"/>
        </w:rPr>
        <w:t>∗</w:t>
      </w:r>
      <w:r w:rsidRPr="007A51D7">
        <w:t>Different from normoxia.</w:t>
      </w:r>
    </w:p>
    <w:p w14:paraId="280B2C96" w14:textId="34985158" w:rsidR="007A51D7" w:rsidRDefault="007A51D7" w:rsidP="00FF6744">
      <w:pPr>
        <w:pStyle w:val="NoSpacing"/>
      </w:pPr>
      <w:r w:rsidRPr="007A51D7">
        <w:rPr>
          <w:vertAlign w:val="superscript"/>
        </w:rPr>
        <w:t>†</w:t>
      </w:r>
      <w:r w:rsidRPr="007A51D7">
        <w:t>Different from WT hyperoxia (</w:t>
      </w:r>
      <w:r w:rsidRPr="007A51D7">
        <w:rPr>
          <w:i/>
          <w:iCs/>
        </w:rPr>
        <w:t>P</w:t>
      </w:r>
      <w:r w:rsidRPr="007A51D7">
        <w:t> &lt; 0.05).</w:t>
      </w:r>
    </w:p>
    <w:p w14:paraId="7B4E038E" w14:textId="77777777" w:rsidR="00FF6744" w:rsidRPr="007A51D7" w:rsidRDefault="00FF6744" w:rsidP="00FF6744">
      <w:pPr>
        <w:pStyle w:val="NoSpacing"/>
      </w:pPr>
    </w:p>
    <w:p w14:paraId="4FBA42EB" w14:textId="201E400D" w:rsidR="007A51D7" w:rsidRPr="007A51D7" w:rsidRDefault="007A51D7" w:rsidP="007A51D7">
      <w:pPr>
        <w:rPr>
          <w:rFonts w:cstheme="minorHAnsi"/>
          <w:sz w:val="24"/>
          <w:szCs w:val="24"/>
        </w:rPr>
      </w:pPr>
      <w:r w:rsidRPr="007A51D7">
        <w:rPr>
          <w:rFonts w:cstheme="minorHAnsi"/>
          <w:sz w:val="24"/>
          <w:szCs w:val="24"/>
        </w:rPr>
        <w:t>The lung vascular endothelial filtration coefficient (</w:t>
      </w:r>
      <w:r w:rsidRPr="007A51D7">
        <w:rPr>
          <w:rFonts w:cstheme="minorHAnsi"/>
          <w:i/>
          <w:iCs/>
          <w:sz w:val="24"/>
          <w:szCs w:val="24"/>
        </w:rPr>
        <w:t>K</w:t>
      </w:r>
      <w:r w:rsidRPr="007A51D7">
        <w:rPr>
          <w:rFonts w:cstheme="minorHAnsi"/>
          <w:i/>
          <w:iCs/>
          <w:sz w:val="24"/>
          <w:szCs w:val="24"/>
          <w:vertAlign w:val="subscript"/>
        </w:rPr>
        <w:t>f</w:t>
      </w:r>
      <w:r w:rsidRPr="007A51D7">
        <w:rPr>
          <w:rFonts w:cstheme="minorHAnsi"/>
          <w:sz w:val="24"/>
          <w:szCs w:val="24"/>
        </w:rPr>
        <w:t>) was elevated in both the WT and KO rats after 48 h of hyperoxia (</w:t>
      </w:r>
      <w:r w:rsidRPr="00922FE2">
        <w:rPr>
          <w:rFonts w:cstheme="minorHAnsi"/>
          <w:sz w:val="24"/>
          <w:szCs w:val="24"/>
        </w:rPr>
        <w:t>Fig. 1</w:t>
      </w:r>
      <w:r w:rsidRPr="007A51D7">
        <w:rPr>
          <w:rFonts w:cstheme="minorHAnsi"/>
          <w:sz w:val="24"/>
          <w:szCs w:val="24"/>
        </w:rPr>
        <w:t xml:space="preserve">) compared to </w:t>
      </w:r>
      <w:proofErr w:type="spellStart"/>
      <w:r w:rsidRPr="007A51D7">
        <w:rPr>
          <w:rFonts w:cstheme="minorHAnsi"/>
          <w:sz w:val="24"/>
          <w:szCs w:val="24"/>
        </w:rPr>
        <w:t>normoxia</w:t>
      </w:r>
      <w:proofErr w:type="spellEnd"/>
      <w:r w:rsidRPr="007A51D7">
        <w:rPr>
          <w:rFonts w:cstheme="minorHAnsi"/>
          <w:sz w:val="24"/>
          <w:szCs w:val="24"/>
        </w:rPr>
        <w:t>. However, the hyperoxia-induced increase in </w:t>
      </w:r>
      <w:r w:rsidRPr="007A51D7">
        <w:rPr>
          <w:rFonts w:cstheme="minorHAnsi"/>
          <w:i/>
          <w:iCs/>
          <w:sz w:val="24"/>
          <w:szCs w:val="24"/>
        </w:rPr>
        <w:t>K</w:t>
      </w:r>
      <w:r w:rsidRPr="007A51D7">
        <w:rPr>
          <w:rFonts w:cstheme="minorHAnsi"/>
          <w:i/>
          <w:iCs/>
          <w:sz w:val="24"/>
          <w:szCs w:val="24"/>
          <w:vertAlign w:val="subscript"/>
        </w:rPr>
        <w:t>f</w:t>
      </w:r>
      <w:r w:rsidRPr="007A51D7">
        <w:rPr>
          <w:rFonts w:cstheme="minorHAnsi"/>
          <w:sz w:val="24"/>
          <w:szCs w:val="24"/>
        </w:rPr>
        <w:t xml:space="preserve"> was </w:t>
      </w:r>
      <w:r w:rsidRPr="007A51D7">
        <w:rPr>
          <w:rFonts w:ascii="Cambria Math" w:hAnsi="Cambria Math" w:cs="Cambria Math"/>
          <w:sz w:val="24"/>
          <w:szCs w:val="24"/>
        </w:rPr>
        <w:t>∼</w:t>
      </w:r>
      <w:r w:rsidRPr="007A51D7">
        <w:rPr>
          <w:rFonts w:cstheme="minorHAnsi"/>
          <w:sz w:val="24"/>
          <w:szCs w:val="24"/>
        </w:rPr>
        <w:t>50% greater in the KO group than the WT group.</w:t>
      </w:r>
    </w:p>
    <w:p w14:paraId="2EDB7D4A" w14:textId="77777777" w:rsidR="00FF6744" w:rsidRDefault="007A51D7" w:rsidP="00FF6744">
      <w:pPr>
        <w:pStyle w:val="NoSpacing"/>
      </w:pPr>
      <w:r w:rsidRPr="007A51D7">
        <w:rPr>
          <w:noProof/>
        </w:rPr>
        <w:drawing>
          <wp:inline distT="0" distB="0" distL="0" distR="0" wp14:anchorId="3F14544A" wp14:editId="5ACCDF90">
            <wp:extent cx="3008194" cy="2628900"/>
            <wp:effectExtent l="0" t="0" r="1905" b="0"/>
            <wp:docPr id="3" name="Picture 3" descr="Figure 1. Bar graph showing (L to R) WT normoxia, WT hyperoxia, KO normoxia, and KO hyperoxia. More detail in caption belo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Bar graph showing (L to R) WT normoxia, WT hyperoxia, KO normoxia, and KO hyperoxia. More detail in caption below.">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7151" cy="2636727"/>
                    </a:xfrm>
                    <a:prstGeom prst="rect">
                      <a:avLst/>
                    </a:prstGeom>
                    <a:noFill/>
                    <a:ln>
                      <a:noFill/>
                    </a:ln>
                  </pic:spPr>
                </pic:pic>
              </a:graphicData>
            </a:graphic>
          </wp:inline>
        </w:drawing>
      </w:r>
    </w:p>
    <w:p w14:paraId="799B562E" w14:textId="4806DB0C" w:rsidR="007A51D7" w:rsidRDefault="007A51D7" w:rsidP="00FF6744">
      <w:pPr>
        <w:pStyle w:val="NoSpacing"/>
      </w:pPr>
      <w:r w:rsidRPr="00922FE2">
        <w:rPr>
          <w:rFonts w:cstheme="minorHAnsi"/>
          <w:b/>
          <w:bCs/>
          <w:sz w:val="24"/>
          <w:szCs w:val="24"/>
        </w:rPr>
        <w:t>Fig. 1: </w:t>
      </w:r>
      <w:r w:rsidRPr="007A51D7">
        <w:t>Pulmonary vascular endothelial filtration coefficient, </w:t>
      </w:r>
      <w:r w:rsidRPr="007A51D7">
        <w:rPr>
          <w:i/>
          <w:iCs/>
        </w:rPr>
        <w:t>K</w:t>
      </w:r>
      <w:r w:rsidRPr="007A51D7">
        <w:t> </w:t>
      </w:r>
      <w:r w:rsidRPr="007A51D7">
        <w:rPr>
          <w:i/>
          <w:iCs/>
          <w:vertAlign w:val="subscript"/>
        </w:rPr>
        <w:t>f</w:t>
      </w:r>
      <w:r w:rsidRPr="007A51D7">
        <w:t>, in lungs of wild-type (WT) and knockout (KO) rats exposed to normoxia or hyperoxia. </w:t>
      </w:r>
      <w:r w:rsidRPr="007A51D7">
        <w:rPr>
          <w:rFonts w:ascii="Cambria Math" w:hAnsi="Cambria Math" w:cs="Cambria Math"/>
          <w:vertAlign w:val="superscript"/>
        </w:rPr>
        <w:t>∗</w:t>
      </w:r>
      <w:r w:rsidRPr="007A51D7">
        <w:t> Different between normoxia and hyperoxia. </w:t>
      </w:r>
      <w:r w:rsidRPr="007A51D7">
        <w:rPr>
          <w:vertAlign w:val="superscript"/>
        </w:rPr>
        <w:t>&amp;</w:t>
      </w:r>
      <w:r w:rsidRPr="007A51D7">
        <w:t> Different between WT hyperoxia and KO hyperoxia. n = number of rats: WT normoxia</w:t>
      </w:r>
      <w:r w:rsidRPr="007A51D7">
        <w:rPr>
          <w:vertAlign w:val="superscript"/>
        </w:rPr>
        <w:t>4</w:t>
      </w:r>
      <w:r w:rsidRPr="007A51D7">
        <w:t>, WT hyperoxia</w:t>
      </w:r>
      <w:r w:rsidRPr="007A51D7">
        <w:rPr>
          <w:vertAlign w:val="superscript"/>
        </w:rPr>
        <w:t>4</w:t>
      </w:r>
      <w:r w:rsidRPr="007A51D7">
        <w:t>, KO normoxia</w:t>
      </w:r>
      <w:r w:rsidRPr="007A51D7">
        <w:rPr>
          <w:vertAlign w:val="superscript"/>
        </w:rPr>
        <w:t>3</w:t>
      </w:r>
      <w:r w:rsidRPr="007A51D7">
        <w:t>, and KO hyperoxia</w:t>
      </w:r>
      <w:r w:rsidRPr="007A51D7">
        <w:rPr>
          <w:vertAlign w:val="superscript"/>
        </w:rPr>
        <w:t>4</w:t>
      </w:r>
      <w:r w:rsidRPr="007A51D7">
        <w:t>.</w:t>
      </w:r>
    </w:p>
    <w:p w14:paraId="46F5B163" w14:textId="77777777" w:rsidR="00FF6744" w:rsidRPr="007A51D7" w:rsidRDefault="00FF6744" w:rsidP="00FF6744">
      <w:pPr>
        <w:pStyle w:val="NoSpacing"/>
      </w:pPr>
    </w:p>
    <w:p w14:paraId="574620F7" w14:textId="77777777" w:rsidR="007A51D7" w:rsidRPr="007A51D7" w:rsidRDefault="007A51D7" w:rsidP="00FF6744">
      <w:pPr>
        <w:pStyle w:val="Heading2"/>
      </w:pPr>
      <w:r w:rsidRPr="007A51D7">
        <w:t>Histology</w:t>
      </w:r>
    </w:p>
    <w:p w14:paraId="386B801E" w14:textId="5032130F" w:rsidR="007A51D7" w:rsidRPr="007A51D7" w:rsidRDefault="007A51D7" w:rsidP="007A51D7">
      <w:pPr>
        <w:rPr>
          <w:rFonts w:cstheme="minorHAnsi"/>
          <w:sz w:val="24"/>
          <w:szCs w:val="24"/>
        </w:rPr>
      </w:pPr>
      <w:r w:rsidRPr="007A51D7">
        <w:rPr>
          <w:rFonts w:cstheme="minorHAnsi"/>
          <w:sz w:val="24"/>
          <w:szCs w:val="24"/>
        </w:rPr>
        <w:t>Images of representative lung sections stained with H&amp;E appear in </w:t>
      </w:r>
      <w:r w:rsidRPr="00922FE2">
        <w:rPr>
          <w:rFonts w:cstheme="minorHAnsi"/>
          <w:sz w:val="24"/>
          <w:szCs w:val="24"/>
        </w:rPr>
        <w:t>Figure 2</w:t>
      </w:r>
      <w:r w:rsidRPr="007A51D7">
        <w:rPr>
          <w:rFonts w:cstheme="minorHAnsi"/>
          <w:sz w:val="24"/>
          <w:szCs w:val="24"/>
        </w:rPr>
        <w:t>. Images from WT normoxia (A) and KO normoxia (B) rats show the expected lacy architecture of the lungs. The results (</w:t>
      </w:r>
      <w:r w:rsidRPr="00922FE2">
        <w:rPr>
          <w:rFonts w:cstheme="minorHAnsi"/>
          <w:sz w:val="24"/>
          <w:szCs w:val="24"/>
        </w:rPr>
        <w:t>Table 3</w:t>
      </w:r>
      <w:r w:rsidRPr="007A51D7">
        <w:rPr>
          <w:rFonts w:cstheme="minorHAnsi"/>
          <w:sz w:val="24"/>
          <w:szCs w:val="24"/>
        </w:rPr>
        <w:t>) show a higher overall histology score for the hyperoxic KO lungs than for hyperoxic WT lungs. This reflects the higher edema score in the KO group, with no difference in the neutrophilic influx or alveolar septum thickness scores between the hyperoxic WT and KO groups.</w:t>
      </w:r>
    </w:p>
    <w:p w14:paraId="45E63872" w14:textId="77777777" w:rsidR="00FF6744" w:rsidRDefault="007A51D7" w:rsidP="00FF6744">
      <w:pPr>
        <w:pStyle w:val="NoSpacing"/>
      </w:pPr>
      <w:r w:rsidRPr="007A51D7">
        <w:rPr>
          <w:noProof/>
        </w:rPr>
        <w:drawing>
          <wp:inline distT="0" distB="0" distL="0" distR="0" wp14:anchorId="09F26C42" wp14:editId="5E750054">
            <wp:extent cx="2524125" cy="1942479"/>
            <wp:effectExtent l="0" t="0" r="0" b="635"/>
            <wp:docPr id="2" name="Picture 2" descr="Figure 2. Described in caption belo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Described in caption below.">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724" cy="1942940"/>
                    </a:xfrm>
                    <a:prstGeom prst="rect">
                      <a:avLst/>
                    </a:prstGeom>
                    <a:noFill/>
                    <a:ln>
                      <a:noFill/>
                    </a:ln>
                  </pic:spPr>
                </pic:pic>
              </a:graphicData>
            </a:graphic>
          </wp:inline>
        </w:drawing>
      </w:r>
    </w:p>
    <w:p w14:paraId="2D36FECA" w14:textId="4ABCF745" w:rsidR="007A51D7" w:rsidRDefault="007A51D7" w:rsidP="00FF6744">
      <w:pPr>
        <w:pStyle w:val="NoSpacing"/>
      </w:pPr>
      <w:r w:rsidRPr="00922FE2">
        <w:rPr>
          <w:rFonts w:cstheme="minorHAnsi"/>
          <w:b/>
          <w:bCs/>
          <w:sz w:val="24"/>
          <w:szCs w:val="24"/>
        </w:rPr>
        <w:t>Fig. 2: </w:t>
      </w:r>
      <w:r w:rsidRPr="007A51D7">
        <w:t>Representative images of WT normoxia (A), KO normoxia (B), WT hyperoxia (C), and KO hyperoxia (D) H&amp;</w:t>
      </w:r>
      <w:proofErr w:type="gramStart"/>
      <w:r w:rsidRPr="007A51D7">
        <w:t>E stained</w:t>
      </w:r>
      <w:proofErr w:type="gramEnd"/>
      <w:r w:rsidRPr="007A51D7">
        <w:t xml:space="preserve"> lungs slices. Scale is 100 μm.</w:t>
      </w:r>
    </w:p>
    <w:p w14:paraId="29479FE4" w14:textId="77777777" w:rsidR="00FF6744" w:rsidRPr="007A51D7" w:rsidRDefault="00FF6744" w:rsidP="00FF6744">
      <w:pPr>
        <w:pStyle w:val="NoSpacing"/>
      </w:pPr>
    </w:p>
    <w:p w14:paraId="31D96659" w14:textId="77777777" w:rsidR="007A51D7" w:rsidRPr="007A51D7" w:rsidRDefault="007A51D7" w:rsidP="00FF6744">
      <w:pPr>
        <w:pStyle w:val="NoSpacing"/>
      </w:pPr>
      <w:r w:rsidRPr="007A51D7">
        <w:t>Table 3 - Histological injury grading</w:t>
      </w:r>
    </w:p>
    <w:tbl>
      <w:tblPr>
        <w:tblStyle w:val="TableGrid"/>
        <w:tblW w:w="0" w:type="auto"/>
        <w:tblLook w:val="04A0" w:firstRow="1" w:lastRow="0" w:firstColumn="1" w:lastColumn="0" w:noHBand="0" w:noVBand="1"/>
      </w:tblPr>
      <w:tblGrid>
        <w:gridCol w:w="2695"/>
        <w:gridCol w:w="1800"/>
        <w:gridCol w:w="2160"/>
        <w:gridCol w:w="1530"/>
        <w:gridCol w:w="1885"/>
      </w:tblGrid>
      <w:tr w:rsidR="007A51D7" w:rsidRPr="007A51D7" w14:paraId="65263CDE" w14:textId="77777777" w:rsidTr="00922FE2">
        <w:tc>
          <w:tcPr>
            <w:tcW w:w="2695" w:type="dxa"/>
            <w:hideMark/>
          </w:tcPr>
          <w:p w14:paraId="7C382B70"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Group</w:t>
            </w:r>
          </w:p>
        </w:tc>
        <w:tc>
          <w:tcPr>
            <w:tcW w:w="1800" w:type="dxa"/>
            <w:hideMark/>
          </w:tcPr>
          <w:p w14:paraId="11E74FFE"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Total score</w:t>
            </w:r>
          </w:p>
        </w:tc>
        <w:tc>
          <w:tcPr>
            <w:tcW w:w="2160" w:type="dxa"/>
            <w:hideMark/>
          </w:tcPr>
          <w:p w14:paraId="71F470C1"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Neutrophilic influx</w:t>
            </w:r>
          </w:p>
        </w:tc>
        <w:tc>
          <w:tcPr>
            <w:tcW w:w="1530" w:type="dxa"/>
            <w:hideMark/>
          </w:tcPr>
          <w:p w14:paraId="49967FC5"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Edema</w:t>
            </w:r>
          </w:p>
        </w:tc>
        <w:tc>
          <w:tcPr>
            <w:tcW w:w="1885" w:type="dxa"/>
            <w:hideMark/>
          </w:tcPr>
          <w:p w14:paraId="2DB07286" w14:textId="77777777" w:rsidR="007A51D7" w:rsidRPr="007A51D7" w:rsidRDefault="007A51D7" w:rsidP="00922FE2">
            <w:pPr>
              <w:spacing w:line="259" w:lineRule="auto"/>
              <w:rPr>
                <w:rFonts w:cstheme="minorHAnsi"/>
                <w:b/>
                <w:bCs/>
                <w:sz w:val="24"/>
                <w:szCs w:val="24"/>
              </w:rPr>
            </w:pPr>
            <w:r w:rsidRPr="007A51D7">
              <w:rPr>
                <w:rFonts w:cstheme="minorHAnsi"/>
                <w:b/>
                <w:bCs/>
                <w:sz w:val="24"/>
                <w:szCs w:val="24"/>
              </w:rPr>
              <w:t>Thickness of alveolar septum</w:t>
            </w:r>
          </w:p>
        </w:tc>
      </w:tr>
      <w:tr w:rsidR="007A51D7" w:rsidRPr="007A51D7" w14:paraId="44ADC43D" w14:textId="77777777" w:rsidTr="00922FE2">
        <w:tc>
          <w:tcPr>
            <w:tcW w:w="2695" w:type="dxa"/>
            <w:hideMark/>
          </w:tcPr>
          <w:p w14:paraId="06FA07B7" w14:textId="77777777" w:rsidR="007A51D7" w:rsidRPr="007A51D7" w:rsidRDefault="007A51D7" w:rsidP="00922FE2">
            <w:pPr>
              <w:spacing w:line="259" w:lineRule="auto"/>
              <w:rPr>
                <w:rFonts w:cstheme="minorHAnsi"/>
                <w:sz w:val="24"/>
                <w:szCs w:val="24"/>
              </w:rPr>
            </w:pPr>
            <w:r w:rsidRPr="007A51D7">
              <w:rPr>
                <w:rFonts w:cstheme="minorHAnsi"/>
                <w:sz w:val="24"/>
                <w:szCs w:val="24"/>
              </w:rPr>
              <w:t>WT normoxia (n = 3)</w:t>
            </w:r>
          </w:p>
        </w:tc>
        <w:tc>
          <w:tcPr>
            <w:tcW w:w="1800" w:type="dxa"/>
            <w:hideMark/>
          </w:tcPr>
          <w:p w14:paraId="41069CA5" w14:textId="77777777" w:rsidR="007A51D7" w:rsidRPr="007A51D7" w:rsidRDefault="007A51D7" w:rsidP="00922FE2">
            <w:pPr>
              <w:rPr>
                <w:rFonts w:cstheme="minorHAnsi"/>
                <w:sz w:val="24"/>
                <w:szCs w:val="24"/>
              </w:rPr>
            </w:pPr>
            <w:r w:rsidRPr="007A51D7">
              <w:rPr>
                <w:rFonts w:cstheme="minorHAnsi"/>
                <w:sz w:val="24"/>
                <w:szCs w:val="24"/>
              </w:rPr>
              <w:t>0.05 ± 0.05</w:t>
            </w:r>
          </w:p>
        </w:tc>
        <w:tc>
          <w:tcPr>
            <w:tcW w:w="2160" w:type="dxa"/>
            <w:hideMark/>
          </w:tcPr>
          <w:p w14:paraId="35B44361" w14:textId="77777777" w:rsidR="007A51D7" w:rsidRPr="007A51D7" w:rsidRDefault="007A51D7" w:rsidP="00922FE2">
            <w:pPr>
              <w:spacing w:line="259" w:lineRule="auto"/>
              <w:rPr>
                <w:rFonts w:cstheme="minorHAnsi"/>
                <w:sz w:val="24"/>
                <w:szCs w:val="24"/>
              </w:rPr>
            </w:pPr>
            <w:r w:rsidRPr="007A51D7">
              <w:rPr>
                <w:rFonts w:cstheme="minorHAnsi"/>
                <w:sz w:val="24"/>
                <w:szCs w:val="24"/>
              </w:rPr>
              <w:t>0.05 ± 0.05</w:t>
            </w:r>
          </w:p>
        </w:tc>
        <w:tc>
          <w:tcPr>
            <w:tcW w:w="1530" w:type="dxa"/>
            <w:hideMark/>
          </w:tcPr>
          <w:p w14:paraId="5F89A71E" w14:textId="77777777" w:rsidR="007A51D7" w:rsidRPr="007A51D7" w:rsidRDefault="007A51D7" w:rsidP="00922FE2">
            <w:pPr>
              <w:spacing w:line="259" w:lineRule="auto"/>
              <w:rPr>
                <w:rFonts w:cstheme="minorHAnsi"/>
                <w:sz w:val="24"/>
                <w:szCs w:val="24"/>
              </w:rPr>
            </w:pPr>
            <w:r w:rsidRPr="007A51D7">
              <w:rPr>
                <w:rFonts w:cstheme="minorHAnsi"/>
                <w:sz w:val="24"/>
                <w:szCs w:val="24"/>
              </w:rPr>
              <w:t>0</w:t>
            </w:r>
          </w:p>
        </w:tc>
        <w:tc>
          <w:tcPr>
            <w:tcW w:w="1885" w:type="dxa"/>
            <w:hideMark/>
          </w:tcPr>
          <w:p w14:paraId="3EDD23A8" w14:textId="77777777" w:rsidR="007A51D7" w:rsidRPr="007A51D7" w:rsidRDefault="007A51D7" w:rsidP="00922FE2">
            <w:pPr>
              <w:spacing w:line="259" w:lineRule="auto"/>
              <w:rPr>
                <w:rFonts w:cstheme="minorHAnsi"/>
                <w:sz w:val="24"/>
                <w:szCs w:val="24"/>
              </w:rPr>
            </w:pPr>
            <w:r w:rsidRPr="007A51D7">
              <w:rPr>
                <w:rFonts w:cstheme="minorHAnsi"/>
                <w:sz w:val="24"/>
                <w:szCs w:val="24"/>
              </w:rPr>
              <w:t>0</w:t>
            </w:r>
          </w:p>
        </w:tc>
      </w:tr>
      <w:tr w:rsidR="007A51D7" w:rsidRPr="007A51D7" w14:paraId="41CE9027" w14:textId="77777777" w:rsidTr="00922FE2">
        <w:tc>
          <w:tcPr>
            <w:tcW w:w="2695" w:type="dxa"/>
            <w:hideMark/>
          </w:tcPr>
          <w:p w14:paraId="594E3AB1" w14:textId="77777777" w:rsidR="007A51D7" w:rsidRPr="007A51D7" w:rsidRDefault="007A51D7" w:rsidP="00922FE2">
            <w:pPr>
              <w:spacing w:line="259" w:lineRule="auto"/>
              <w:rPr>
                <w:rFonts w:cstheme="minorHAnsi"/>
                <w:sz w:val="24"/>
                <w:szCs w:val="24"/>
              </w:rPr>
            </w:pPr>
            <w:r w:rsidRPr="007A51D7">
              <w:rPr>
                <w:rFonts w:cstheme="minorHAnsi"/>
                <w:sz w:val="24"/>
                <w:szCs w:val="24"/>
              </w:rPr>
              <w:t>WT hyperoxia (n = 6)</w:t>
            </w:r>
          </w:p>
        </w:tc>
        <w:tc>
          <w:tcPr>
            <w:tcW w:w="1800" w:type="dxa"/>
            <w:hideMark/>
          </w:tcPr>
          <w:p w14:paraId="292E6CAC" w14:textId="77777777" w:rsidR="007A51D7" w:rsidRPr="007A51D7" w:rsidRDefault="007A51D7" w:rsidP="00922FE2">
            <w:pPr>
              <w:rPr>
                <w:rFonts w:cstheme="minorHAnsi"/>
                <w:sz w:val="24"/>
                <w:szCs w:val="24"/>
              </w:rPr>
            </w:pPr>
            <w:r w:rsidRPr="007A51D7">
              <w:rPr>
                <w:rFonts w:cstheme="minorHAnsi"/>
                <w:sz w:val="24"/>
                <w:szCs w:val="24"/>
              </w:rPr>
              <w:t>1.86 ± 0.26</w:t>
            </w:r>
          </w:p>
        </w:tc>
        <w:tc>
          <w:tcPr>
            <w:tcW w:w="2160" w:type="dxa"/>
            <w:hideMark/>
          </w:tcPr>
          <w:p w14:paraId="750BCA30" w14:textId="77777777" w:rsidR="007A51D7" w:rsidRPr="007A51D7" w:rsidRDefault="007A51D7" w:rsidP="00922FE2">
            <w:pPr>
              <w:spacing w:line="259" w:lineRule="auto"/>
              <w:rPr>
                <w:rFonts w:cstheme="minorHAnsi"/>
                <w:sz w:val="24"/>
                <w:szCs w:val="24"/>
              </w:rPr>
            </w:pPr>
            <w:r w:rsidRPr="007A51D7">
              <w:rPr>
                <w:rFonts w:cstheme="minorHAnsi"/>
                <w:sz w:val="24"/>
                <w:szCs w:val="24"/>
              </w:rPr>
              <w:t>1.17 ± 0.11</w:t>
            </w:r>
          </w:p>
        </w:tc>
        <w:tc>
          <w:tcPr>
            <w:tcW w:w="1530" w:type="dxa"/>
            <w:hideMark/>
          </w:tcPr>
          <w:p w14:paraId="60588D1F" w14:textId="77777777" w:rsidR="007A51D7" w:rsidRPr="007A51D7" w:rsidRDefault="007A51D7" w:rsidP="00922FE2">
            <w:pPr>
              <w:spacing w:line="259" w:lineRule="auto"/>
              <w:rPr>
                <w:rFonts w:cstheme="minorHAnsi"/>
                <w:sz w:val="24"/>
                <w:szCs w:val="24"/>
              </w:rPr>
            </w:pPr>
            <w:r w:rsidRPr="007A51D7">
              <w:rPr>
                <w:rFonts w:cstheme="minorHAnsi"/>
                <w:sz w:val="24"/>
                <w:szCs w:val="24"/>
              </w:rPr>
              <w:t>0.25 ± 0.14</w:t>
            </w:r>
          </w:p>
        </w:tc>
        <w:tc>
          <w:tcPr>
            <w:tcW w:w="1885" w:type="dxa"/>
            <w:hideMark/>
          </w:tcPr>
          <w:p w14:paraId="402AB780" w14:textId="77777777" w:rsidR="007A51D7" w:rsidRPr="007A51D7" w:rsidRDefault="007A51D7" w:rsidP="00922FE2">
            <w:pPr>
              <w:spacing w:line="259" w:lineRule="auto"/>
              <w:rPr>
                <w:rFonts w:cstheme="minorHAnsi"/>
                <w:sz w:val="24"/>
                <w:szCs w:val="24"/>
              </w:rPr>
            </w:pPr>
            <w:r w:rsidRPr="007A51D7">
              <w:rPr>
                <w:rFonts w:cstheme="minorHAnsi"/>
                <w:sz w:val="24"/>
                <w:szCs w:val="24"/>
              </w:rPr>
              <w:t>0.44 ± 0.08</w:t>
            </w:r>
          </w:p>
        </w:tc>
      </w:tr>
      <w:tr w:rsidR="007A51D7" w:rsidRPr="007A51D7" w14:paraId="2AC9A5E6" w14:textId="77777777" w:rsidTr="00922FE2">
        <w:tc>
          <w:tcPr>
            <w:tcW w:w="2695" w:type="dxa"/>
            <w:hideMark/>
          </w:tcPr>
          <w:p w14:paraId="2C7CFC2A" w14:textId="77777777" w:rsidR="007A51D7" w:rsidRPr="007A51D7" w:rsidRDefault="007A51D7" w:rsidP="00922FE2">
            <w:pPr>
              <w:spacing w:line="259" w:lineRule="auto"/>
              <w:rPr>
                <w:rFonts w:cstheme="minorHAnsi"/>
                <w:sz w:val="24"/>
                <w:szCs w:val="24"/>
              </w:rPr>
            </w:pPr>
            <w:r w:rsidRPr="007A51D7">
              <w:rPr>
                <w:rFonts w:cstheme="minorHAnsi"/>
                <w:sz w:val="24"/>
                <w:szCs w:val="24"/>
              </w:rPr>
              <w:t>KO normoxia (n = 3)</w:t>
            </w:r>
          </w:p>
        </w:tc>
        <w:tc>
          <w:tcPr>
            <w:tcW w:w="1800" w:type="dxa"/>
            <w:hideMark/>
          </w:tcPr>
          <w:p w14:paraId="51E2A27C" w14:textId="77777777" w:rsidR="007A51D7" w:rsidRPr="007A51D7" w:rsidRDefault="007A51D7" w:rsidP="00922FE2">
            <w:pPr>
              <w:rPr>
                <w:rFonts w:cstheme="minorHAnsi"/>
                <w:sz w:val="24"/>
                <w:szCs w:val="24"/>
              </w:rPr>
            </w:pPr>
            <w:r w:rsidRPr="007A51D7">
              <w:rPr>
                <w:rFonts w:cstheme="minorHAnsi"/>
                <w:sz w:val="24"/>
                <w:szCs w:val="24"/>
              </w:rPr>
              <w:t>0.11 ± 0.06</w:t>
            </w:r>
          </w:p>
        </w:tc>
        <w:tc>
          <w:tcPr>
            <w:tcW w:w="2160" w:type="dxa"/>
            <w:hideMark/>
          </w:tcPr>
          <w:p w14:paraId="7E8056F8" w14:textId="77777777" w:rsidR="007A51D7" w:rsidRPr="007A51D7" w:rsidRDefault="007A51D7" w:rsidP="00922FE2">
            <w:pPr>
              <w:spacing w:line="259" w:lineRule="auto"/>
              <w:rPr>
                <w:rFonts w:cstheme="minorHAnsi"/>
                <w:sz w:val="24"/>
                <w:szCs w:val="24"/>
              </w:rPr>
            </w:pPr>
            <w:r w:rsidRPr="007A51D7">
              <w:rPr>
                <w:rFonts w:cstheme="minorHAnsi"/>
                <w:sz w:val="24"/>
                <w:szCs w:val="24"/>
              </w:rPr>
              <w:t>0</w:t>
            </w:r>
          </w:p>
        </w:tc>
        <w:tc>
          <w:tcPr>
            <w:tcW w:w="1530" w:type="dxa"/>
            <w:hideMark/>
          </w:tcPr>
          <w:p w14:paraId="1C9565D3" w14:textId="77777777" w:rsidR="007A51D7" w:rsidRPr="007A51D7" w:rsidRDefault="007A51D7" w:rsidP="00922FE2">
            <w:pPr>
              <w:spacing w:line="259" w:lineRule="auto"/>
              <w:rPr>
                <w:rFonts w:cstheme="minorHAnsi"/>
                <w:sz w:val="24"/>
                <w:szCs w:val="24"/>
              </w:rPr>
            </w:pPr>
            <w:r w:rsidRPr="007A51D7">
              <w:rPr>
                <w:rFonts w:cstheme="minorHAnsi"/>
                <w:sz w:val="24"/>
                <w:szCs w:val="24"/>
              </w:rPr>
              <w:t>0</w:t>
            </w:r>
          </w:p>
        </w:tc>
        <w:tc>
          <w:tcPr>
            <w:tcW w:w="1885" w:type="dxa"/>
            <w:hideMark/>
          </w:tcPr>
          <w:p w14:paraId="2A7021B3" w14:textId="77777777" w:rsidR="007A51D7" w:rsidRPr="007A51D7" w:rsidRDefault="007A51D7" w:rsidP="00922FE2">
            <w:pPr>
              <w:spacing w:line="259" w:lineRule="auto"/>
              <w:rPr>
                <w:rFonts w:cstheme="minorHAnsi"/>
                <w:sz w:val="24"/>
                <w:szCs w:val="24"/>
              </w:rPr>
            </w:pPr>
            <w:r w:rsidRPr="007A51D7">
              <w:rPr>
                <w:rFonts w:cstheme="minorHAnsi"/>
                <w:sz w:val="24"/>
                <w:szCs w:val="24"/>
              </w:rPr>
              <w:t>0.11 ± 0.06</w:t>
            </w:r>
          </w:p>
        </w:tc>
      </w:tr>
      <w:tr w:rsidR="007A51D7" w:rsidRPr="007A51D7" w14:paraId="6098F67B" w14:textId="77777777" w:rsidTr="00922FE2">
        <w:tc>
          <w:tcPr>
            <w:tcW w:w="2695" w:type="dxa"/>
            <w:hideMark/>
          </w:tcPr>
          <w:p w14:paraId="14EE222D" w14:textId="77777777" w:rsidR="007A51D7" w:rsidRPr="007A51D7" w:rsidRDefault="007A51D7" w:rsidP="00922FE2">
            <w:pPr>
              <w:spacing w:line="259" w:lineRule="auto"/>
              <w:rPr>
                <w:rFonts w:cstheme="minorHAnsi"/>
                <w:sz w:val="24"/>
                <w:szCs w:val="24"/>
              </w:rPr>
            </w:pPr>
            <w:r w:rsidRPr="007A51D7">
              <w:rPr>
                <w:rFonts w:cstheme="minorHAnsi"/>
                <w:sz w:val="24"/>
                <w:szCs w:val="24"/>
              </w:rPr>
              <w:t>KO hyperoxia (n = 6)</w:t>
            </w:r>
          </w:p>
        </w:tc>
        <w:tc>
          <w:tcPr>
            <w:tcW w:w="1800" w:type="dxa"/>
            <w:hideMark/>
          </w:tcPr>
          <w:p w14:paraId="0EA1E5FA" w14:textId="77777777" w:rsidR="007A51D7" w:rsidRPr="007A51D7" w:rsidRDefault="007A51D7" w:rsidP="00922FE2">
            <w:pPr>
              <w:rPr>
                <w:rFonts w:cstheme="minorHAnsi"/>
                <w:sz w:val="24"/>
                <w:szCs w:val="24"/>
              </w:rPr>
            </w:pPr>
            <w:r w:rsidRPr="007A51D7">
              <w:rPr>
                <w:rFonts w:cstheme="minorHAnsi"/>
                <w:sz w:val="24"/>
                <w:szCs w:val="24"/>
              </w:rPr>
              <w:t>2.81 ± 0.09</w:t>
            </w:r>
            <w:r w:rsidRPr="007A51D7">
              <w:rPr>
                <w:rFonts w:ascii="Cambria Math" w:hAnsi="Cambria Math" w:cs="Cambria Math"/>
                <w:sz w:val="24"/>
                <w:szCs w:val="24"/>
                <w:vertAlign w:val="superscript"/>
              </w:rPr>
              <w:t>∗</w:t>
            </w:r>
          </w:p>
        </w:tc>
        <w:tc>
          <w:tcPr>
            <w:tcW w:w="2160" w:type="dxa"/>
            <w:hideMark/>
          </w:tcPr>
          <w:p w14:paraId="74006230" w14:textId="77777777" w:rsidR="007A51D7" w:rsidRPr="007A51D7" w:rsidRDefault="007A51D7" w:rsidP="00922FE2">
            <w:pPr>
              <w:spacing w:line="259" w:lineRule="auto"/>
              <w:rPr>
                <w:rFonts w:cstheme="minorHAnsi"/>
                <w:sz w:val="24"/>
                <w:szCs w:val="24"/>
              </w:rPr>
            </w:pPr>
            <w:r w:rsidRPr="007A51D7">
              <w:rPr>
                <w:rFonts w:cstheme="minorHAnsi"/>
                <w:sz w:val="24"/>
                <w:szCs w:val="24"/>
              </w:rPr>
              <w:t>1.28 ± 0.06</w:t>
            </w:r>
          </w:p>
        </w:tc>
        <w:tc>
          <w:tcPr>
            <w:tcW w:w="1530" w:type="dxa"/>
            <w:hideMark/>
          </w:tcPr>
          <w:p w14:paraId="4DC3B862" w14:textId="77777777" w:rsidR="007A51D7" w:rsidRPr="007A51D7" w:rsidRDefault="007A51D7" w:rsidP="00922FE2">
            <w:pPr>
              <w:spacing w:line="259" w:lineRule="auto"/>
              <w:rPr>
                <w:rFonts w:cstheme="minorHAnsi"/>
                <w:sz w:val="24"/>
                <w:szCs w:val="24"/>
              </w:rPr>
            </w:pPr>
            <w:r w:rsidRPr="007A51D7">
              <w:rPr>
                <w:rFonts w:cstheme="minorHAnsi"/>
                <w:sz w:val="24"/>
                <w:szCs w:val="24"/>
              </w:rPr>
              <w:t>0.86 ± 0.10</w:t>
            </w:r>
            <w:r w:rsidRPr="007A51D7">
              <w:rPr>
                <w:rFonts w:ascii="Cambria Math" w:hAnsi="Cambria Math" w:cs="Cambria Math"/>
                <w:sz w:val="24"/>
                <w:szCs w:val="24"/>
                <w:vertAlign w:val="superscript"/>
              </w:rPr>
              <w:t>∗</w:t>
            </w:r>
          </w:p>
        </w:tc>
        <w:tc>
          <w:tcPr>
            <w:tcW w:w="1885" w:type="dxa"/>
            <w:hideMark/>
          </w:tcPr>
          <w:p w14:paraId="688565A2" w14:textId="77777777" w:rsidR="007A51D7" w:rsidRPr="007A51D7" w:rsidRDefault="007A51D7" w:rsidP="00922FE2">
            <w:pPr>
              <w:spacing w:line="259" w:lineRule="auto"/>
              <w:rPr>
                <w:rFonts w:cstheme="minorHAnsi"/>
                <w:sz w:val="24"/>
                <w:szCs w:val="24"/>
              </w:rPr>
            </w:pPr>
            <w:r w:rsidRPr="007A51D7">
              <w:rPr>
                <w:rFonts w:cstheme="minorHAnsi"/>
                <w:sz w:val="24"/>
                <w:szCs w:val="24"/>
              </w:rPr>
              <w:t>0.67 ± 0.09</w:t>
            </w:r>
          </w:p>
        </w:tc>
      </w:tr>
    </w:tbl>
    <w:p w14:paraId="6734A579" w14:textId="77777777" w:rsidR="007A51D7" w:rsidRPr="007A51D7" w:rsidRDefault="007A51D7" w:rsidP="00FF6744">
      <w:pPr>
        <w:pStyle w:val="NoSpacing"/>
      </w:pPr>
      <w:r w:rsidRPr="007A51D7">
        <w:t>n, number of rats. Values are mean ± SE.</w:t>
      </w:r>
    </w:p>
    <w:p w14:paraId="113C6F9E" w14:textId="1908B410" w:rsidR="007A51D7" w:rsidRDefault="007A51D7" w:rsidP="00FF6744">
      <w:pPr>
        <w:pStyle w:val="NoSpacing"/>
      </w:pPr>
      <w:r w:rsidRPr="007A51D7">
        <w:rPr>
          <w:rFonts w:ascii="Cambria Math" w:hAnsi="Cambria Math" w:cs="Cambria Math"/>
          <w:vertAlign w:val="superscript"/>
        </w:rPr>
        <w:t>∗</w:t>
      </w:r>
      <w:r w:rsidRPr="007A51D7">
        <w:t>Different from WT hyperoxia (</w:t>
      </w:r>
      <w:r w:rsidRPr="007A51D7">
        <w:rPr>
          <w:i/>
          <w:iCs/>
        </w:rPr>
        <w:t>P</w:t>
      </w:r>
      <w:r w:rsidRPr="007A51D7">
        <w:t> &lt; 0.05).</w:t>
      </w:r>
    </w:p>
    <w:p w14:paraId="0F426334" w14:textId="77777777" w:rsidR="00FF6744" w:rsidRPr="007A51D7" w:rsidRDefault="00FF6744" w:rsidP="00FF6744">
      <w:pPr>
        <w:pStyle w:val="NoSpacing"/>
      </w:pPr>
    </w:p>
    <w:p w14:paraId="5692C961" w14:textId="77777777" w:rsidR="007A51D7" w:rsidRPr="007A51D7" w:rsidRDefault="007A51D7" w:rsidP="00FF6744">
      <w:pPr>
        <w:pStyle w:val="Heading2"/>
      </w:pPr>
      <w:r w:rsidRPr="007A51D7">
        <w:t>Western blots</w:t>
      </w:r>
    </w:p>
    <w:p w14:paraId="584464EE" w14:textId="2AF8579A" w:rsidR="007A51D7" w:rsidRPr="007A51D7" w:rsidRDefault="007A51D7" w:rsidP="007A51D7">
      <w:pPr>
        <w:rPr>
          <w:rFonts w:cstheme="minorHAnsi"/>
          <w:sz w:val="24"/>
          <w:szCs w:val="24"/>
        </w:rPr>
      </w:pPr>
      <w:r w:rsidRPr="007A51D7">
        <w:rPr>
          <w:rFonts w:cstheme="minorHAnsi"/>
          <w:sz w:val="24"/>
          <w:szCs w:val="24"/>
        </w:rPr>
        <w:t>Expression of MPO increased with hyperoxia in both WT and KO rats (</w:t>
      </w:r>
      <w:r w:rsidRPr="00922FE2">
        <w:rPr>
          <w:rFonts w:cstheme="minorHAnsi"/>
          <w:sz w:val="24"/>
          <w:szCs w:val="24"/>
        </w:rPr>
        <w:t>Table 2</w:t>
      </w:r>
      <w:r w:rsidRPr="007A51D7">
        <w:rPr>
          <w:rFonts w:cstheme="minorHAnsi"/>
          <w:sz w:val="24"/>
          <w:szCs w:val="24"/>
        </w:rPr>
        <w:t>), however the increase was not different between WT and KO rats. The measured hyperoxia-induced increases in MPO lung expression in both WT and KO rats (</w:t>
      </w:r>
      <w:r w:rsidRPr="00922FE2">
        <w:rPr>
          <w:rFonts w:cstheme="minorHAnsi"/>
          <w:sz w:val="24"/>
          <w:szCs w:val="24"/>
        </w:rPr>
        <w:t>Table 2</w:t>
      </w:r>
      <w:r w:rsidRPr="007A51D7">
        <w:rPr>
          <w:rFonts w:cstheme="minorHAnsi"/>
          <w:sz w:val="24"/>
          <w:szCs w:val="24"/>
        </w:rPr>
        <w:t>) are consistent with the increases in the neutrophilic influx histological scores (</w:t>
      </w:r>
      <w:r w:rsidRPr="00922FE2">
        <w:rPr>
          <w:rFonts w:cstheme="minorHAnsi"/>
          <w:sz w:val="24"/>
          <w:szCs w:val="24"/>
        </w:rPr>
        <w:t>Table 3</w:t>
      </w:r>
      <w:r w:rsidRPr="007A51D7">
        <w:rPr>
          <w:rFonts w:cstheme="minorHAnsi"/>
          <w:sz w:val="24"/>
          <w:szCs w:val="24"/>
        </w:rPr>
        <w:t>). </w:t>
      </w:r>
      <w:r w:rsidRPr="00922FE2">
        <w:rPr>
          <w:rFonts w:cstheme="minorHAnsi"/>
          <w:sz w:val="24"/>
          <w:szCs w:val="24"/>
        </w:rPr>
        <w:t>Table 2</w:t>
      </w:r>
      <w:r w:rsidRPr="007A51D7">
        <w:rPr>
          <w:rFonts w:cstheme="minorHAnsi"/>
          <w:sz w:val="24"/>
          <w:szCs w:val="24"/>
        </w:rPr>
        <w:t> also shows that the hyperoxia-induced increases in both 3-NT and cytokine IL-1β expressions, relative to normoxic values, were larger in KO rats than in WT rats.</w:t>
      </w:r>
    </w:p>
    <w:p w14:paraId="52E0DE5E" w14:textId="0035CC78" w:rsidR="007A51D7" w:rsidRPr="007A51D7" w:rsidRDefault="007A51D7" w:rsidP="007A51D7">
      <w:pPr>
        <w:rPr>
          <w:rFonts w:cstheme="minorHAnsi"/>
          <w:sz w:val="24"/>
          <w:szCs w:val="24"/>
        </w:rPr>
      </w:pPr>
      <w:r w:rsidRPr="00922FE2">
        <w:rPr>
          <w:rFonts w:cstheme="minorHAnsi"/>
          <w:sz w:val="24"/>
          <w:szCs w:val="24"/>
        </w:rPr>
        <w:t>Table 4</w:t>
      </w:r>
      <w:r w:rsidRPr="007A51D7">
        <w:rPr>
          <w:rFonts w:cstheme="minorHAnsi"/>
          <w:sz w:val="24"/>
          <w:szCs w:val="24"/>
        </w:rPr>
        <w:t> shows that expression of GSH synthetase was elevated following 48 h of exposure to hyperoxia in WT rats, but not in KO rats. Expressions of Bcl-2 and Prdx-1 were not elevated following exposure to hyperoxia in either the WT or KO groups (</w:t>
      </w:r>
      <w:r w:rsidRPr="00922FE2">
        <w:rPr>
          <w:rFonts w:cstheme="minorHAnsi"/>
          <w:sz w:val="24"/>
          <w:szCs w:val="24"/>
        </w:rPr>
        <w:t>Table 4</w:t>
      </w:r>
      <w:r w:rsidRPr="007A51D7">
        <w:rPr>
          <w:rFonts w:cstheme="minorHAnsi"/>
          <w:sz w:val="24"/>
          <w:szCs w:val="24"/>
        </w:rPr>
        <w:t>).</w:t>
      </w:r>
    </w:p>
    <w:p w14:paraId="17BFA92C" w14:textId="78D0EFC4" w:rsidR="007A51D7" w:rsidRPr="00922FE2" w:rsidRDefault="007A51D7" w:rsidP="00FF6744">
      <w:pPr>
        <w:pStyle w:val="NoSpacing"/>
        <w:rPr>
          <w:sz w:val="24"/>
          <w:szCs w:val="24"/>
        </w:rPr>
      </w:pPr>
      <w:r w:rsidRPr="00922FE2">
        <w:rPr>
          <w:sz w:val="24"/>
          <w:szCs w:val="24"/>
        </w:rPr>
        <w:t xml:space="preserve">Table 4 - Western blots of </w:t>
      </w:r>
      <w:proofErr w:type="gramStart"/>
      <w:r w:rsidRPr="00922FE2">
        <w:rPr>
          <w:sz w:val="24"/>
          <w:szCs w:val="24"/>
        </w:rPr>
        <w:t>anti-oxidants</w:t>
      </w:r>
      <w:proofErr w:type="gramEnd"/>
      <w:r w:rsidRPr="00922FE2">
        <w:rPr>
          <w:sz w:val="24"/>
          <w:szCs w:val="24"/>
        </w:rPr>
        <w:t xml:space="preserve"> and anti-apoptotic proteins</w:t>
      </w:r>
    </w:p>
    <w:tbl>
      <w:tblPr>
        <w:tblStyle w:val="TableGrid"/>
        <w:tblW w:w="0" w:type="auto"/>
        <w:tblLook w:val="04A0" w:firstRow="1" w:lastRow="0" w:firstColumn="1" w:lastColumn="0" w:noHBand="0" w:noVBand="1"/>
      </w:tblPr>
      <w:tblGrid>
        <w:gridCol w:w="1566"/>
        <w:gridCol w:w="1971"/>
        <w:gridCol w:w="1971"/>
        <w:gridCol w:w="2048"/>
      </w:tblGrid>
      <w:tr w:rsidR="007A51D7" w:rsidRPr="007A51D7" w14:paraId="21188447" w14:textId="77777777" w:rsidTr="00FF6744">
        <w:tc>
          <w:tcPr>
            <w:tcW w:w="0" w:type="auto"/>
            <w:hideMark/>
          </w:tcPr>
          <w:p w14:paraId="2EC9BB7A" w14:textId="77777777" w:rsidR="007A51D7" w:rsidRPr="007A51D7" w:rsidRDefault="007A51D7" w:rsidP="005E1019">
            <w:pPr>
              <w:spacing w:line="259" w:lineRule="auto"/>
              <w:rPr>
                <w:rFonts w:cstheme="minorHAnsi"/>
                <w:b/>
                <w:bCs/>
                <w:sz w:val="24"/>
                <w:szCs w:val="24"/>
              </w:rPr>
            </w:pPr>
            <w:r w:rsidRPr="007A51D7">
              <w:rPr>
                <w:rFonts w:cstheme="minorHAnsi"/>
                <w:b/>
                <w:bCs/>
                <w:sz w:val="24"/>
                <w:szCs w:val="24"/>
              </w:rPr>
              <w:t>Group</w:t>
            </w:r>
          </w:p>
        </w:tc>
        <w:tc>
          <w:tcPr>
            <w:tcW w:w="0" w:type="auto"/>
            <w:hideMark/>
          </w:tcPr>
          <w:p w14:paraId="0C29FD88" w14:textId="77777777" w:rsidR="007A51D7" w:rsidRPr="007A51D7" w:rsidRDefault="007A51D7" w:rsidP="005E1019">
            <w:pPr>
              <w:spacing w:line="259" w:lineRule="auto"/>
              <w:rPr>
                <w:rFonts w:cstheme="minorHAnsi"/>
                <w:b/>
                <w:bCs/>
                <w:sz w:val="24"/>
                <w:szCs w:val="24"/>
              </w:rPr>
            </w:pPr>
            <w:r w:rsidRPr="007A51D7">
              <w:rPr>
                <w:rFonts w:cstheme="minorHAnsi"/>
                <w:b/>
                <w:bCs/>
                <w:sz w:val="24"/>
                <w:szCs w:val="24"/>
              </w:rPr>
              <w:t>Bcl-2</w:t>
            </w:r>
          </w:p>
        </w:tc>
        <w:tc>
          <w:tcPr>
            <w:tcW w:w="0" w:type="auto"/>
            <w:hideMark/>
          </w:tcPr>
          <w:p w14:paraId="41F00573" w14:textId="77777777" w:rsidR="007A51D7" w:rsidRPr="007A51D7" w:rsidRDefault="007A51D7" w:rsidP="005E1019">
            <w:pPr>
              <w:spacing w:line="259" w:lineRule="auto"/>
              <w:rPr>
                <w:rFonts w:cstheme="minorHAnsi"/>
                <w:b/>
                <w:bCs/>
                <w:sz w:val="24"/>
                <w:szCs w:val="24"/>
              </w:rPr>
            </w:pPr>
            <w:r w:rsidRPr="007A51D7">
              <w:rPr>
                <w:rFonts w:cstheme="minorHAnsi"/>
                <w:b/>
                <w:bCs/>
                <w:sz w:val="24"/>
                <w:szCs w:val="24"/>
              </w:rPr>
              <w:t>Prdx-1</w:t>
            </w:r>
          </w:p>
        </w:tc>
        <w:tc>
          <w:tcPr>
            <w:tcW w:w="0" w:type="auto"/>
            <w:hideMark/>
          </w:tcPr>
          <w:p w14:paraId="300DEBB6" w14:textId="77777777" w:rsidR="007A51D7" w:rsidRPr="007A51D7" w:rsidRDefault="007A51D7" w:rsidP="005E1019">
            <w:pPr>
              <w:spacing w:line="259" w:lineRule="auto"/>
              <w:rPr>
                <w:rFonts w:cstheme="minorHAnsi"/>
                <w:b/>
                <w:bCs/>
                <w:sz w:val="24"/>
                <w:szCs w:val="24"/>
              </w:rPr>
            </w:pPr>
            <w:r w:rsidRPr="007A51D7">
              <w:rPr>
                <w:rFonts w:cstheme="minorHAnsi"/>
                <w:b/>
                <w:bCs/>
                <w:sz w:val="24"/>
                <w:szCs w:val="24"/>
              </w:rPr>
              <w:t>GSH synthetase</w:t>
            </w:r>
          </w:p>
        </w:tc>
      </w:tr>
      <w:tr w:rsidR="007A51D7" w:rsidRPr="007A51D7" w14:paraId="122AD80D" w14:textId="77777777" w:rsidTr="00FF6744">
        <w:tc>
          <w:tcPr>
            <w:tcW w:w="0" w:type="auto"/>
            <w:hideMark/>
          </w:tcPr>
          <w:p w14:paraId="4497657E" w14:textId="77777777" w:rsidR="007A51D7" w:rsidRPr="007A51D7" w:rsidRDefault="007A51D7" w:rsidP="005E1019">
            <w:pPr>
              <w:spacing w:line="259" w:lineRule="auto"/>
              <w:rPr>
                <w:rFonts w:cstheme="minorHAnsi"/>
                <w:sz w:val="24"/>
                <w:szCs w:val="24"/>
              </w:rPr>
            </w:pPr>
            <w:r w:rsidRPr="007A51D7">
              <w:rPr>
                <w:rFonts w:cstheme="minorHAnsi"/>
                <w:sz w:val="24"/>
                <w:szCs w:val="24"/>
              </w:rPr>
              <w:t>WT normoxia</w:t>
            </w:r>
          </w:p>
        </w:tc>
        <w:tc>
          <w:tcPr>
            <w:tcW w:w="0" w:type="auto"/>
            <w:hideMark/>
          </w:tcPr>
          <w:p w14:paraId="7F1D7A78" w14:textId="77777777" w:rsidR="007A51D7" w:rsidRPr="007A51D7" w:rsidRDefault="007A51D7" w:rsidP="005E1019">
            <w:pPr>
              <w:rPr>
                <w:rFonts w:cstheme="minorHAnsi"/>
                <w:sz w:val="24"/>
                <w:szCs w:val="24"/>
              </w:rPr>
            </w:pPr>
            <w:r w:rsidRPr="007A51D7">
              <w:rPr>
                <w:rFonts w:cstheme="minorHAnsi"/>
                <w:sz w:val="24"/>
                <w:szCs w:val="24"/>
              </w:rPr>
              <w:t>1.00 ± 0.13 (n = 6)</w:t>
            </w:r>
          </w:p>
        </w:tc>
        <w:tc>
          <w:tcPr>
            <w:tcW w:w="0" w:type="auto"/>
            <w:hideMark/>
          </w:tcPr>
          <w:p w14:paraId="28F05CC9" w14:textId="77777777" w:rsidR="007A51D7" w:rsidRPr="007A51D7" w:rsidRDefault="007A51D7" w:rsidP="005E1019">
            <w:pPr>
              <w:spacing w:line="259" w:lineRule="auto"/>
              <w:rPr>
                <w:rFonts w:cstheme="minorHAnsi"/>
                <w:sz w:val="24"/>
                <w:szCs w:val="24"/>
              </w:rPr>
            </w:pPr>
            <w:r w:rsidRPr="007A51D7">
              <w:rPr>
                <w:rFonts w:cstheme="minorHAnsi"/>
                <w:sz w:val="24"/>
                <w:szCs w:val="24"/>
              </w:rPr>
              <w:t>1.00 ± 0.04 (n = 6)</w:t>
            </w:r>
          </w:p>
        </w:tc>
        <w:tc>
          <w:tcPr>
            <w:tcW w:w="0" w:type="auto"/>
            <w:hideMark/>
          </w:tcPr>
          <w:p w14:paraId="282442FE" w14:textId="77777777" w:rsidR="007A51D7" w:rsidRPr="007A51D7" w:rsidRDefault="007A51D7" w:rsidP="005E1019">
            <w:pPr>
              <w:spacing w:line="259" w:lineRule="auto"/>
              <w:rPr>
                <w:rFonts w:cstheme="minorHAnsi"/>
                <w:sz w:val="24"/>
                <w:szCs w:val="24"/>
              </w:rPr>
            </w:pPr>
            <w:r w:rsidRPr="007A51D7">
              <w:rPr>
                <w:rFonts w:cstheme="minorHAnsi"/>
                <w:sz w:val="24"/>
                <w:szCs w:val="24"/>
              </w:rPr>
              <w:t>1.00 ± 0.18 (n = 6)</w:t>
            </w:r>
          </w:p>
        </w:tc>
      </w:tr>
      <w:tr w:rsidR="007A51D7" w:rsidRPr="007A51D7" w14:paraId="0EFC5BEC" w14:textId="77777777" w:rsidTr="00FF6744">
        <w:tc>
          <w:tcPr>
            <w:tcW w:w="0" w:type="auto"/>
            <w:hideMark/>
          </w:tcPr>
          <w:p w14:paraId="10AF3308" w14:textId="77777777" w:rsidR="007A51D7" w:rsidRPr="007A51D7" w:rsidRDefault="007A51D7" w:rsidP="005E1019">
            <w:pPr>
              <w:spacing w:line="259" w:lineRule="auto"/>
              <w:rPr>
                <w:rFonts w:cstheme="minorHAnsi"/>
                <w:sz w:val="24"/>
                <w:szCs w:val="24"/>
              </w:rPr>
            </w:pPr>
            <w:r w:rsidRPr="007A51D7">
              <w:rPr>
                <w:rFonts w:cstheme="minorHAnsi"/>
                <w:sz w:val="24"/>
                <w:szCs w:val="24"/>
              </w:rPr>
              <w:t>WT hyperoxia</w:t>
            </w:r>
          </w:p>
        </w:tc>
        <w:tc>
          <w:tcPr>
            <w:tcW w:w="0" w:type="auto"/>
            <w:hideMark/>
          </w:tcPr>
          <w:p w14:paraId="2C457840" w14:textId="77777777" w:rsidR="007A51D7" w:rsidRPr="007A51D7" w:rsidRDefault="007A51D7" w:rsidP="005E1019">
            <w:pPr>
              <w:rPr>
                <w:rFonts w:cstheme="minorHAnsi"/>
                <w:sz w:val="24"/>
                <w:szCs w:val="24"/>
              </w:rPr>
            </w:pPr>
            <w:r w:rsidRPr="007A51D7">
              <w:rPr>
                <w:rFonts w:cstheme="minorHAnsi"/>
                <w:sz w:val="24"/>
                <w:szCs w:val="24"/>
              </w:rPr>
              <w:t>1.14 ± 0.16 (n = 6)</w:t>
            </w:r>
          </w:p>
        </w:tc>
        <w:tc>
          <w:tcPr>
            <w:tcW w:w="0" w:type="auto"/>
            <w:hideMark/>
          </w:tcPr>
          <w:p w14:paraId="0022E786" w14:textId="77777777" w:rsidR="007A51D7" w:rsidRPr="007A51D7" w:rsidRDefault="007A51D7" w:rsidP="005E1019">
            <w:pPr>
              <w:spacing w:line="259" w:lineRule="auto"/>
              <w:rPr>
                <w:rFonts w:cstheme="minorHAnsi"/>
                <w:sz w:val="24"/>
                <w:szCs w:val="24"/>
              </w:rPr>
            </w:pPr>
            <w:r w:rsidRPr="007A51D7">
              <w:rPr>
                <w:rFonts w:cstheme="minorHAnsi"/>
                <w:sz w:val="24"/>
                <w:szCs w:val="24"/>
              </w:rPr>
              <w:t>1.03 ± 0.09 (n = 6)</w:t>
            </w:r>
          </w:p>
        </w:tc>
        <w:tc>
          <w:tcPr>
            <w:tcW w:w="0" w:type="auto"/>
            <w:hideMark/>
          </w:tcPr>
          <w:p w14:paraId="5618C2F7" w14:textId="77777777" w:rsidR="007A51D7" w:rsidRPr="007A51D7" w:rsidRDefault="007A51D7" w:rsidP="005E1019">
            <w:pPr>
              <w:spacing w:line="259" w:lineRule="auto"/>
              <w:rPr>
                <w:rFonts w:cstheme="minorHAnsi"/>
                <w:sz w:val="24"/>
                <w:szCs w:val="24"/>
              </w:rPr>
            </w:pPr>
            <w:r w:rsidRPr="007A51D7">
              <w:rPr>
                <w:rFonts w:cstheme="minorHAnsi"/>
                <w:sz w:val="24"/>
                <w:szCs w:val="24"/>
              </w:rPr>
              <w:t>1.76 ± 0.22</w:t>
            </w:r>
            <w:r w:rsidRPr="007A51D7">
              <w:rPr>
                <w:rFonts w:ascii="Cambria Math" w:hAnsi="Cambria Math" w:cs="Cambria Math"/>
                <w:sz w:val="24"/>
                <w:szCs w:val="24"/>
                <w:vertAlign w:val="superscript"/>
              </w:rPr>
              <w:t>∗</w:t>
            </w:r>
            <w:r w:rsidRPr="007A51D7">
              <w:rPr>
                <w:rFonts w:cstheme="minorHAnsi"/>
                <w:sz w:val="24"/>
                <w:szCs w:val="24"/>
              </w:rPr>
              <w:t> (n = 6)</w:t>
            </w:r>
          </w:p>
        </w:tc>
      </w:tr>
      <w:tr w:rsidR="007A51D7" w:rsidRPr="007A51D7" w14:paraId="07C366E4" w14:textId="77777777" w:rsidTr="00FF6744">
        <w:tc>
          <w:tcPr>
            <w:tcW w:w="0" w:type="auto"/>
            <w:hideMark/>
          </w:tcPr>
          <w:p w14:paraId="025F149A" w14:textId="77777777" w:rsidR="007A51D7" w:rsidRPr="007A51D7" w:rsidRDefault="007A51D7" w:rsidP="005E1019">
            <w:pPr>
              <w:spacing w:line="259" w:lineRule="auto"/>
              <w:rPr>
                <w:rFonts w:cstheme="minorHAnsi"/>
                <w:sz w:val="24"/>
                <w:szCs w:val="24"/>
              </w:rPr>
            </w:pPr>
            <w:r w:rsidRPr="007A51D7">
              <w:rPr>
                <w:rFonts w:cstheme="minorHAnsi"/>
                <w:sz w:val="24"/>
                <w:szCs w:val="24"/>
              </w:rPr>
              <w:t>KO normoxia</w:t>
            </w:r>
          </w:p>
        </w:tc>
        <w:tc>
          <w:tcPr>
            <w:tcW w:w="0" w:type="auto"/>
            <w:hideMark/>
          </w:tcPr>
          <w:p w14:paraId="14A5FD56" w14:textId="77777777" w:rsidR="007A51D7" w:rsidRPr="007A51D7" w:rsidRDefault="007A51D7" w:rsidP="005E1019">
            <w:pPr>
              <w:rPr>
                <w:rFonts w:cstheme="minorHAnsi"/>
                <w:sz w:val="24"/>
                <w:szCs w:val="24"/>
              </w:rPr>
            </w:pPr>
            <w:r w:rsidRPr="007A51D7">
              <w:rPr>
                <w:rFonts w:cstheme="minorHAnsi"/>
                <w:sz w:val="24"/>
                <w:szCs w:val="24"/>
              </w:rPr>
              <w:t>1.00 ± 0.05 (n = 4)</w:t>
            </w:r>
          </w:p>
        </w:tc>
        <w:tc>
          <w:tcPr>
            <w:tcW w:w="0" w:type="auto"/>
            <w:hideMark/>
          </w:tcPr>
          <w:p w14:paraId="3EF49839" w14:textId="77777777" w:rsidR="007A51D7" w:rsidRPr="007A51D7" w:rsidRDefault="007A51D7" w:rsidP="005E1019">
            <w:pPr>
              <w:spacing w:line="259" w:lineRule="auto"/>
              <w:rPr>
                <w:rFonts w:cstheme="minorHAnsi"/>
                <w:sz w:val="24"/>
                <w:szCs w:val="24"/>
              </w:rPr>
            </w:pPr>
            <w:r w:rsidRPr="007A51D7">
              <w:rPr>
                <w:rFonts w:cstheme="minorHAnsi"/>
                <w:sz w:val="24"/>
                <w:szCs w:val="24"/>
              </w:rPr>
              <w:t>1.00 ± 0.07 (n = 4)</w:t>
            </w:r>
          </w:p>
        </w:tc>
        <w:tc>
          <w:tcPr>
            <w:tcW w:w="0" w:type="auto"/>
            <w:hideMark/>
          </w:tcPr>
          <w:p w14:paraId="4880943B" w14:textId="77777777" w:rsidR="007A51D7" w:rsidRPr="007A51D7" w:rsidRDefault="007A51D7" w:rsidP="005E1019">
            <w:pPr>
              <w:spacing w:line="259" w:lineRule="auto"/>
              <w:rPr>
                <w:rFonts w:cstheme="minorHAnsi"/>
                <w:sz w:val="24"/>
                <w:szCs w:val="24"/>
              </w:rPr>
            </w:pPr>
            <w:r w:rsidRPr="007A51D7">
              <w:rPr>
                <w:rFonts w:cstheme="minorHAnsi"/>
                <w:sz w:val="24"/>
                <w:szCs w:val="24"/>
              </w:rPr>
              <w:t>1.00 ± 0.18 (n = 4)</w:t>
            </w:r>
          </w:p>
        </w:tc>
      </w:tr>
      <w:tr w:rsidR="007A51D7" w:rsidRPr="007A51D7" w14:paraId="34972AAA" w14:textId="77777777" w:rsidTr="00FF6744">
        <w:tc>
          <w:tcPr>
            <w:tcW w:w="0" w:type="auto"/>
            <w:hideMark/>
          </w:tcPr>
          <w:p w14:paraId="6E4EE8EE" w14:textId="77777777" w:rsidR="007A51D7" w:rsidRPr="007A51D7" w:rsidRDefault="007A51D7" w:rsidP="005E1019">
            <w:pPr>
              <w:spacing w:line="259" w:lineRule="auto"/>
              <w:rPr>
                <w:rFonts w:cstheme="minorHAnsi"/>
                <w:sz w:val="24"/>
                <w:szCs w:val="24"/>
              </w:rPr>
            </w:pPr>
            <w:r w:rsidRPr="007A51D7">
              <w:rPr>
                <w:rFonts w:cstheme="minorHAnsi"/>
                <w:sz w:val="24"/>
                <w:szCs w:val="24"/>
              </w:rPr>
              <w:t>KO hyperoxia</w:t>
            </w:r>
          </w:p>
        </w:tc>
        <w:tc>
          <w:tcPr>
            <w:tcW w:w="0" w:type="auto"/>
            <w:hideMark/>
          </w:tcPr>
          <w:p w14:paraId="644AE3D3" w14:textId="77777777" w:rsidR="007A51D7" w:rsidRPr="007A51D7" w:rsidRDefault="007A51D7" w:rsidP="005E1019">
            <w:pPr>
              <w:rPr>
                <w:rFonts w:cstheme="minorHAnsi"/>
                <w:sz w:val="24"/>
                <w:szCs w:val="24"/>
              </w:rPr>
            </w:pPr>
            <w:r w:rsidRPr="007A51D7">
              <w:rPr>
                <w:rFonts w:cstheme="minorHAnsi"/>
                <w:sz w:val="24"/>
                <w:szCs w:val="24"/>
              </w:rPr>
              <w:t>1.07 ± 0.14 (n = 6)</w:t>
            </w:r>
          </w:p>
        </w:tc>
        <w:tc>
          <w:tcPr>
            <w:tcW w:w="0" w:type="auto"/>
            <w:hideMark/>
          </w:tcPr>
          <w:p w14:paraId="28130F1D" w14:textId="77777777" w:rsidR="007A51D7" w:rsidRPr="007A51D7" w:rsidRDefault="007A51D7" w:rsidP="005E1019">
            <w:pPr>
              <w:spacing w:line="259" w:lineRule="auto"/>
              <w:rPr>
                <w:rFonts w:cstheme="minorHAnsi"/>
                <w:sz w:val="24"/>
                <w:szCs w:val="24"/>
              </w:rPr>
            </w:pPr>
            <w:r w:rsidRPr="007A51D7">
              <w:rPr>
                <w:rFonts w:cstheme="minorHAnsi"/>
                <w:sz w:val="24"/>
                <w:szCs w:val="24"/>
              </w:rPr>
              <w:t>1.13 ± 0.09 (n = 6)</w:t>
            </w:r>
          </w:p>
        </w:tc>
        <w:tc>
          <w:tcPr>
            <w:tcW w:w="0" w:type="auto"/>
            <w:hideMark/>
          </w:tcPr>
          <w:p w14:paraId="7E378FDE" w14:textId="77777777" w:rsidR="007A51D7" w:rsidRPr="007A51D7" w:rsidRDefault="007A51D7" w:rsidP="005E1019">
            <w:pPr>
              <w:spacing w:line="259" w:lineRule="auto"/>
              <w:rPr>
                <w:rFonts w:cstheme="minorHAnsi"/>
                <w:sz w:val="24"/>
                <w:szCs w:val="24"/>
              </w:rPr>
            </w:pPr>
            <w:r w:rsidRPr="007A51D7">
              <w:rPr>
                <w:rFonts w:cstheme="minorHAnsi"/>
                <w:sz w:val="24"/>
                <w:szCs w:val="24"/>
              </w:rPr>
              <w:t>1.04 ± 0.09 (n = 6)</w:t>
            </w:r>
          </w:p>
        </w:tc>
      </w:tr>
    </w:tbl>
    <w:p w14:paraId="264C8EB5" w14:textId="77777777" w:rsidR="007A51D7" w:rsidRPr="007A51D7" w:rsidRDefault="007A51D7" w:rsidP="00FF6744">
      <w:pPr>
        <w:pStyle w:val="NoSpacing"/>
      </w:pPr>
      <w:r w:rsidRPr="007A51D7">
        <w:t>GSH indicates glutathione; Prdx-1, peroxiredoxin-1.Bcl-2, Prdx 1 and GSH synthetase band density normalized to β actin and resulting values normalized to corresponding normoxia values. n = number of rats. Values are mean ± SE.</w:t>
      </w:r>
    </w:p>
    <w:p w14:paraId="6B40E90F" w14:textId="0C4375D6" w:rsidR="007A51D7" w:rsidRDefault="007A51D7" w:rsidP="00FF6744">
      <w:pPr>
        <w:pStyle w:val="NoSpacing"/>
      </w:pPr>
      <w:r w:rsidRPr="007A51D7">
        <w:rPr>
          <w:rFonts w:ascii="Cambria Math" w:hAnsi="Cambria Math" w:cs="Cambria Math"/>
          <w:vertAlign w:val="superscript"/>
        </w:rPr>
        <w:t>∗</w:t>
      </w:r>
      <w:r w:rsidRPr="007A51D7">
        <w:t>Hyperoxia different from normoxia (</w:t>
      </w:r>
      <w:r w:rsidRPr="007A51D7">
        <w:rPr>
          <w:i/>
          <w:iCs/>
        </w:rPr>
        <w:t>P</w:t>
      </w:r>
      <w:r w:rsidRPr="007A51D7">
        <w:t> &lt; 0.05).</w:t>
      </w:r>
    </w:p>
    <w:p w14:paraId="5B4A48DB" w14:textId="77777777" w:rsidR="00FF6744" w:rsidRPr="007A51D7" w:rsidRDefault="00FF6744" w:rsidP="00FF6744">
      <w:pPr>
        <w:pStyle w:val="NoSpacing"/>
      </w:pPr>
    </w:p>
    <w:p w14:paraId="3439DCEF" w14:textId="77777777" w:rsidR="007A51D7" w:rsidRPr="007A51D7" w:rsidRDefault="007A51D7" w:rsidP="00FF6744">
      <w:pPr>
        <w:pStyle w:val="Heading2"/>
      </w:pPr>
      <w:r w:rsidRPr="007A51D7">
        <w:t>Imaging results</w:t>
      </w:r>
    </w:p>
    <w:p w14:paraId="2ADD99A9" w14:textId="3930E4C2" w:rsidR="007A51D7" w:rsidRPr="007A51D7" w:rsidRDefault="007A51D7" w:rsidP="007A51D7">
      <w:pPr>
        <w:rPr>
          <w:rFonts w:cstheme="minorHAnsi"/>
          <w:sz w:val="24"/>
          <w:szCs w:val="24"/>
        </w:rPr>
      </w:pPr>
      <w:r w:rsidRPr="007A51D7">
        <w:rPr>
          <w:rFonts w:cstheme="minorHAnsi"/>
          <w:sz w:val="24"/>
          <w:szCs w:val="24"/>
        </w:rPr>
        <w:t>Lung uptake of </w:t>
      </w:r>
      <w:r w:rsidRPr="007A51D7">
        <w:rPr>
          <w:rFonts w:cstheme="minorHAnsi"/>
          <w:sz w:val="24"/>
          <w:szCs w:val="24"/>
          <w:vertAlign w:val="superscript"/>
        </w:rPr>
        <w:t>99m</w:t>
      </w:r>
      <w:r w:rsidRPr="007A51D7">
        <w:rPr>
          <w:rFonts w:cstheme="minorHAnsi"/>
          <w:sz w:val="24"/>
          <w:szCs w:val="24"/>
        </w:rPr>
        <w:t>Tc-HMPAO was quantified from the biomarker images in groups of WT and KO rats exposed to either normoxia or hyperoxia. </w:t>
      </w:r>
      <w:r w:rsidRPr="00922FE2">
        <w:rPr>
          <w:rFonts w:cstheme="minorHAnsi"/>
          <w:sz w:val="24"/>
          <w:szCs w:val="24"/>
        </w:rPr>
        <w:t>Figure 3</w:t>
      </w:r>
      <w:r w:rsidRPr="007A51D7">
        <w:rPr>
          <w:rFonts w:cstheme="minorHAnsi"/>
          <w:sz w:val="24"/>
          <w:szCs w:val="24"/>
        </w:rPr>
        <w:t> shows lung uptake (the ratio of lung-to-background signal at steady-state) of </w:t>
      </w:r>
      <w:r w:rsidRPr="007A51D7">
        <w:rPr>
          <w:rFonts w:cstheme="minorHAnsi"/>
          <w:sz w:val="24"/>
          <w:szCs w:val="24"/>
          <w:vertAlign w:val="superscript"/>
        </w:rPr>
        <w:t>99m</w:t>
      </w:r>
      <w:r w:rsidRPr="007A51D7">
        <w:rPr>
          <w:rFonts w:cstheme="minorHAnsi"/>
          <w:sz w:val="24"/>
          <w:szCs w:val="24"/>
        </w:rPr>
        <w:t>Tc-HMPAO in all four groups of rats studied. One-way ANOVA using the Holm-Sidak method was used to evaluate differences between means of the four groups. </w:t>
      </w:r>
      <w:r w:rsidRPr="007A51D7">
        <w:rPr>
          <w:rFonts w:cstheme="minorHAnsi"/>
          <w:sz w:val="24"/>
          <w:szCs w:val="24"/>
          <w:vertAlign w:val="superscript"/>
        </w:rPr>
        <w:t>99m</w:t>
      </w:r>
      <w:r w:rsidRPr="007A51D7">
        <w:rPr>
          <w:rFonts w:cstheme="minorHAnsi"/>
          <w:sz w:val="24"/>
          <w:szCs w:val="24"/>
        </w:rPr>
        <w:t xml:space="preserve">Tc-HMPAO uptake was </w:t>
      </w:r>
      <w:r w:rsidRPr="007A51D7">
        <w:rPr>
          <w:rFonts w:ascii="Cambria Math" w:hAnsi="Cambria Math" w:cs="Cambria Math"/>
          <w:sz w:val="24"/>
          <w:szCs w:val="24"/>
        </w:rPr>
        <w:t>∼</w:t>
      </w:r>
      <w:r w:rsidRPr="007A51D7">
        <w:rPr>
          <w:rFonts w:cstheme="minorHAnsi"/>
          <w:sz w:val="24"/>
          <w:szCs w:val="24"/>
        </w:rPr>
        <w:t>120% greater in WT hyperoxia rats compared to WT normoxia rats, consistent with our previously published results in Sprague Dawley rats</w:t>
      </w:r>
      <w:r w:rsidRPr="007A51D7">
        <w:rPr>
          <w:rFonts w:cstheme="minorHAnsi"/>
          <w:sz w:val="24"/>
          <w:szCs w:val="24"/>
          <w:vertAlign w:val="superscript"/>
        </w:rPr>
        <w:t>26, 27</w:t>
      </w:r>
      <w:r w:rsidRPr="007A51D7">
        <w:rPr>
          <w:rFonts w:cstheme="minorHAnsi"/>
          <w:sz w:val="24"/>
          <w:szCs w:val="24"/>
        </w:rPr>
        <w:t>. </w:t>
      </w:r>
      <w:r w:rsidRPr="007A51D7">
        <w:rPr>
          <w:rFonts w:cstheme="minorHAnsi"/>
          <w:sz w:val="24"/>
          <w:szCs w:val="24"/>
          <w:vertAlign w:val="superscript"/>
        </w:rPr>
        <w:t>99m</w:t>
      </w:r>
      <w:r w:rsidRPr="007A51D7">
        <w:rPr>
          <w:rFonts w:cstheme="minorHAnsi"/>
          <w:sz w:val="24"/>
          <w:szCs w:val="24"/>
        </w:rPr>
        <w:t>Tc-HMPAO uptake was modestly increased in KO hyperoxia rats compared to KO normoxia; this increase was not significant and was 72% smaller than the increase with hyperoxia in the WT group.</w:t>
      </w:r>
    </w:p>
    <w:p w14:paraId="53B06AF8" w14:textId="77777777" w:rsidR="00FF6744" w:rsidRDefault="007A51D7" w:rsidP="00FF6744">
      <w:pPr>
        <w:pStyle w:val="NoSpacing"/>
      </w:pPr>
      <w:r w:rsidRPr="007A51D7">
        <w:rPr>
          <w:noProof/>
        </w:rPr>
        <w:drawing>
          <wp:inline distT="0" distB="0" distL="0" distR="0" wp14:anchorId="342FDD7E" wp14:editId="59A7AAF3">
            <wp:extent cx="2973161" cy="2171700"/>
            <wp:effectExtent l="0" t="0" r="0" b="0"/>
            <wp:docPr id="1" name="Picture 1" descr="Figure 3. Bar graph showing (L to R) WT normoxia, WT hyperoxia, KO normoxia, and KO hyperoxia. More detail in caption belo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Bar graph showing (L to R) WT normoxia, WT hyperoxia, KO normoxia, and KO hyperoxia. More detail in caption below.">
                      <a:hlinkClick r:id="rId1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4658" cy="2172793"/>
                    </a:xfrm>
                    <a:prstGeom prst="rect">
                      <a:avLst/>
                    </a:prstGeom>
                    <a:noFill/>
                    <a:ln>
                      <a:noFill/>
                    </a:ln>
                  </pic:spPr>
                </pic:pic>
              </a:graphicData>
            </a:graphic>
          </wp:inline>
        </w:drawing>
      </w:r>
    </w:p>
    <w:p w14:paraId="0BE1E5FB" w14:textId="5E2BC58C" w:rsidR="007A51D7" w:rsidRDefault="007A51D7" w:rsidP="00FF6744">
      <w:pPr>
        <w:pStyle w:val="NoSpacing"/>
      </w:pPr>
      <w:r w:rsidRPr="00922FE2">
        <w:rPr>
          <w:rFonts w:cstheme="minorHAnsi"/>
          <w:b/>
          <w:bCs/>
          <w:sz w:val="24"/>
          <w:szCs w:val="24"/>
        </w:rPr>
        <w:t>Fig. 3: </w:t>
      </w:r>
      <w:r w:rsidRPr="007A51D7">
        <w:t>Lung uptake of </w:t>
      </w:r>
      <w:r w:rsidRPr="007A51D7">
        <w:rPr>
          <w:vertAlign w:val="superscript"/>
        </w:rPr>
        <w:t>99m</w:t>
      </w:r>
      <w:r w:rsidRPr="007A51D7">
        <w:t>Tc-HMPAO in wild-type (WT) and knockout (KO) rats exposed to normoxia or hyperoxia. </w:t>
      </w:r>
      <w:r w:rsidRPr="007A51D7">
        <w:rPr>
          <w:rFonts w:ascii="Cambria Math" w:hAnsi="Cambria Math" w:cs="Cambria Math"/>
          <w:vertAlign w:val="superscript"/>
        </w:rPr>
        <w:t>∗</w:t>
      </w:r>
      <w:r w:rsidRPr="007A51D7">
        <w:t> Different between WT normoxia and WT hyperoxia. </w:t>
      </w:r>
      <w:r w:rsidRPr="007A51D7">
        <w:rPr>
          <w:vertAlign w:val="superscript"/>
        </w:rPr>
        <w:t>&amp;</w:t>
      </w:r>
      <w:r w:rsidRPr="007A51D7">
        <w:t> Different between WT hyperoxia and KO hyperoxia. n = number of rats: WT normoxia</w:t>
      </w:r>
      <w:r w:rsidRPr="007A51D7">
        <w:rPr>
          <w:vertAlign w:val="superscript"/>
        </w:rPr>
        <w:t>3</w:t>
      </w:r>
      <w:r w:rsidRPr="007A51D7">
        <w:t>, WT hyperoxia</w:t>
      </w:r>
      <w:r w:rsidRPr="007A51D7">
        <w:rPr>
          <w:vertAlign w:val="superscript"/>
        </w:rPr>
        <w:t>5</w:t>
      </w:r>
      <w:r w:rsidRPr="007A51D7">
        <w:t>, KO normoxia</w:t>
      </w:r>
      <w:r w:rsidRPr="007A51D7">
        <w:rPr>
          <w:vertAlign w:val="superscript"/>
        </w:rPr>
        <w:t>5</w:t>
      </w:r>
      <w:r w:rsidRPr="007A51D7">
        <w:t>, and KO hyperoxia</w:t>
      </w:r>
      <w:r w:rsidRPr="007A51D7">
        <w:rPr>
          <w:vertAlign w:val="superscript"/>
        </w:rPr>
        <w:t>7</w:t>
      </w:r>
      <w:r w:rsidRPr="007A51D7">
        <w:t>.</w:t>
      </w:r>
    </w:p>
    <w:p w14:paraId="14B10A30" w14:textId="77777777" w:rsidR="00FF6744" w:rsidRPr="007A51D7" w:rsidRDefault="00FF6744" w:rsidP="00FF6744">
      <w:pPr>
        <w:pStyle w:val="NoSpacing"/>
      </w:pPr>
    </w:p>
    <w:p w14:paraId="74408507" w14:textId="77777777" w:rsidR="007A51D7" w:rsidRPr="007A51D7" w:rsidRDefault="007A51D7" w:rsidP="00FF6744">
      <w:pPr>
        <w:pStyle w:val="Heading1"/>
      </w:pPr>
      <w:r w:rsidRPr="007A51D7">
        <w:t>DISCUSSION</w:t>
      </w:r>
    </w:p>
    <w:p w14:paraId="6A3C5C3F" w14:textId="6377B987" w:rsidR="007A51D7" w:rsidRPr="007A51D7" w:rsidRDefault="007A51D7" w:rsidP="007A51D7">
      <w:pPr>
        <w:rPr>
          <w:rFonts w:cstheme="minorHAnsi"/>
          <w:sz w:val="24"/>
          <w:szCs w:val="24"/>
        </w:rPr>
      </w:pPr>
      <w:r w:rsidRPr="007A51D7">
        <w:rPr>
          <w:rFonts w:cstheme="minorHAnsi"/>
          <w:sz w:val="24"/>
          <w:szCs w:val="24"/>
        </w:rPr>
        <w:t>The transcription factor Nrf2, which is constitutively localized mainly in the cytosol, translocates to the nucleus in response to oxidative stress, where it up-regulates a wide range of cytoprotective genes via the anti-oxidant response element (ARE) signaling pathway. As such, the Nrf2-ARE signaling pathway is a positive regulator of many cytoprotective genes, including those that encode for antioxidant enzymes (e.g., GSH system), anti-inflammatory enzymes (e.g., hemeoxygenase1), anti-apoptotic proteins (e.g., Bcl-2), and phase II detoxifying enzymes (e.g., NQO1), and is a key regular of redox homoeostasis</w:t>
      </w:r>
      <w:r w:rsidRPr="007A51D7">
        <w:rPr>
          <w:rFonts w:cstheme="minorHAnsi"/>
          <w:sz w:val="24"/>
          <w:szCs w:val="24"/>
          <w:vertAlign w:val="superscript"/>
        </w:rPr>
        <w:t>13–15, 33</w:t>
      </w:r>
      <w:r w:rsidRPr="007A51D7">
        <w:rPr>
          <w:rFonts w:cstheme="minorHAnsi"/>
          <w:sz w:val="24"/>
          <w:szCs w:val="24"/>
        </w:rPr>
        <w:t>. The objective of this study was to assess the role of the Nrf2-ARE signaling pathway in protection against hyperoxia-induced acute lung injury (HALI) using Nrf2 KO rats. The results are the first to demonstrate that the Nrf2-ARE signaling pathway provides some protection against lung injury in rats exposed to hyperoxia for 48 h, as reflected by greater hyperoxia-induced histological injury, higher filtration coefficient, and higher hyperoxia-induced increases in lung expressions of 3-NT and IL-1β in KO rats compared to WT rats. Other novel aspects of this study include the use of SPECT imaging to track the protection offered by the Nrf2 pathway against HALI </w:t>
      </w:r>
      <w:r w:rsidRPr="007A51D7">
        <w:rPr>
          <w:rFonts w:cstheme="minorHAnsi"/>
          <w:i/>
          <w:iCs/>
          <w:sz w:val="24"/>
          <w:szCs w:val="24"/>
        </w:rPr>
        <w:t>in vivo</w:t>
      </w:r>
      <w:r w:rsidRPr="007A51D7">
        <w:rPr>
          <w:rFonts w:cstheme="minorHAnsi"/>
          <w:sz w:val="24"/>
          <w:szCs w:val="24"/>
        </w:rPr>
        <w:t>, and the assessment of the protective role of this pathway against any hyperoxia-induced increase in pulmonary vascular endothelial filtration coefficient, a measure of vascular permeability, in isolated perfused lungs.</w:t>
      </w:r>
    </w:p>
    <w:p w14:paraId="28ABBCB9" w14:textId="66DF254F" w:rsidR="007A51D7" w:rsidRPr="007A51D7" w:rsidRDefault="007A51D7" w:rsidP="007A51D7">
      <w:pPr>
        <w:rPr>
          <w:rFonts w:cstheme="minorHAnsi"/>
          <w:sz w:val="24"/>
          <w:szCs w:val="24"/>
        </w:rPr>
      </w:pPr>
      <w:r w:rsidRPr="007A51D7">
        <w:rPr>
          <w:rFonts w:cstheme="minorHAnsi"/>
          <w:sz w:val="24"/>
          <w:szCs w:val="24"/>
        </w:rPr>
        <w:t>The SPECT biomarker </w:t>
      </w:r>
      <w:r w:rsidRPr="007A51D7">
        <w:rPr>
          <w:rFonts w:cstheme="minorHAnsi"/>
          <w:sz w:val="24"/>
          <w:szCs w:val="24"/>
          <w:vertAlign w:val="superscript"/>
        </w:rPr>
        <w:t>99m</w:t>
      </w:r>
      <w:r w:rsidRPr="007A51D7">
        <w:rPr>
          <w:rFonts w:cstheme="minorHAnsi"/>
          <w:sz w:val="24"/>
          <w:szCs w:val="24"/>
        </w:rPr>
        <w:t>Tc-HMPAO was originally developed as a brain perfusion agent but its uptake and retention in several tissues serves as a marker of tissue redox state</w:t>
      </w:r>
      <w:r w:rsidRPr="007A51D7">
        <w:rPr>
          <w:rFonts w:cstheme="minorHAnsi"/>
          <w:sz w:val="24"/>
          <w:szCs w:val="24"/>
          <w:vertAlign w:val="superscript"/>
        </w:rPr>
        <w:t>26, 34</w:t>
      </w:r>
      <w:r w:rsidRPr="007A51D7">
        <w:rPr>
          <w:rFonts w:cstheme="minorHAnsi"/>
          <w:sz w:val="24"/>
          <w:szCs w:val="24"/>
        </w:rPr>
        <w:t>. We have previously shown that in the lung, </w:t>
      </w:r>
      <w:r w:rsidRPr="007A51D7">
        <w:rPr>
          <w:rFonts w:cstheme="minorHAnsi"/>
          <w:sz w:val="24"/>
          <w:szCs w:val="24"/>
          <w:vertAlign w:val="superscript"/>
        </w:rPr>
        <w:t>99m</w:t>
      </w:r>
      <w:r w:rsidRPr="007A51D7">
        <w:rPr>
          <w:rFonts w:cstheme="minorHAnsi"/>
          <w:sz w:val="24"/>
          <w:szCs w:val="24"/>
        </w:rPr>
        <w:t>Tc-HMPAO reduction and thus its cellular retention, is strongly dependent on the oxidoreductive state of the tissue including intracellular GSH content. This is evidenced by a strong correlation between </w:t>
      </w:r>
      <w:r w:rsidRPr="007A51D7">
        <w:rPr>
          <w:rFonts w:cstheme="minorHAnsi"/>
          <w:sz w:val="24"/>
          <w:szCs w:val="24"/>
          <w:vertAlign w:val="superscript"/>
        </w:rPr>
        <w:t>99m</w:t>
      </w:r>
      <w:r w:rsidRPr="007A51D7">
        <w:rPr>
          <w:rFonts w:cstheme="minorHAnsi"/>
          <w:sz w:val="24"/>
          <w:szCs w:val="24"/>
        </w:rPr>
        <w:t>Tc-HMPAO lung uptake and lung tissue GSH content under a range of experimental conditions including duration of exposure to hyperoxia, mild and severe ALI resulting from intratracheal instillation of lipopolysaccharide, and treatment of HALI with hydrogen therapy</w:t>
      </w:r>
      <w:r w:rsidRPr="007A51D7">
        <w:rPr>
          <w:rFonts w:cstheme="minorHAnsi"/>
          <w:sz w:val="24"/>
          <w:szCs w:val="24"/>
          <w:vertAlign w:val="superscript"/>
        </w:rPr>
        <w:t>26, 27</w:t>
      </w:r>
      <w:r w:rsidRPr="007A51D7">
        <w:rPr>
          <w:rFonts w:cstheme="minorHAnsi"/>
          <w:sz w:val="24"/>
          <w:szCs w:val="24"/>
        </w:rPr>
        <w:t>. One of our long-term goals is to use SPECT imaging for early detection of clinical ALI and for stratifying the risk of ARDS development in hosts with risk factors for ARDS. Knockout models such as Nrf2 provide a platform for assessing differences in key cellular processes that make a host more or less likely to develop ARDS. The measured differences in lung uptake of HMPAO </w:t>
      </w:r>
      <w:r w:rsidRPr="007A51D7">
        <w:rPr>
          <w:rFonts w:cstheme="minorHAnsi"/>
          <w:i/>
          <w:iCs/>
          <w:sz w:val="24"/>
          <w:szCs w:val="24"/>
        </w:rPr>
        <w:t>in vivo</w:t>
      </w:r>
      <w:r w:rsidRPr="007A51D7">
        <w:rPr>
          <w:rFonts w:cstheme="minorHAnsi"/>
          <w:sz w:val="24"/>
          <w:szCs w:val="24"/>
        </w:rPr>
        <w:t> between Nrf2 KO and WT rats following exposure to hyperoxia could be reflective of the protection offered by the Nrf2 pathway against hyperoxia-induced ALI. These results may have prognostic value in terms of early detection of ALI and/or for stratifying the risk of ARDS development in patients with risk factors for ARDS.</w:t>
      </w:r>
    </w:p>
    <w:p w14:paraId="5F73C4E5" w14:textId="0E286364" w:rsidR="007A51D7" w:rsidRPr="007A51D7" w:rsidRDefault="007A51D7" w:rsidP="007A51D7">
      <w:pPr>
        <w:rPr>
          <w:rFonts w:cstheme="minorHAnsi"/>
          <w:sz w:val="24"/>
          <w:szCs w:val="24"/>
        </w:rPr>
      </w:pPr>
      <w:r w:rsidRPr="007A51D7">
        <w:rPr>
          <w:rFonts w:cstheme="minorHAnsi"/>
          <w:sz w:val="24"/>
          <w:szCs w:val="24"/>
        </w:rPr>
        <w:t>This study also reported higher lung expression of GSH synthetase and higher </w:t>
      </w:r>
      <w:r w:rsidRPr="007A51D7">
        <w:rPr>
          <w:rFonts w:cstheme="minorHAnsi"/>
          <w:i/>
          <w:iCs/>
          <w:sz w:val="24"/>
          <w:szCs w:val="24"/>
        </w:rPr>
        <w:t>in vivo</w:t>
      </w:r>
      <w:r w:rsidRPr="007A51D7">
        <w:rPr>
          <w:rFonts w:cstheme="minorHAnsi"/>
          <w:sz w:val="24"/>
          <w:szCs w:val="24"/>
        </w:rPr>
        <w:t> lung uptake of the GSH-sensitive SPECT biomarker HMPAO in WT compared to KO rats. These results suggest a larger hyperoxia-induced increase in the lung GSH redox pathway in Nrf2 WT rats compared to KO rats, suggesting that protection offered by the Nrf2-ARE signaling pathway against HALI is via the Nrf2-regulated GSH redox pathway</w:t>
      </w:r>
      <w:r w:rsidRPr="007A51D7">
        <w:rPr>
          <w:rFonts w:cstheme="minorHAnsi"/>
          <w:sz w:val="24"/>
          <w:szCs w:val="24"/>
          <w:vertAlign w:val="superscript"/>
        </w:rPr>
        <w:t>20</w:t>
      </w:r>
      <w:r w:rsidRPr="007A51D7">
        <w:rPr>
          <w:rFonts w:cstheme="minorHAnsi"/>
          <w:sz w:val="24"/>
          <w:szCs w:val="24"/>
        </w:rPr>
        <w:t>. Further evidence of protection of the capillary-alveolar barrier is suggested by the lower values of the edema histological scores (</w:t>
      </w:r>
      <w:r w:rsidRPr="00922FE2">
        <w:rPr>
          <w:rFonts w:cstheme="minorHAnsi"/>
          <w:sz w:val="24"/>
          <w:szCs w:val="24"/>
        </w:rPr>
        <w:t>Table 3</w:t>
      </w:r>
      <w:r w:rsidRPr="007A51D7">
        <w:rPr>
          <w:rFonts w:cstheme="minorHAnsi"/>
          <w:sz w:val="24"/>
          <w:szCs w:val="24"/>
        </w:rPr>
        <w:t>) and </w:t>
      </w:r>
      <w:proofErr w:type="spellStart"/>
      <w:r w:rsidRPr="007A51D7">
        <w:rPr>
          <w:rFonts w:cstheme="minorHAnsi"/>
          <w:i/>
          <w:iCs/>
          <w:sz w:val="24"/>
          <w:szCs w:val="24"/>
        </w:rPr>
        <w:t>K</w:t>
      </w:r>
      <w:r w:rsidRPr="007A51D7">
        <w:rPr>
          <w:rFonts w:cstheme="minorHAnsi"/>
          <w:i/>
          <w:iCs/>
          <w:sz w:val="24"/>
          <w:szCs w:val="24"/>
          <w:vertAlign w:val="subscript"/>
        </w:rPr>
        <w:t>f</w:t>
      </w:r>
      <w:proofErr w:type="spellEnd"/>
      <w:r w:rsidRPr="007A51D7">
        <w:rPr>
          <w:rFonts w:cstheme="minorHAnsi"/>
          <w:sz w:val="24"/>
          <w:szCs w:val="24"/>
        </w:rPr>
        <w:t> (</w:t>
      </w:r>
      <w:r w:rsidRPr="00922FE2">
        <w:rPr>
          <w:rFonts w:cstheme="minorHAnsi"/>
          <w:sz w:val="24"/>
          <w:szCs w:val="24"/>
        </w:rPr>
        <w:t>Fig. 1</w:t>
      </w:r>
      <w:r w:rsidRPr="007A51D7">
        <w:rPr>
          <w:rFonts w:cstheme="minorHAnsi"/>
          <w:sz w:val="24"/>
          <w:szCs w:val="24"/>
        </w:rPr>
        <w:t xml:space="preserve">) in </w:t>
      </w:r>
      <w:proofErr w:type="spellStart"/>
      <w:r w:rsidRPr="007A51D7">
        <w:rPr>
          <w:rFonts w:cstheme="minorHAnsi"/>
          <w:sz w:val="24"/>
          <w:szCs w:val="24"/>
        </w:rPr>
        <w:t>hyperoxic</w:t>
      </w:r>
      <w:proofErr w:type="spellEnd"/>
      <w:r w:rsidRPr="007A51D7">
        <w:rPr>
          <w:rFonts w:cstheme="minorHAnsi"/>
          <w:sz w:val="24"/>
          <w:szCs w:val="24"/>
        </w:rPr>
        <w:t xml:space="preserve"> WT relative to hyperoxic KO lungs.</w:t>
      </w:r>
    </w:p>
    <w:p w14:paraId="77556E2A" w14:textId="7D9F36C2" w:rsidR="007A51D7" w:rsidRPr="007A51D7" w:rsidRDefault="007A51D7" w:rsidP="007A51D7">
      <w:pPr>
        <w:rPr>
          <w:rFonts w:cstheme="minorHAnsi"/>
          <w:sz w:val="24"/>
          <w:szCs w:val="24"/>
        </w:rPr>
      </w:pPr>
      <w:r w:rsidRPr="007A51D7">
        <w:rPr>
          <w:rFonts w:cstheme="minorHAnsi"/>
          <w:sz w:val="24"/>
          <w:szCs w:val="24"/>
        </w:rPr>
        <w:t>We and other have measured reduced (GSH) and oxidized (GSSG) forms of glutathione content of lung tissue homogenates</w:t>
      </w:r>
      <w:r w:rsidRPr="007A51D7">
        <w:rPr>
          <w:rFonts w:cstheme="minorHAnsi"/>
          <w:sz w:val="24"/>
          <w:szCs w:val="24"/>
          <w:vertAlign w:val="superscript"/>
        </w:rPr>
        <w:t>24, 35–37</w:t>
      </w:r>
      <w:r w:rsidRPr="007A51D7">
        <w:rPr>
          <w:rFonts w:cstheme="minorHAnsi"/>
          <w:sz w:val="24"/>
          <w:szCs w:val="24"/>
        </w:rPr>
        <w:t xml:space="preserve">. Results showed that </w:t>
      </w:r>
      <w:r w:rsidRPr="007A51D7">
        <w:rPr>
          <w:rFonts w:ascii="Cambria Math" w:hAnsi="Cambria Math" w:cs="Cambria Math"/>
          <w:sz w:val="24"/>
          <w:szCs w:val="24"/>
        </w:rPr>
        <w:t>∼</w:t>
      </w:r>
      <w:r w:rsidRPr="007A51D7">
        <w:rPr>
          <w:rFonts w:cstheme="minorHAnsi"/>
          <w:sz w:val="24"/>
          <w:szCs w:val="24"/>
        </w:rPr>
        <w:t>99% of lung tissue glutathione content is in the GSH form, with a GSH:GSSG ratio of &gt;100 under various experimental conditions</w:t>
      </w:r>
      <w:r w:rsidRPr="007A51D7">
        <w:rPr>
          <w:rFonts w:cstheme="minorHAnsi"/>
          <w:sz w:val="24"/>
          <w:szCs w:val="24"/>
          <w:vertAlign w:val="superscript"/>
        </w:rPr>
        <w:t>24, 35–37</w:t>
      </w:r>
      <w:r w:rsidRPr="007A51D7">
        <w:rPr>
          <w:rFonts w:cstheme="minorHAnsi"/>
          <w:sz w:val="24"/>
          <w:szCs w:val="24"/>
        </w:rPr>
        <w:t>. In fact, the lung tissue GSSH content is low enough that in some conditions it was lower than the detection limit of the assay</w:t>
      </w:r>
      <w:r w:rsidRPr="007A51D7">
        <w:rPr>
          <w:rFonts w:cstheme="minorHAnsi"/>
          <w:sz w:val="24"/>
          <w:szCs w:val="24"/>
          <w:vertAlign w:val="superscript"/>
        </w:rPr>
        <w:t>24</w:t>
      </w:r>
      <w:r w:rsidRPr="007A51D7">
        <w:rPr>
          <w:rFonts w:cstheme="minorHAnsi"/>
          <w:sz w:val="24"/>
          <w:szCs w:val="24"/>
        </w:rPr>
        <w:t>. As such, GSH/GSSH is not a sensitive or accurate measure of pulmonary oxidative stress. Instead, for the present study we measured lung tissue expression of 3-NT as an index of oxidative stress. Results (</w:t>
      </w:r>
      <w:r w:rsidRPr="00922FE2">
        <w:rPr>
          <w:rFonts w:cstheme="minorHAnsi"/>
          <w:sz w:val="24"/>
          <w:szCs w:val="24"/>
        </w:rPr>
        <w:t>Table 2</w:t>
      </w:r>
      <w:r w:rsidRPr="007A51D7">
        <w:rPr>
          <w:rFonts w:cstheme="minorHAnsi"/>
          <w:sz w:val="24"/>
          <w:szCs w:val="24"/>
        </w:rPr>
        <w:t>) show higher hyperoxia-induced increases in lung expressions of 3-NT in KO rats compared to WT rats. Curiously, normoxic Nrf2 WT lung tissue had higher expressions of 3-NT and IL-1β than normoxic Nrf2 KO lung tissue (Supplemental Digital Content, </w:t>
      </w:r>
      <w:r w:rsidRPr="00922FE2">
        <w:rPr>
          <w:rFonts w:cstheme="minorHAnsi"/>
          <w:sz w:val="24"/>
          <w:szCs w:val="24"/>
        </w:rPr>
        <w:t>https://links.lww.com/SHK/B378</w:t>
      </w:r>
      <w:r w:rsidRPr="007A51D7">
        <w:rPr>
          <w:rFonts w:cstheme="minorHAnsi"/>
          <w:sz w:val="24"/>
          <w:szCs w:val="24"/>
        </w:rPr>
        <w:t>). Some sort of compensatory responses to shifts in pro- and anti-oxidant defense stress proteins in the KO relative to WT rats is possible, but is beyond the scope of the present work.</w:t>
      </w:r>
    </w:p>
    <w:p w14:paraId="23702D75" w14:textId="0552B2E1" w:rsidR="007A51D7" w:rsidRPr="007A51D7" w:rsidRDefault="007A51D7" w:rsidP="007A51D7">
      <w:pPr>
        <w:rPr>
          <w:rFonts w:cstheme="minorHAnsi"/>
          <w:sz w:val="24"/>
          <w:szCs w:val="24"/>
        </w:rPr>
      </w:pPr>
      <w:r w:rsidRPr="007A51D7">
        <w:rPr>
          <w:rFonts w:cstheme="minorHAnsi"/>
          <w:sz w:val="24"/>
          <w:szCs w:val="24"/>
        </w:rPr>
        <w:t>Previous studies using genetically-modified mice have suggested that the Nrf2-ARE signaling pathway provides protection against HALI</w:t>
      </w:r>
      <w:r w:rsidRPr="007A51D7">
        <w:rPr>
          <w:rFonts w:cstheme="minorHAnsi"/>
          <w:sz w:val="24"/>
          <w:szCs w:val="24"/>
          <w:vertAlign w:val="superscript"/>
        </w:rPr>
        <w:t>18–22</w:t>
      </w:r>
      <w:r w:rsidRPr="007A51D7">
        <w:rPr>
          <w:rFonts w:cstheme="minorHAnsi"/>
          <w:sz w:val="24"/>
          <w:szCs w:val="24"/>
        </w:rPr>
        <w:t>. Reddy et al. showed that after 48 h of hyperoxia, the expressions of Gclc glutamate-systeine catalytic subunit (a key enzyme for GSH biosynthesis) and GSH peroxidase were increased significantly in WT compared to normoxia mice, but not in KO mice</w:t>
      </w:r>
      <w:r w:rsidRPr="007A51D7">
        <w:rPr>
          <w:rFonts w:cstheme="minorHAnsi"/>
          <w:sz w:val="24"/>
          <w:szCs w:val="24"/>
          <w:vertAlign w:val="superscript"/>
        </w:rPr>
        <w:t>20</w:t>
      </w:r>
      <w:r w:rsidRPr="007A51D7">
        <w:rPr>
          <w:rFonts w:cstheme="minorHAnsi"/>
          <w:sz w:val="24"/>
          <w:szCs w:val="24"/>
        </w:rPr>
        <w:t>. Consistent with these results, they reported that total lung GSH levels increased with hyperoxia in WT mice but decreased in KO mice</w:t>
      </w:r>
      <w:r w:rsidRPr="007A51D7">
        <w:rPr>
          <w:rFonts w:cstheme="minorHAnsi"/>
          <w:sz w:val="24"/>
          <w:szCs w:val="24"/>
          <w:vertAlign w:val="superscript"/>
        </w:rPr>
        <w:t>20</w:t>
      </w:r>
      <w:r w:rsidRPr="007A51D7">
        <w:rPr>
          <w:rFonts w:cstheme="minorHAnsi"/>
          <w:sz w:val="24"/>
          <w:szCs w:val="24"/>
        </w:rPr>
        <w:t>. Cho et al. reported that the lung expression of GSH S transferases (GST-Ya) increased more in Nrf2 WT mice than KO mice following exposure to hyperoxia for 72 h as compared to normoxia</w:t>
      </w:r>
      <w:r w:rsidRPr="007A51D7">
        <w:rPr>
          <w:rFonts w:cstheme="minorHAnsi"/>
          <w:sz w:val="24"/>
          <w:szCs w:val="24"/>
          <w:vertAlign w:val="superscript"/>
        </w:rPr>
        <w:t>18</w:t>
      </w:r>
      <w:r w:rsidRPr="007A51D7">
        <w:rPr>
          <w:rFonts w:cstheme="minorHAnsi"/>
          <w:sz w:val="24"/>
          <w:szCs w:val="24"/>
        </w:rPr>
        <w:t>. Furthermore, they showed that lung expression of GSH peroxidase increased more in Nrf2 WT mice than in KO mice following exposure to hyperoxia</w:t>
      </w:r>
      <w:r w:rsidRPr="007A51D7">
        <w:rPr>
          <w:rFonts w:cstheme="minorHAnsi"/>
          <w:sz w:val="24"/>
          <w:szCs w:val="24"/>
          <w:vertAlign w:val="superscript"/>
        </w:rPr>
        <w:t>18</w:t>
      </w:r>
      <w:r w:rsidRPr="007A51D7">
        <w:rPr>
          <w:rFonts w:cstheme="minorHAnsi"/>
          <w:sz w:val="24"/>
          <w:szCs w:val="24"/>
        </w:rPr>
        <w:t>. Those results are consistent with results of the present study in rats which show a hyperoxia-induced increase in the lung expression of GSH synthetase (</w:t>
      </w:r>
      <w:r w:rsidRPr="00922FE2">
        <w:rPr>
          <w:rFonts w:cstheme="minorHAnsi"/>
          <w:sz w:val="24"/>
          <w:szCs w:val="24"/>
        </w:rPr>
        <w:t>Table 4</w:t>
      </w:r>
      <w:r w:rsidRPr="007A51D7">
        <w:rPr>
          <w:rFonts w:cstheme="minorHAnsi"/>
          <w:sz w:val="24"/>
          <w:szCs w:val="24"/>
        </w:rPr>
        <w:t>) and in the lung uptake of the GSH-sensitive SPECT biomarker HMPAO (</w:t>
      </w:r>
      <w:r w:rsidRPr="00922FE2">
        <w:rPr>
          <w:rFonts w:cstheme="minorHAnsi"/>
          <w:sz w:val="24"/>
          <w:szCs w:val="24"/>
        </w:rPr>
        <w:t>Fig. 3</w:t>
      </w:r>
      <w:r w:rsidRPr="007A51D7">
        <w:rPr>
          <w:rFonts w:cstheme="minorHAnsi"/>
          <w:sz w:val="24"/>
          <w:szCs w:val="24"/>
        </w:rPr>
        <w:t>) in Nrf2 WT, but not KO, rats. Furthermore, the results of the present study suggest less HALI in WT rats than Nrf2 KO rats, consistent with results from a previous study regarding a role for the Nrf2-regulated GSH redox pathway in the protection offered by the Nrf2-ARE signaling pathway against HALI</w:t>
      </w:r>
      <w:r w:rsidRPr="007A51D7">
        <w:rPr>
          <w:rFonts w:cstheme="minorHAnsi"/>
          <w:sz w:val="24"/>
          <w:szCs w:val="24"/>
          <w:vertAlign w:val="superscript"/>
        </w:rPr>
        <w:t>20</w:t>
      </w:r>
      <w:r w:rsidRPr="007A51D7">
        <w:rPr>
          <w:rFonts w:cstheme="minorHAnsi"/>
          <w:sz w:val="24"/>
          <w:szCs w:val="24"/>
        </w:rPr>
        <w:t>.</w:t>
      </w:r>
    </w:p>
    <w:p w14:paraId="218CA012" w14:textId="300EE108" w:rsidR="007A51D7" w:rsidRPr="007A51D7" w:rsidRDefault="007A51D7" w:rsidP="007A51D7">
      <w:pPr>
        <w:rPr>
          <w:rFonts w:cstheme="minorHAnsi"/>
          <w:sz w:val="24"/>
          <w:szCs w:val="24"/>
        </w:rPr>
      </w:pPr>
      <w:r w:rsidRPr="007A51D7">
        <w:rPr>
          <w:rFonts w:cstheme="minorHAnsi"/>
          <w:sz w:val="24"/>
          <w:szCs w:val="24"/>
        </w:rPr>
        <w:t>Reddy et al. showed histological evidence of hemorrhage and alveolar damage in lungs of both Nrf2 WT and KO mice following exposure to hyperoxia for 48 h, but the injury endpoints and lung wet-to-dry weight ratios were not different between Nrf2 WT and KO mice</w:t>
      </w:r>
      <w:r w:rsidRPr="007A51D7">
        <w:rPr>
          <w:rFonts w:cstheme="minorHAnsi"/>
          <w:sz w:val="24"/>
          <w:szCs w:val="24"/>
          <w:vertAlign w:val="superscript"/>
        </w:rPr>
        <w:t>20</w:t>
      </w:r>
      <w:r w:rsidRPr="007A51D7">
        <w:rPr>
          <w:rFonts w:cstheme="minorHAnsi"/>
          <w:sz w:val="24"/>
          <w:szCs w:val="24"/>
        </w:rPr>
        <w:t>. TUNEL staining supported an increase in cell death in both WT and KO mice with hyperoxia, but the difference between WT and KO was not significant</w:t>
      </w:r>
      <w:r w:rsidRPr="007A51D7">
        <w:rPr>
          <w:rFonts w:cstheme="minorHAnsi"/>
          <w:sz w:val="24"/>
          <w:szCs w:val="24"/>
          <w:vertAlign w:val="superscript"/>
        </w:rPr>
        <w:t>20</w:t>
      </w:r>
      <w:r w:rsidRPr="007A51D7">
        <w:rPr>
          <w:rFonts w:cstheme="minorHAnsi"/>
          <w:sz w:val="24"/>
          <w:szCs w:val="24"/>
        </w:rPr>
        <w:t>. On the other hand, the lung expression levels of the pro-inflammatory cytokine interleukin 6 (IL-6) increased significantly in WT mice with hyperoxia, compared to a smaller increase in KO mice. These results are generally consistent with results in the present study in rats (</w:t>
      </w:r>
      <w:r w:rsidRPr="00922FE2">
        <w:rPr>
          <w:rFonts w:cstheme="minorHAnsi"/>
          <w:sz w:val="24"/>
          <w:szCs w:val="24"/>
        </w:rPr>
        <w:t>Tables 2–4</w:t>
      </w:r>
      <w:r w:rsidRPr="007A51D7">
        <w:rPr>
          <w:rFonts w:cstheme="minorHAnsi"/>
          <w:sz w:val="24"/>
          <w:szCs w:val="24"/>
        </w:rPr>
        <w:t>).</w:t>
      </w:r>
    </w:p>
    <w:p w14:paraId="2AE59FB8" w14:textId="2844B7CF" w:rsidR="007A51D7" w:rsidRPr="007A51D7" w:rsidRDefault="007A51D7" w:rsidP="007A51D7">
      <w:pPr>
        <w:rPr>
          <w:rFonts w:cstheme="minorHAnsi"/>
          <w:sz w:val="24"/>
          <w:szCs w:val="24"/>
        </w:rPr>
      </w:pPr>
      <w:r w:rsidRPr="007A51D7">
        <w:rPr>
          <w:rFonts w:cstheme="minorHAnsi"/>
          <w:sz w:val="24"/>
          <w:szCs w:val="24"/>
        </w:rPr>
        <w:t>Although there is evidence that Nrf2-regulated GSH synthesis offers protection against hyperoxia-induced injury and plays a role in the resolution of lung injury following exposure to hyperoxia, the mechanism of this protection is not well understood. Oxidative-stress induced mitochondrial dysfunction plays a key role in the pathogenesis of HALI</w:t>
      </w:r>
      <w:r w:rsidRPr="007A51D7">
        <w:rPr>
          <w:rFonts w:cstheme="minorHAnsi"/>
          <w:sz w:val="24"/>
          <w:szCs w:val="24"/>
          <w:vertAlign w:val="superscript"/>
        </w:rPr>
        <w:t>31, 38–45</w:t>
      </w:r>
      <w:r w:rsidRPr="007A51D7">
        <w:rPr>
          <w:rFonts w:cstheme="minorHAnsi"/>
          <w:sz w:val="24"/>
          <w:szCs w:val="24"/>
        </w:rPr>
        <w:t>. The Nrf2-ARE pathway could protect mitochondria from oxidative stress associated with HALI via its effect on GSH synthesis</w:t>
      </w:r>
      <w:r w:rsidRPr="007A51D7">
        <w:rPr>
          <w:rFonts w:cstheme="minorHAnsi"/>
          <w:sz w:val="24"/>
          <w:szCs w:val="24"/>
          <w:vertAlign w:val="superscript"/>
        </w:rPr>
        <w:t>13, 14</w:t>
      </w:r>
      <w:r w:rsidRPr="007A51D7">
        <w:rPr>
          <w:rFonts w:cstheme="minorHAnsi"/>
          <w:sz w:val="24"/>
          <w:szCs w:val="24"/>
        </w:rPr>
        <w:t>. As a regulator of cellular redox homeostasis, Nrf2 has an important effect on mitochondrial function</w:t>
      </w:r>
      <w:r w:rsidRPr="007A51D7">
        <w:rPr>
          <w:rFonts w:cstheme="minorHAnsi"/>
          <w:sz w:val="24"/>
          <w:szCs w:val="24"/>
          <w:vertAlign w:val="superscript"/>
        </w:rPr>
        <w:t>14, 17, 46</w:t>
      </w:r>
      <w:r w:rsidRPr="007A51D7">
        <w:rPr>
          <w:rFonts w:cstheme="minorHAnsi"/>
          <w:sz w:val="24"/>
          <w:szCs w:val="24"/>
        </w:rPr>
        <w:t>. Previous studies reported a decrease in basal cellular respiration and mitochondrial ATP production as well as mitochondrial membrane potential depolarization in cells from Nrf2 knockout mice and an increase in cells from Kelch-like ECH-associated protein 1 (Keap1) knockout mice, where Keap1 is a cytoplasmic protein that acts as an inhibitor of Nrf2 transcriptional function by binding at its N-terminal regulatory domain</w:t>
      </w:r>
      <w:r w:rsidRPr="007A51D7">
        <w:rPr>
          <w:rFonts w:cstheme="minorHAnsi"/>
          <w:sz w:val="24"/>
          <w:szCs w:val="24"/>
          <w:vertAlign w:val="superscript"/>
        </w:rPr>
        <w:t>13, 14, 17, 46</w:t>
      </w:r>
      <w:r w:rsidRPr="007A51D7">
        <w:rPr>
          <w:rFonts w:cstheme="minorHAnsi"/>
          <w:sz w:val="24"/>
          <w:szCs w:val="24"/>
        </w:rPr>
        <w:t>. Holmstrom et al. suggested that these alterations are due to the role of Nrf2 in regulating substrate availability for mitochondrial respiration via its effect on genes that encode for glucose-6-phosphate dehydrogenase (G6PD), malic enzyme 1, isocitrate dehydrogenase 1, and enzymes of the pentose phosphate pathway</w:t>
      </w:r>
      <w:r w:rsidRPr="007A51D7">
        <w:rPr>
          <w:rFonts w:cstheme="minorHAnsi"/>
          <w:sz w:val="24"/>
          <w:szCs w:val="24"/>
          <w:vertAlign w:val="superscript"/>
        </w:rPr>
        <w:t>14, 17</w:t>
      </w:r>
      <w:r w:rsidRPr="007A51D7">
        <w:rPr>
          <w:rFonts w:cstheme="minorHAnsi"/>
          <w:sz w:val="24"/>
          <w:szCs w:val="24"/>
        </w:rPr>
        <w:t>.</w:t>
      </w:r>
    </w:p>
    <w:p w14:paraId="462D0CC4" w14:textId="26CE4590" w:rsidR="007A51D7" w:rsidRPr="007A51D7" w:rsidRDefault="007A51D7" w:rsidP="007A51D7">
      <w:pPr>
        <w:rPr>
          <w:rFonts w:cstheme="minorHAnsi"/>
          <w:sz w:val="24"/>
          <w:szCs w:val="24"/>
        </w:rPr>
      </w:pPr>
      <w:r w:rsidRPr="007A51D7">
        <w:rPr>
          <w:rFonts w:cstheme="minorHAnsi"/>
          <w:sz w:val="24"/>
          <w:szCs w:val="24"/>
        </w:rPr>
        <w:t>One limitation of the current study is that the model used is a global Nrf2 KO model. Thus, the observed increase in susceptibility of KO rats to hyperoxia as compared to WT rats could be due to injury to organs other than the lungs. However, high O</w:t>
      </w:r>
      <w:r w:rsidRPr="007A51D7">
        <w:rPr>
          <w:rFonts w:cstheme="minorHAnsi"/>
          <w:sz w:val="24"/>
          <w:szCs w:val="24"/>
          <w:vertAlign w:val="subscript"/>
        </w:rPr>
        <w:t>2</w:t>
      </w:r>
      <w:r w:rsidRPr="007A51D7">
        <w:rPr>
          <w:rFonts w:cstheme="minorHAnsi"/>
          <w:sz w:val="24"/>
          <w:szCs w:val="24"/>
        </w:rPr>
        <w:t> levels due to hyperoxia exposure are mostly limited to the lungs because of the small effect of plasma O</w:t>
      </w:r>
      <w:r w:rsidRPr="007A51D7">
        <w:rPr>
          <w:rFonts w:cstheme="minorHAnsi"/>
          <w:sz w:val="24"/>
          <w:szCs w:val="24"/>
          <w:vertAlign w:val="subscript"/>
        </w:rPr>
        <w:t>2</w:t>
      </w:r>
      <w:r w:rsidRPr="007A51D7">
        <w:rPr>
          <w:rFonts w:cstheme="minorHAnsi"/>
          <w:sz w:val="24"/>
          <w:szCs w:val="24"/>
        </w:rPr>
        <w:t> partial pressure (pO</w:t>
      </w:r>
      <w:r w:rsidRPr="007A51D7">
        <w:rPr>
          <w:rFonts w:cstheme="minorHAnsi"/>
          <w:sz w:val="24"/>
          <w:szCs w:val="24"/>
          <w:vertAlign w:val="subscript"/>
        </w:rPr>
        <w:t>2</w:t>
      </w:r>
      <w:r w:rsidRPr="007A51D7">
        <w:rPr>
          <w:rFonts w:cstheme="minorHAnsi"/>
          <w:sz w:val="24"/>
          <w:szCs w:val="24"/>
        </w:rPr>
        <w:t>) on blood O</w:t>
      </w:r>
      <w:r w:rsidRPr="007A51D7">
        <w:rPr>
          <w:rFonts w:cstheme="minorHAnsi"/>
          <w:sz w:val="24"/>
          <w:szCs w:val="24"/>
          <w:vertAlign w:val="subscript"/>
        </w:rPr>
        <w:t>2</w:t>
      </w:r>
      <w:r w:rsidRPr="007A51D7">
        <w:rPr>
          <w:rFonts w:cstheme="minorHAnsi"/>
          <w:sz w:val="24"/>
          <w:szCs w:val="24"/>
        </w:rPr>
        <w:t> content above physiological pO</w:t>
      </w:r>
      <w:r w:rsidRPr="007A51D7">
        <w:rPr>
          <w:rFonts w:cstheme="minorHAnsi"/>
          <w:sz w:val="24"/>
          <w:szCs w:val="24"/>
          <w:vertAlign w:val="subscript"/>
        </w:rPr>
        <w:t>2</w:t>
      </w:r>
      <w:r w:rsidRPr="007A51D7">
        <w:rPr>
          <w:rFonts w:cstheme="minorHAnsi"/>
          <w:sz w:val="24"/>
          <w:szCs w:val="24"/>
          <w:vertAlign w:val="superscript"/>
        </w:rPr>
        <w:t>47, 48</w:t>
      </w:r>
      <w:r w:rsidRPr="007A51D7">
        <w:rPr>
          <w:rFonts w:cstheme="minorHAnsi"/>
          <w:sz w:val="24"/>
          <w:szCs w:val="24"/>
        </w:rPr>
        <w:t>. Nevertheless, the global effect could be tested by adding Nrf2 back to the lung by viral-mediated gene transfer. Such studies are outside the scope of the present study.</w:t>
      </w:r>
    </w:p>
    <w:p w14:paraId="494F9A83" w14:textId="1B53204A" w:rsidR="007A51D7" w:rsidRPr="007A51D7" w:rsidRDefault="007A51D7" w:rsidP="007A51D7">
      <w:pPr>
        <w:rPr>
          <w:rFonts w:cstheme="minorHAnsi"/>
          <w:sz w:val="24"/>
          <w:szCs w:val="24"/>
        </w:rPr>
      </w:pPr>
      <w:r w:rsidRPr="007A51D7">
        <w:rPr>
          <w:rFonts w:cstheme="minorHAnsi"/>
          <w:sz w:val="24"/>
          <w:szCs w:val="24"/>
        </w:rPr>
        <w:t>The lung consists of 40 different resident cell types</w:t>
      </w:r>
      <w:r w:rsidRPr="007A51D7">
        <w:rPr>
          <w:rFonts w:cstheme="minorHAnsi"/>
          <w:sz w:val="24"/>
          <w:szCs w:val="24"/>
          <w:vertAlign w:val="superscript"/>
        </w:rPr>
        <w:t>49</w:t>
      </w:r>
      <w:r w:rsidRPr="007A51D7">
        <w:rPr>
          <w:rFonts w:cstheme="minorHAnsi"/>
          <w:sz w:val="24"/>
          <w:szCs w:val="24"/>
        </w:rPr>
        <w:t>. In addition, other cell types (e.g., leukocytes) are recruited to the lungs following injury</w:t>
      </w:r>
      <w:r w:rsidRPr="007A51D7">
        <w:rPr>
          <w:rFonts w:cstheme="minorHAnsi"/>
          <w:sz w:val="24"/>
          <w:szCs w:val="24"/>
          <w:vertAlign w:val="superscript"/>
        </w:rPr>
        <w:t>5, 26, 27</w:t>
      </w:r>
      <w:r w:rsidRPr="007A51D7">
        <w:rPr>
          <w:rFonts w:cstheme="minorHAnsi"/>
          <w:sz w:val="24"/>
          <w:szCs w:val="24"/>
        </w:rPr>
        <w:t>. For the present study, the results provide no direct information regarding the contributions of the different cell types to the measured increase in susceptibility to hyperoxia in KO rats. However, endothelial cells would be expected to dominate because of their large surface area and high fraction (</w:t>
      </w:r>
      <w:r w:rsidRPr="007A51D7">
        <w:rPr>
          <w:rFonts w:ascii="Cambria Math" w:hAnsi="Cambria Math" w:cs="Cambria Math"/>
          <w:sz w:val="24"/>
          <w:szCs w:val="24"/>
        </w:rPr>
        <w:t>∼</w:t>
      </w:r>
      <w:r w:rsidRPr="007A51D7">
        <w:rPr>
          <w:rFonts w:cstheme="minorHAnsi"/>
          <w:sz w:val="24"/>
          <w:szCs w:val="24"/>
        </w:rPr>
        <w:t>50%) of total cells in normal lungs</w:t>
      </w:r>
      <w:r w:rsidRPr="007A51D7">
        <w:rPr>
          <w:rFonts w:cstheme="minorHAnsi"/>
          <w:sz w:val="24"/>
          <w:szCs w:val="24"/>
          <w:vertAlign w:val="superscript"/>
        </w:rPr>
        <w:t>5</w:t>
      </w:r>
      <w:r w:rsidRPr="007A51D7">
        <w:rPr>
          <w:rFonts w:cstheme="minorHAnsi"/>
          <w:sz w:val="24"/>
          <w:szCs w:val="24"/>
        </w:rPr>
        <w:t>. These cells are also a primary and early target of HALI</w:t>
      </w:r>
      <w:r w:rsidRPr="007A51D7">
        <w:rPr>
          <w:rFonts w:cstheme="minorHAnsi"/>
          <w:sz w:val="24"/>
          <w:szCs w:val="24"/>
          <w:vertAlign w:val="superscript"/>
        </w:rPr>
        <w:t>5, 7, 11, 28, 45, 50</w:t>
      </w:r>
      <w:r w:rsidRPr="007A51D7">
        <w:rPr>
          <w:rFonts w:cstheme="minorHAnsi"/>
          <w:sz w:val="24"/>
          <w:szCs w:val="24"/>
        </w:rPr>
        <w:t>. Hyperoxia-induced cellular infiltration and edema could confound the interpretation of measured hyperoxia-induced changes in the expressions of various proteins (</w:t>
      </w:r>
      <w:r w:rsidRPr="00922FE2">
        <w:rPr>
          <w:rFonts w:cstheme="minorHAnsi"/>
          <w:sz w:val="24"/>
          <w:szCs w:val="24"/>
        </w:rPr>
        <w:t>Tables 2 and 4</w:t>
      </w:r>
      <w:r w:rsidRPr="007A51D7">
        <w:rPr>
          <w:rFonts w:cstheme="minorHAnsi"/>
          <w:sz w:val="24"/>
          <w:szCs w:val="24"/>
        </w:rPr>
        <w:t>) and other measurements (e.g., SPECT imaging) (</w:t>
      </w:r>
      <w:r w:rsidRPr="00922FE2">
        <w:rPr>
          <w:rFonts w:cstheme="minorHAnsi"/>
          <w:sz w:val="24"/>
          <w:szCs w:val="24"/>
        </w:rPr>
        <w:t>Fig. 3</w:t>
      </w:r>
      <w:r w:rsidRPr="007A51D7">
        <w:rPr>
          <w:rFonts w:cstheme="minorHAnsi"/>
          <w:sz w:val="24"/>
          <w:szCs w:val="24"/>
        </w:rPr>
        <w:t>).</w:t>
      </w:r>
    </w:p>
    <w:p w14:paraId="0DE76F3B" w14:textId="77777777" w:rsidR="007A51D7" w:rsidRPr="007A51D7" w:rsidRDefault="007A51D7" w:rsidP="007A51D7">
      <w:pPr>
        <w:rPr>
          <w:rFonts w:cstheme="minorHAnsi"/>
          <w:sz w:val="24"/>
          <w:szCs w:val="24"/>
        </w:rPr>
      </w:pPr>
      <w:r w:rsidRPr="007A51D7">
        <w:rPr>
          <w:rFonts w:cstheme="minorHAnsi"/>
          <w:sz w:val="24"/>
          <w:szCs w:val="24"/>
        </w:rPr>
        <w:t>To the best of our knowledge, this is the first study to assess the role of the Nrf2-ARE signaling pathway in protection against ALI using this rat Nrf2 knockout model. We demonstrated that the Nrf2-ARE signaling pathway provides some protection against lung injury in rats exposed to hyperoxia. Our </w:t>
      </w:r>
      <w:r w:rsidRPr="007A51D7">
        <w:rPr>
          <w:rFonts w:cstheme="minorHAnsi"/>
          <w:i/>
          <w:iCs/>
          <w:sz w:val="24"/>
          <w:szCs w:val="24"/>
        </w:rPr>
        <w:t>in vivo</w:t>
      </w:r>
      <w:r w:rsidRPr="007A51D7">
        <w:rPr>
          <w:rFonts w:cstheme="minorHAnsi"/>
          <w:sz w:val="24"/>
          <w:szCs w:val="24"/>
        </w:rPr>
        <w:t> and </w:t>
      </w:r>
      <w:r w:rsidRPr="007A51D7">
        <w:rPr>
          <w:rFonts w:cstheme="minorHAnsi"/>
          <w:i/>
          <w:iCs/>
          <w:sz w:val="24"/>
          <w:szCs w:val="24"/>
        </w:rPr>
        <w:t>in vitro</w:t>
      </w:r>
      <w:r w:rsidRPr="007A51D7">
        <w:rPr>
          <w:rFonts w:cstheme="minorHAnsi"/>
          <w:sz w:val="24"/>
          <w:szCs w:val="24"/>
        </w:rPr>
        <w:t> results suggest a larger hyperoxia-induced increase in the lung GSH redox pathway in Nrf2 WT rats compared to KO rats, supporting protection offered by the Nrf2-ARE signaling pathway against HALI is via the Nrf2-regulated GSH redox pathway.</w:t>
      </w:r>
    </w:p>
    <w:p w14:paraId="02A2E388" w14:textId="77777777" w:rsidR="007A51D7" w:rsidRPr="007A51D7" w:rsidRDefault="007A51D7" w:rsidP="00FF6744">
      <w:pPr>
        <w:pStyle w:val="Heading1"/>
      </w:pPr>
      <w:r w:rsidRPr="007A51D7">
        <w:t>Acknowledgments</w:t>
      </w:r>
    </w:p>
    <w:p w14:paraId="3DFF9B9E" w14:textId="77777777" w:rsidR="007A51D7" w:rsidRPr="007A51D7" w:rsidRDefault="007A51D7" w:rsidP="007A51D7">
      <w:pPr>
        <w:rPr>
          <w:rFonts w:cstheme="minorHAnsi"/>
          <w:sz w:val="24"/>
          <w:szCs w:val="24"/>
        </w:rPr>
      </w:pPr>
      <w:r w:rsidRPr="007A51D7">
        <w:rPr>
          <w:rFonts w:cstheme="minorHAnsi"/>
          <w:sz w:val="24"/>
          <w:szCs w:val="24"/>
        </w:rPr>
        <w:t>We thank Ms. Sushma Kaul and Ms. Ying Gao for their help with the experiments.</w:t>
      </w:r>
    </w:p>
    <w:p w14:paraId="46344F40" w14:textId="77777777" w:rsidR="00416DBD" w:rsidRPr="00416DBD" w:rsidRDefault="00416DBD" w:rsidP="00416DBD">
      <w:pPr>
        <w:pStyle w:val="Heading1"/>
      </w:pPr>
      <w:r w:rsidRPr="00416DBD">
        <w:t>REFERENCES</w:t>
      </w:r>
    </w:p>
    <w:p w14:paraId="5FD12031" w14:textId="6D6D79FA" w:rsidR="00416DBD" w:rsidRPr="00416DBD" w:rsidRDefault="005E1019" w:rsidP="005E1019">
      <w:pPr>
        <w:spacing w:after="0"/>
        <w:ind w:left="720" w:hanging="720"/>
      </w:pPr>
      <w:r>
        <w:t xml:space="preserve">1. </w:t>
      </w:r>
      <w:proofErr w:type="spellStart"/>
      <w:r w:rsidR="00416DBD" w:rsidRPr="00416DBD">
        <w:t>Bellani</w:t>
      </w:r>
      <w:proofErr w:type="spellEnd"/>
      <w:r w:rsidR="00416DBD" w:rsidRPr="00416DBD">
        <w:t xml:space="preserve"> G, Laffey JG, Pham T, Fan E, Brochard L, Esteban A, Gattinoni L, van Haren F, Larsson A, McAuley DF, et al. Epidemiology, patterns of care, and mortality for patients with acute respiratory distress syndrome in intensive care units in 50 countries. </w:t>
      </w:r>
      <w:r w:rsidR="00416DBD" w:rsidRPr="00416DBD">
        <w:rPr>
          <w:i/>
          <w:iCs/>
        </w:rPr>
        <w:t>JAMA</w:t>
      </w:r>
      <w:r w:rsidR="00416DBD" w:rsidRPr="00416DBD">
        <w:t> 315:788–800, 2016.</w:t>
      </w:r>
    </w:p>
    <w:p w14:paraId="5D4F273B" w14:textId="12C2E881" w:rsidR="00416DBD" w:rsidRPr="00416DBD" w:rsidRDefault="005E1019" w:rsidP="005E1019">
      <w:pPr>
        <w:spacing w:after="0"/>
        <w:ind w:left="720" w:hanging="720"/>
      </w:pPr>
      <w:r>
        <w:t xml:space="preserve">2. </w:t>
      </w:r>
      <w:proofErr w:type="spellStart"/>
      <w:r w:rsidR="00416DBD" w:rsidRPr="00416DBD">
        <w:t>Matthay</w:t>
      </w:r>
      <w:proofErr w:type="spellEnd"/>
      <w:r w:rsidR="00416DBD" w:rsidRPr="00416DBD">
        <w:t xml:space="preserve"> MA, </w:t>
      </w:r>
      <w:proofErr w:type="spellStart"/>
      <w:r w:rsidR="00416DBD" w:rsidRPr="00416DBD">
        <w:t>Zemans</w:t>
      </w:r>
      <w:proofErr w:type="spellEnd"/>
      <w:r w:rsidR="00416DBD" w:rsidRPr="00416DBD">
        <w:t xml:space="preserve"> RL. The acute respiratory distress syndrome: pathogenesis and treatment. </w:t>
      </w:r>
      <w:r w:rsidR="00416DBD" w:rsidRPr="00416DBD">
        <w:rPr>
          <w:i/>
          <w:iCs/>
        </w:rPr>
        <w:t>Annu Rev Pathol</w:t>
      </w:r>
      <w:r w:rsidR="00416DBD" w:rsidRPr="00416DBD">
        <w:t> 6:147–163, 2011.</w:t>
      </w:r>
    </w:p>
    <w:p w14:paraId="582D4BD4" w14:textId="7F09EFEB" w:rsidR="00416DBD" w:rsidRPr="00416DBD" w:rsidRDefault="005E1019" w:rsidP="005E1019">
      <w:pPr>
        <w:spacing w:after="0"/>
        <w:ind w:left="720" w:hanging="720"/>
      </w:pPr>
      <w:r>
        <w:t xml:space="preserve">3. </w:t>
      </w:r>
      <w:r w:rsidR="00416DBD" w:rsidRPr="00416DBD">
        <w:t>Fan E, Brodie D, Slutsky AS. Acute respiratory distress syndrome: advances in diagnosis and treatment. </w:t>
      </w:r>
      <w:r w:rsidR="00416DBD" w:rsidRPr="00416DBD">
        <w:rPr>
          <w:i/>
          <w:iCs/>
        </w:rPr>
        <w:t>JAMA</w:t>
      </w:r>
      <w:r w:rsidR="00416DBD" w:rsidRPr="00416DBD">
        <w:t> 319:698–710, 2018.</w:t>
      </w:r>
    </w:p>
    <w:p w14:paraId="2882C397" w14:textId="3686BECB" w:rsidR="00416DBD" w:rsidRPr="00416DBD" w:rsidRDefault="005E1019" w:rsidP="005E1019">
      <w:pPr>
        <w:spacing w:after="0"/>
        <w:ind w:left="720" w:hanging="720"/>
      </w:pPr>
      <w:r>
        <w:t xml:space="preserve">4. </w:t>
      </w:r>
      <w:proofErr w:type="spellStart"/>
      <w:r w:rsidR="00416DBD" w:rsidRPr="00416DBD">
        <w:t>Girardis</w:t>
      </w:r>
      <w:proofErr w:type="spellEnd"/>
      <w:r w:rsidR="00416DBD" w:rsidRPr="00416DBD">
        <w:t xml:space="preserve"> M, </w:t>
      </w:r>
      <w:proofErr w:type="spellStart"/>
      <w:r w:rsidR="00416DBD" w:rsidRPr="00416DBD">
        <w:t>Busani</w:t>
      </w:r>
      <w:proofErr w:type="spellEnd"/>
      <w:r w:rsidR="00416DBD" w:rsidRPr="00416DBD">
        <w:t xml:space="preserve"> S, Damiani E, Donati A, Rinaldi L, Marudi A, Morelli A, Antonelli M, Singer M. Effect of conservative vs conventional oxygen therapy on mortality among patients in an intensive care unit: the oxygen-ICU randomized clinical trial. </w:t>
      </w:r>
      <w:r w:rsidR="00416DBD" w:rsidRPr="00416DBD">
        <w:rPr>
          <w:i/>
          <w:iCs/>
        </w:rPr>
        <w:t>JAMA</w:t>
      </w:r>
      <w:r w:rsidR="00416DBD" w:rsidRPr="00416DBD">
        <w:t> 316:1583–1589, 2016.</w:t>
      </w:r>
    </w:p>
    <w:p w14:paraId="4F750872" w14:textId="399E72BF" w:rsidR="00416DBD" w:rsidRPr="00416DBD" w:rsidRDefault="005E1019" w:rsidP="005E1019">
      <w:pPr>
        <w:spacing w:after="0"/>
        <w:ind w:left="720" w:hanging="720"/>
      </w:pPr>
      <w:r>
        <w:t xml:space="preserve">5. </w:t>
      </w:r>
      <w:r w:rsidR="00416DBD" w:rsidRPr="00416DBD">
        <w:t>Crapo JD, Barry BE, Foscue HA, Shelburne J. Structural and biochemical changes in rat lungs occurring during exposures to lethal and adaptive doses of oxygen. </w:t>
      </w:r>
      <w:r w:rsidR="00416DBD" w:rsidRPr="00416DBD">
        <w:rPr>
          <w:i/>
          <w:iCs/>
        </w:rPr>
        <w:t>Am Rev Respir Dis</w:t>
      </w:r>
      <w:r w:rsidR="00416DBD" w:rsidRPr="00416DBD">
        <w:t> 122:123–143, 1980.</w:t>
      </w:r>
    </w:p>
    <w:p w14:paraId="1DA3DAB1" w14:textId="7E6B57B8" w:rsidR="00416DBD" w:rsidRPr="00416DBD" w:rsidRDefault="005E1019" w:rsidP="005E1019">
      <w:pPr>
        <w:spacing w:after="0"/>
        <w:ind w:left="720" w:hanging="720"/>
      </w:pPr>
      <w:r>
        <w:t xml:space="preserve">6. </w:t>
      </w:r>
      <w:r w:rsidR="00416DBD" w:rsidRPr="00416DBD">
        <w:t>Bannerman DD, Goldblum SE. Mechanisms of bacterial lipopolysaccharide-induced endothelial apoptosis. </w:t>
      </w:r>
      <w:r w:rsidR="00416DBD" w:rsidRPr="00416DBD">
        <w:rPr>
          <w:i/>
          <w:iCs/>
        </w:rPr>
        <w:t>Am J Physiol Lung Cell Mol Physiol</w:t>
      </w:r>
      <w:r w:rsidR="00416DBD" w:rsidRPr="00416DBD">
        <w:t> 284:L899–L914, 2003.</w:t>
      </w:r>
    </w:p>
    <w:p w14:paraId="4A18FCBC" w14:textId="2FF10CE3" w:rsidR="00416DBD" w:rsidRPr="00416DBD" w:rsidRDefault="005E1019" w:rsidP="005E1019">
      <w:pPr>
        <w:spacing w:after="0"/>
        <w:ind w:left="720" w:hanging="720"/>
      </w:pPr>
      <w:r>
        <w:t xml:space="preserve">7. </w:t>
      </w:r>
      <w:r w:rsidR="00416DBD" w:rsidRPr="00416DBD">
        <w:t xml:space="preserve">Reiss LK, Uhlig U, Uhlig S. </w:t>
      </w:r>
      <w:proofErr w:type="gramStart"/>
      <w:r w:rsidR="00416DBD" w:rsidRPr="00416DBD">
        <w:t>Models</w:t>
      </w:r>
      <w:proofErr w:type="gramEnd"/>
      <w:r w:rsidR="00416DBD" w:rsidRPr="00416DBD">
        <w:t xml:space="preserve"> and mechanisms of acute lung injury caused by direct insults. </w:t>
      </w:r>
      <w:r w:rsidR="00416DBD" w:rsidRPr="00416DBD">
        <w:rPr>
          <w:i/>
          <w:iCs/>
        </w:rPr>
        <w:t>Eur J Cell Biol</w:t>
      </w:r>
      <w:r w:rsidR="00416DBD" w:rsidRPr="00416DBD">
        <w:t> 91:590–601, 2012.</w:t>
      </w:r>
    </w:p>
    <w:p w14:paraId="2344CD20" w14:textId="1058B379" w:rsidR="00416DBD" w:rsidRPr="00416DBD" w:rsidRDefault="005E1019" w:rsidP="005E1019">
      <w:pPr>
        <w:spacing w:after="0"/>
        <w:ind w:left="720" w:hanging="720"/>
      </w:pPr>
      <w:r>
        <w:t xml:space="preserve">8. </w:t>
      </w:r>
      <w:proofErr w:type="spellStart"/>
      <w:r w:rsidR="00416DBD" w:rsidRPr="00416DBD">
        <w:t>Qiu</w:t>
      </w:r>
      <w:proofErr w:type="spellEnd"/>
      <w:r w:rsidR="00416DBD" w:rsidRPr="00416DBD">
        <w:t xml:space="preserve"> X, Li H, Tang H, Jin Y, Li W, YuSun, PingFeng, Sun X, Xia Z. Hydrogen inhalation ameliorates lipopolysaccharide-induced acute lung injury in mice. </w:t>
      </w:r>
      <w:r w:rsidR="00416DBD" w:rsidRPr="00416DBD">
        <w:rPr>
          <w:i/>
          <w:iCs/>
        </w:rPr>
        <w:t>Int Immunopharmacol</w:t>
      </w:r>
      <w:r w:rsidR="00416DBD" w:rsidRPr="00416DBD">
        <w:t> 11:2130–2137, 2011.</w:t>
      </w:r>
    </w:p>
    <w:p w14:paraId="6F2E0083" w14:textId="0F9AF4C7" w:rsidR="00416DBD" w:rsidRPr="00416DBD" w:rsidRDefault="005E1019" w:rsidP="005E1019">
      <w:pPr>
        <w:spacing w:after="0"/>
        <w:ind w:left="720" w:hanging="720"/>
      </w:pPr>
      <w:r>
        <w:t xml:space="preserve">9. </w:t>
      </w:r>
      <w:proofErr w:type="spellStart"/>
      <w:r w:rsidR="00416DBD" w:rsidRPr="00416DBD">
        <w:t>Xie</w:t>
      </w:r>
      <w:proofErr w:type="spellEnd"/>
      <w:r w:rsidR="00416DBD" w:rsidRPr="00416DBD">
        <w:t xml:space="preserve"> K, Yu Y, Huang Y, Zheng L, Li J, Chen H, Han H, Hou L, Gong G, Wang G. Molecular hydrogen ameliorates lipopolysaccharide-induced acute lung injury in mice through reducing inflammation and apoptosis. </w:t>
      </w:r>
      <w:r w:rsidR="00416DBD" w:rsidRPr="00416DBD">
        <w:rPr>
          <w:i/>
          <w:iCs/>
        </w:rPr>
        <w:t>Shock</w:t>
      </w:r>
      <w:r w:rsidR="00416DBD" w:rsidRPr="00416DBD">
        <w:t> 37:548–555, 2012.</w:t>
      </w:r>
    </w:p>
    <w:p w14:paraId="42CB4F7B" w14:textId="3B22BCC4" w:rsidR="00416DBD" w:rsidRPr="00416DBD" w:rsidRDefault="005E1019" w:rsidP="005E1019">
      <w:pPr>
        <w:spacing w:after="0"/>
        <w:ind w:left="720" w:hanging="720"/>
      </w:pPr>
      <w:r>
        <w:t xml:space="preserve">10. </w:t>
      </w:r>
      <w:r w:rsidR="00416DBD" w:rsidRPr="00416DBD">
        <w:t>Chow CW, Herrera Abreu MT, Suzuki T, Downey GP. Oxidative stress and acute lung injury. </w:t>
      </w:r>
      <w:r w:rsidR="00416DBD" w:rsidRPr="00416DBD">
        <w:rPr>
          <w:i/>
          <w:iCs/>
        </w:rPr>
        <w:t>Am J Respir Cell Mol Biol</w:t>
      </w:r>
      <w:r w:rsidR="00416DBD" w:rsidRPr="00416DBD">
        <w:t> 29:427–431, 2003.</w:t>
      </w:r>
    </w:p>
    <w:p w14:paraId="1660CDE7" w14:textId="32D57947" w:rsidR="00416DBD" w:rsidRPr="00416DBD" w:rsidRDefault="005E1019" w:rsidP="005E1019">
      <w:pPr>
        <w:spacing w:after="0"/>
        <w:ind w:left="720" w:hanging="720"/>
      </w:pPr>
      <w:r>
        <w:t xml:space="preserve">11. </w:t>
      </w:r>
      <w:r w:rsidR="00416DBD" w:rsidRPr="00416DBD">
        <w:t>Herrero R, Sanchez G, Lorente JA. New insights into the mechanisms of pulmonary edema in acute lung injury. </w:t>
      </w:r>
      <w:r w:rsidR="00416DBD" w:rsidRPr="00416DBD">
        <w:rPr>
          <w:i/>
          <w:iCs/>
        </w:rPr>
        <w:t>Ann Transl Med</w:t>
      </w:r>
      <w:r w:rsidR="00416DBD" w:rsidRPr="00416DBD">
        <w:t> 6:32, 2018.</w:t>
      </w:r>
    </w:p>
    <w:p w14:paraId="3F5C7B64" w14:textId="02D80BF0" w:rsidR="00416DBD" w:rsidRPr="00416DBD" w:rsidRDefault="005E1019" w:rsidP="005E1019">
      <w:pPr>
        <w:spacing w:after="0"/>
        <w:ind w:left="720" w:hanging="720"/>
      </w:pPr>
      <w:r>
        <w:t xml:space="preserve">12. </w:t>
      </w:r>
      <w:r w:rsidR="00416DBD" w:rsidRPr="00416DBD">
        <w:t xml:space="preserve">Kellner M, </w:t>
      </w:r>
      <w:proofErr w:type="spellStart"/>
      <w:r w:rsidR="00416DBD" w:rsidRPr="00416DBD">
        <w:t>Noonepalle</w:t>
      </w:r>
      <w:proofErr w:type="spellEnd"/>
      <w:r w:rsidR="00416DBD" w:rsidRPr="00416DBD">
        <w:t xml:space="preserve"> S, Lu Q, Srivastava A, Zemskov E, Black SM. ROS signaling in the pathogenesis of Acute Lung Injury (ALI) and </w:t>
      </w:r>
      <w:proofErr w:type="gramStart"/>
      <w:r w:rsidR="00416DBD" w:rsidRPr="00416DBD">
        <w:t>Acute Respiratory Distress Syndrome</w:t>
      </w:r>
      <w:proofErr w:type="gramEnd"/>
      <w:r w:rsidR="00416DBD" w:rsidRPr="00416DBD">
        <w:t xml:space="preserve"> (ARDS). </w:t>
      </w:r>
      <w:r w:rsidR="00416DBD" w:rsidRPr="00416DBD">
        <w:rPr>
          <w:i/>
          <w:iCs/>
        </w:rPr>
        <w:t>Adv Exp Med Biol</w:t>
      </w:r>
      <w:r w:rsidR="00416DBD" w:rsidRPr="00416DBD">
        <w:t> 967:105–137, 2017.</w:t>
      </w:r>
    </w:p>
    <w:p w14:paraId="117B26F9" w14:textId="4A0F6610" w:rsidR="00416DBD" w:rsidRPr="00416DBD" w:rsidRDefault="005E1019" w:rsidP="005E1019">
      <w:pPr>
        <w:spacing w:after="0"/>
        <w:ind w:left="720" w:hanging="720"/>
      </w:pPr>
      <w:r>
        <w:t xml:space="preserve">13. </w:t>
      </w:r>
      <w:r w:rsidR="00416DBD" w:rsidRPr="00416DBD">
        <w:t xml:space="preserve">Zhang M, </w:t>
      </w:r>
      <w:proofErr w:type="gramStart"/>
      <w:r w:rsidR="00416DBD" w:rsidRPr="00416DBD">
        <w:t>An</w:t>
      </w:r>
      <w:proofErr w:type="gramEnd"/>
      <w:r w:rsidR="00416DBD" w:rsidRPr="00416DBD">
        <w:t xml:space="preserve"> C, Gao Y, Leak RK, Chen J, Zhang F. Emerging roles of Nrf2 and phase II antioxidant enzymes in neuroprotection. </w:t>
      </w:r>
      <w:r w:rsidR="00416DBD" w:rsidRPr="00416DBD">
        <w:rPr>
          <w:i/>
          <w:iCs/>
        </w:rPr>
        <w:t>Prog Neurobiol</w:t>
      </w:r>
      <w:r w:rsidR="00416DBD" w:rsidRPr="00416DBD">
        <w:t> 100:30–47, 2013.</w:t>
      </w:r>
    </w:p>
    <w:p w14:paraId="0EA21E53" w14:textId="2EC53BDD" w:rsidR="00416DBD" w:rsidRPr="00416DBD" w:rsidRDefault="005E1019" w:rsidP="005E1019">
      <w:pPr>
        <w:spacing w:after="0"/>
        <w:ind w:left="720" w:hanging="720"/>
      </w:pPr>
      <w:r>
        <w:t xml:space="preserve">14. </w:t>
      </w:r>
      <w:r w:rsidR="00416DBD" w:rsidRPr="00416DBD">
        <w:t xml:space="preserve">Holmstrom KM, </w:t>
      </w:r>
      <w:proofErr w:type="spellStart"/>
      <w:r w:rsidR="00416DBD" w:rsidRPr="00416DBD">
        <w:t>Kostov</w:t>
      </w:r>
      <w:proofErr w:type="spellEnd"/>
      <w:r w:rsidR="00416DBD" w:rsidRPr="00416DBD">
        <w:t xml:space="preserve"> RV, Dinkova-Kostova AT. The multifaceted role of Nrf2 in mitochondrial function. </w:t>
      </w:r>
      <w:r w:rsidR="00416DBD" w:rsidRPr="00416DBD">
        <w:rPr>
          <w:i/>
          <w:iCs/>
        </w:rPr>
        <w:t>Curr Opin Toxicol</w:t>
      </w:r>
      <w:r w:rsidR="00416DBD" w:rsidRPr="00416DBD">
        <w:t> 1:80–91, 2016.</w:t>
      </w:r>
    </w:p>
    <w:p w14:paraId="2A422159" w14:textId="40CA80CB" w:rsidR="00416DBD" w:rsidRPr="00416DBD" w:rsidRDefault="005E1019" w:rsidP="005E1019">
      <w:pPr>
        <w:spacing w:after="0"/>
        <w:ind w:left="720" w:hanging="720"/>
      </w:pPr>
      <w:r>
        <w:t xml:space="preserve">15. </w:t>
      </w:r>
      <w:proofErr w:type="spellStart"/>
      <w:r w:rsidR="00416DBD" w:rsidRPr="00416DBD">
        <w:t>Niture</w:t>
      </w:r>
      <w:proofErr w:type="spellEnd"/>
      <w:r w:rsidR="00416DBD" w:rsidRPr="00416DBD">
        <w:t xml:space="preserve"> SK, Jaiswal AK. Nrf2 protein up-regulates antiapoptotic protein Bcl-2 and prevents cellular apoptosis. </w:t>
      </w:r>
      <w:r w:rsidR="00416DBD" w:rsidRPr="00416DBD">
        <w:rPr>
          <w:i/>
          <w:iCs/>
        </w:rPr>
        <w:t>J Biol Chem</w:t>
      </w:r>
      <w:r w:rsidR="00416DBD" w:rsidRPr="00416DBD">
        <w:t> 287:9873–9886, 2012.</w:t>
      </w:r>
    </w:p>
    <w:p w14:paraId="14D0C198" w14:textId="2613D3A4" w:rsidR="00416DBD" w:rsidRPr="00416DBD" w:rsidRDefault="005E1019" w:rsidP="005E1019">
      <w:pPr>
        <w:spacing w:after="0"/>
        <w:ind w:left="720" w:hanging="720"/>
      </w:pPr>
      <w:r>
        <w:t xml:space="preserve">16. </w:t>
      </w:r>
      <w:proofErr w:type="spellStart"/>
      <w:r w:rsidR="00416DBD" w:rsidRPr="00416DBD">
        <w:t>Metrailler-Ruchonnet</w:t>
      </w:r>
      <w:proofErr w:type="spellEnd"/>
      <w:r w:rsidR="00416DBD" w:rsidRPr="00416DBD">
        <w:t xml:space="preserve"> I, Pagano A, Carnesecchi S, Ody C, Donati Y, Barazzone Argiroffo C. Bcl-2 protects against hyperoxia-induced apoptosis through inhibition of the mitochondria-dependent pathway. </w:t>
      </w:r>
      <w:r w:rsidR="00416DBD" w:rsidRPr="00416DBD">
        <w:rPr>
          <w:i/>
          <w:iCs/>
        </w:rPr>
        <w:t>Free Radic Biol Med</w:t>
      </w:r>
      <w:r w:rsidR="00416DBD" w:rsidRPr="00416DBD">
        <w:t> 42:1062–1074, 2007.</w:t>
      </w:r>
    </w:p>
    <w:p w14:paraId="063CCFDA" w14:textId="757A1D51" w:rsidR="00416DBD" w:rsidRPr="00416DBD" w:rsidRDefault="005E1019" w:rsidP="005E1019">
      <w:pPr>
        <w:spacing w:after="0"/>
        <w:ind w:left="720" w:hanging="720"/>
      </w:pPr>
      <w:r>
        <w:t xml:space="preserve">17. </w:t>
      </w:r>
      <w:r w:rsidR="00416DBD" w:rsidRPr="00416DBD">
        <w:t>Holmstrom KM, Baird L, Zhang Y, Hargreaves I, Chalasani A, Land JM, Stanyer L, Yamamoto M, Dinkova-Kostova AT, Abramov AY. Nrf2 impacts cellular bioenergetics by controlling substrate availability for mitochondrial respiration. </w:t>
      </w:r>
      <w:r w:rsidR="00416DBD" w:rsidRPr="00416DBD">
        <w:rPr>
          <w:i/>
          <w:iCs/>
        </w:rPr>
        <w:t>Biol Open</w:t>
      </w:r>
      <w:r w:rsidR="00416DBD" w:rsidRPr="00416DBD">
        <w:t> 2:761–770, 2013.</w:t>
      </w:r>
    </w:p>
    <w:p w14:paraId="70193CD2" w14:textId="7A967EA7" w:rsidR="00416DBD" w:rsidRPr="00416DBD" w:rsidRDefault="005E1019" w:rsidP="005E1019">
      <w:pPr>
        <w:spacing w:after="0"/>
        <w:ind w:left="720" w:hanging="720"/>
      </w:pPr>
      <w:r>
        <w:t xml:space="preserve">18. </w:t>
      </w:r>
      <w:r w:rsidR="00416DBD" w:rsidRPr="00416DBD">
        <w:t xml:space="preserve">Cho HY, </w:t>
      </w:r>
      <w:proofErr w:type="spellStart"/>
      <w:r w:rsidR="00416DBD" w:rsidRPr="00416DBD">
        <w:t>Jedlicka</w:t>
      </w:r>
      <w:proofErr w:type="spellEnd"/>
      <w:r w:rsidR="00416DBD" w:rsidRPr="00416DBD">
        <w:t xml:space="preserve"> AE, Reddy SP, Kensler TW, Yamamoto M, Zhang LY, Kleeberger SR. Role of NRF2 in protection against hyperoxic lung injury in mice. </w:t>
      </w:r>
      <w:r w:rsidR="00416DBD" w:rsidRPr="00416DBD">
        <w:rPr>
          <w:i/>
          <w:iCs/>
        </w:rPr>
        <w:t>Am J Respir Cell Mol Biol</w:t>
      </w:r>
      <w:r w:rsidR="00416DBD" w:rsidRPr="00416DBD">
        <w:t> 26:175–182, 2002.</w:t>
      </w:r>
    </w:p>
    <w:p w14:paraId="075E214C" w14:textId="4838C7B7" w:rsidR="00416DBD" w:rsidRPr="00416DBD" w:rsidRDefault="005E1019" w:rsidP="005E1019">
      <w:pPr>
        <w:spacing w:after="0"/>
        <w:ind w:left="720" w:hanging="720"/>
      </w:pPr>
      <w:r>
        <w:t xml:space="preserve">19. </w:t>
      </w:r>
      <w:r w:rsidR="00416DBD" w:rsidRPr="00416DBD">
        <w:t>Chan K, Kan YW. Nrf2 is essential for protection against acute pulmonary injury in mice. </w:t>
      </w:r>
      <w:r w:rsidR="00416DBD" w:rsidRPr="00416DBD">
        <w:rPr>
          <w:i/>
          <w:iCs/>
        </w:rPr>
        <w:t>Proc Natl Acad Sci U S A</w:t>
      </w:r>
      <w:r w:rsidR="00416DBD" w:rsidRPr="00416DBD">
        <w:t> 96:12731–12736, 1999.</w:t>
      </w:r>
    </w:p>
    <w:p w14:paraId="529999B5" w14:textId="652702A9" w:rsidR="00416DBD" w:rsidRPr="00416DBD" w:rsidRDefault="005E1019" w:rsidP="005E1019">
      <w:pPr>
        <w:spacing w:after="0"/>
        <w:ind w:left="720" w:hanging="720"/>
      </w:pPr>
      <w:r>
        <w:t xml:space="preserve">20. </w:t>
      </w:r>
      <w:r w:rsidR="00416DBD" w:rsidRPr="00416DBD">
        <w:t xml:space="preserve">Reddy NM, </w:t>
      </w:r>
      <w:proofErr w:type="spellStart"/>
      <w:r w:rsidR="00416DBD" w:rsidRPr="00416DBD">
        <w:t>Kleeberger</w:t>
      </w:r>
      <w:proofErr w:type="spellEnd"/>
      <w:r w:rsidR="00416DBD" w:rsidRPr="00416DBD">
        <w:t xml:space="preserve"> SR, Kensler TW, Yamamoto M, Hassoun PM, Reddy SP. Disruption of Nrf2 impairs the resolution of hyperoxia-induced acute lung injury and inflammation in mice. </w:t>
      </w:r>
      <w:r w:rsidR="00416DBD" w:rsidRPr="00416DBD">
        <w:rPr>
          <w:i/>
          <w:iCs/>
        </w:rPr>
        <w:t>J Immunol</w:t>
      </w:r>
      <w:r w:rsidR="00416DBD" w:rsidRPr="00416DBD">
        <w:t> 182:7264–7271, 2009.</w:t>
      </w:r>
    </w:p>
    <w:p w14:paraId="2F81F2BF" w14:textId="6330D7C1" w:rsidR="00416DBD" w:rsidRPr="00416DBD" w:rsidRDefault="005E1019" w:rsidP="005E1019">
      <w:pPr>
        <w:spacing w:after="0"/>
        <w:ind w:left="720" w:hanging="720"/>
      </w:pPr>
      <w:r>
        <w:t xml:space="preserve">21. </w:t>
      </w:r>
      <w:r w:rsidR="00416DBD" w:rsidRPr="00416DBD">
        <w:t>Kawamura T, Wakabayashi N, Shigemura N, Huang CS, Masutani K, Tanaka Y, Noda K, Peng X, Takahashi T, Billiar TR, et al. Hydrogen gas reduces hyperoxic lung injury via the Nrf2 pathway in vivo. </w:t>
      </w:r>
      <w:r w:rsidR="00416DBD" w:rsidRPr="00416DBD">
        <w:rPr>
          <w:i/>
          <w:iCs/>
        </w:rPr>
        <w:t>Am J Physiol Lung Cell Mol Physiol</w:t>
      </w:r>
      <w:r w:rsidR="00416DBD" w:rsidRPr="00416DBD">
        <w:t> 304:L646–656, 2013.</w:t>
      </w:r>
    </w:p>
    <w:p w14:paraId="2761B392" w14:textId="65FC7507" w:rsidR="00416DBD" w:rsidRPr="00416DBD" w:rsidRDefault="005E1019" w:rsidP="005E1019">
      <w:pPr>
        <w:spacing w:after="0"/>
        <w:ind w:left="720" w:hanging="720"/>
      </w:pPr>
      <w:r>
        <w:t xml:space="preserve">22. </w:t>
      </w:r>
      <w:r w:rsidR="00416DBD" w:rsidRPr="00416DBD">
        <w:t xml:space="preserve">Cho HY, </w:t>
      </w:r>
      <w:proofErr w:type="spellStart"/>
      <w:r w:rsidR="00416DBD" w:rsidRPr="00416DBD">
        <w:t>Jedlicka</w:t>
      </w:r>
      <w:proofErr w:type="spellEnd"/>
      <w:r w:rsidR="00416DBD" w:rsidRPr="00416DBD">
        <w:t xml:space="preserve"> AE, Reddy SP, Zhang LY, Kensler TW, Kleeberger SR. Linkage analysis of susceptibility to hyperoxia. Nrf2 is a candidate gene. </w:t>
      </w:r>
      <w:r w:rsidR="00416DBD" w:rsidRPr="00416DBD">
        <w:rPr>
          <w:i/>
          <w:iCs/>
        </w:rPr>
        <w:t>Am J Respir Cell Mol Biol</w:t>
      </w:r>
      <w:r w:rsidR="00416DBD" w:rsidRPr="00416DBD">
        <w:t> 26:42–51, 2002.</w:t>
      </w:r>
    </w:p>
    <w:p w14:paraId="39FF6BAB" w14:textId="1AFB76A8" w:rsidR="00416DBD" w:rsidRPr="00416DBD" w:rsidRDefault="005E1019" w:rsidP="005E1019">
      <w:pPr>
        <w:spacing w:after="0"/>
        <w:ind w:left="720" w:hanging="720"/>
      </w:pPr>
      <w:r>
        <w:t xml:space="preserve">23. </w:t>
      </w:r>
      <w:r w:rsidR="00416DBD" w:rsidRPr="00416DBD">
        <w:t xml:space="preserve">Priestley JR, </w:t>
      </w:r>
      <w:proofErr w:type="spellStart"/>
      <w:r w:rsidR="00416DBD" w:rsidRPr="00416DBD">
        <w:t>Kautenburg</w:t>
      </w:r>
      <w:proofErr w:type="spellEnd"/>
      <w:r w:rsidR="00416DBD" w:rsidRPr="00416DBD">
        <w:t xml:space="preserve"> KE, Casati MC, Endres BT, Geurts AM, Lombard JH. The NRF2 knockout rat: a new animal model to study endothelial dysfunction, oxidant stress, and microvascular rarefaction. </w:t>
      </w:r>
      <w:r w:rsidR="00416DBD" w:rsidRPr="00416DBD">
        <w:rPr>
          <w:i/>
          <w:iCs/>
        </w:rPr>
        <w:t>Am J Physiol Heart Circ Physiol</w:t>
      </w:r>
      <w:r w:rsidR="00416DBD" w:rsidRPr="00416DBD">
        <w:t> 310:H478–487, 2016.</w:t>
      </w:r>
    </w:p>
    <w:p w14:paraId="760A48C5" w14:textId="5C0340E9" w:rsidR="00416DBD" w:rsidRPr="00416DBD" w:rsidRDefault="005E1019" w:rsidP="005E1019">
      <w:pPr>
        <w:spacing w:after="0"/>
        <w:ind w:left="720" w:hanging="720"/>
      </w:pPr>
      <w:r>
        <w:t xml:space="preserve">24. </w:t>
      </w:r>
      <w:r w:rsidR="00416DBD" w:rsidRPr="00416DBD">
        <w:t xml:space="preserve">Audi SH, </w:t>
      </w:r>
      <w:proofErr w:type="spellStart"/>
      <w:r w:rsidR="00416DBD" w:rsidRPr="00416DBD">
        <w:t>Roerig</w:t>
      </w:r>
      <w:proofErr w:type="spellEnd"/>
      <w:r w:rsidR="00416DBD" w:rsidRPr="00416DBD">
        <w:t xml:space="preserve"> DL, Haworth ST, Clough AV. Role of glutathione in lung retention of 99mTc-hexamethylpropyleneamine oxime in two unique rat models of hyperoxic lung injury. </w:t>
      </w:r>
      <w:r w:rsidR="00416DBD" w:rsidRPr="00416DBD">
        <w:rPr>
          <w:i/>
          <w:iCs/>
        </w:rPr>
        <w:t>J Appl Physiol</w:t>
      </w:r>
      <w:r w:rsidR="00416DBD" w:rsidRPr="00416DBD">
        <w:t> 113:658–665, 2012.</w:t>
      </w:r>
    </w:p>
    <w:p w14:paraId="345E6D79" w14:textId="79E47A39" w:rsidR="00416DBD" w:rsidRPr="00416DBD" w:rsidRDefault="005E1019" w:rsidP="005E1019">
      <w:pPr>
        <w:spacing w:after="0"/>
        <w:ind w:left="720" w:hanging="720"/>
      </w:pPr>
      <w:r>
        <w:t xml:space="preserve">25. </w:t>
      </w:r>
      <w:r w:rsidR="00416DBD" w:rsidRPr="00416DBD">
        <w:t>Frank L, Iqbal J, Hass M, Massaro D. New “rest period” protocol for inducing tolerance to high O2 exposure in adult rats. </w:t>
      </w:r>
      <w:r w:rsidR="00416DBD" w:rsidRPr="00416DBD">
        <w:rPr>
          <w:i/>
          <w:iCs/>
        </w:rPr>
        <w:t>Am J Physiol</w:t>
      </w:r>
      <w:r w:rsidR="00416DBD" w:rsidRPr="00416DBD">
        <w:t> 257:L226–231, 1989.</w:t>
      </w:r>
    </w:p>
    <w:p w14:paraId="0608C392" w14:textId="45BE5F39" w:rsidR="00416DBD" w:rsidRPr="00416DBD" w:rsidRDefault="005E1019" w:rsidP="005E1019">
      <w:pPr>
        <w:spacing w:after="0"/>
        <w:ind w:left="720" w:hanging="720"/>
      </w:pPr>
      <w:r>
        <w:t xml:space="preserve">26. </w:t>
      </w:r>
      <w:r w:rsidR="00416DBD" w:rsidRPr="00416DBD">
        <w:t>Audi SH, Clough AV, Haworth ST, Medhora M, Ranji M, Densmore JC, Jacobs ER. 99MTc-hexamethylpropyleneamine oxime imaging for early detection of acute lung injury in rats exposed to hyperoxia or lipopolysaccharide treatment. </w:t>
      </w:r>
      <w:r w:rsidR="00416DBD" w:rsidRPr="00416DBD">
        <w:rPr>
          <w:i/>
          <w:iCs/>
        </w:rPr>
        <w:t>Shock</w:t>
      </w:r>
      <w:r w:rsidR="00416DBD" w:rsidRPr="00416DBD">
        <w:t> 46:420–430, 2016.</w:t>
      </w:r>
    </w:p>
    <w:p w14:paraId="0EFF496C" w14:textId="4179475D" w:rsidR="00416DBD" w:rsidRPr="00416DBD" w:rsidRDefault="005E1019" w:rsidP="005E1019">
      <w:pPr>
        <w:spacing w:after="0"/>
        <w:ind w:left="720" w:hanging="720"/>
      </w:pPr>
      <w:r>
        <w:t xml:space="preserve">27. </w:t>
      </w:r>
      <w:r w:rsidR="00416DBD" w:rsidRPr="00416DBD">
        <w:t>Audi SH, Jacobs ER, Zhang X, Camara AK, Zhao M, Medhora MM, Rizzo B, Clough AV. Protection by inhaled hydrogen therapy in a rat model of acute lung injury can be tracked in vivo using molecular imaging. </w:t>
      </w:r>
      <w:r w:rsidR="00416DBD" w:rsidRPr="00416DBD">
        <w:rPr>
          <w:i/>
          <w:iCs/>
        </w:rPr>
        <w:t>Shock</w:t>
      </w:r>
      <w:r w:rsidR="00416DBD" w:rsidRPr="00416DBD">
        <w:t> 48:467–476, 2017.</w:t>
      </w:r>
    </w:p>
    <w:p w14:paraId="1F188DC5" w14:textId="30ED8CCF" w:rsidR="00416DBD" w:rsidRPr="00416DBD" w:rsidRDefault="005E1019" w:rsidP="005E1019">
      <w:pPr>
        <w:spacing w:after="0"/>
        <w:ind w:left="720" w:hanging="720"/>
      </w:pPr>
      <w:r>
        <w:t xml:space="preserve">28. </w:t>
      </w:r>
      <w:r w:rsidR="00416DBD" w:rsidRPr="00416DBD">
        <w:t>Audi SH, Jacobs ER, Zhao M, Roerig DL, Haworth ST, Clough AV. In vivo detection of hyperoxia-induced pulmonary endothelial cell death using (99m)Tc-duramycin. </w:t>
      </w:r>
      <w:r w:rsidR="00416DBD" w:rsidRPr="00416DBD">
        <w:rPr>
          <w:i/>
          <w:iCs/>
        </w:rPr>
        <w:t>Nucl Med Biol</w:t>
      </w:r>
      <w:r w:rsidR="00416DBD" w:rsidRPr="00416DBD">
        <w:t> 42:46–52, 2015.</w:t>
      </w:r>
    </w:p>
    <w:p w14:paraId="46B1D466" w14:textId="2661BE1D" w:rsidR="00416DBD" w:rsidRPr="00416DBD" w:rsidRDefault="005E1019" w:rsidP="005E1019">
      <w:pPr>
        <w:spacing w:after="0"/>
        <w:ind w:left="720" w:hanging="720"/>
      </w:pPr>
      <w:r>
        <w:t xml:space="preserve">29. </w:t>
      </w:r>
      <w:proofErr w:type="spellStart"/>
      <w:r w:rsidR="00416DBD" w:rsidRPr="00416DBD">
        <w:t>Matute</w:t>
      </w:r>
      <w:proofErr w:type="spellEnd"/>
      <w:r w:rsidR="00416DBD" w:rsidRPr="00416DBD">
        <w:t>-Bello G, Downey G, Moore BB, Groshong SD, Matthay MA, Slutsky AS, Kuebler WM. An official American Thoracic Society workshop report: features and measurements of experimental acute lung injury in animals. </w:t>
      </w:r>
      <w:r w:rsidR="00416DBD" w:rsidRPr="00416DBD">
        <w:rPr>
          <w:i/>
          <w:iCs/>
        </w:rPr>
        <w:t>Am J Respir Cell Mol Biol</w:t>
      </w:r>
      <w:r w:rsidR="00416DBD" w:rsidRPr="00416DBD">
        <w:t> 44:725–738, 2011.</w:t>
      </w:r>
    </w:p>
    <w:p w14:paraId="3F91D9F5" w14:textId="34A3B512" w:rsidR="00416DBD" w:rsidRPr="00416DBD" w:rsidRDefault="005E1019" w:rsidP="005E1019">
      <w:pPr>
        <w:spacing w:after="0"/>
        <w:ind w:left="720" w:hanging="720"/>
      </w:pPr>
      <w:r>
        <w:t xml:space="preserve">30. </w:t>
      </w:r>
      <w:r w:rsidR="00416DBD" w:rsidRPr="00416DBD">
        <w:t xml:space="preserve">Densmore JC, </w:t>
      </w:r>
      <w:proofErr w:type="spellStart"/>
      <w:r w:rsidR="00416DBD" w:rsidRPr="00416DBD">
        <w:t>Jeziorczak</w:t>
      </w:r>
      <w:proofErr w:type="spellEnd"/>
      <w:r w:rsidR="00416DBD" w:rsidRPr="00416DBD">
        <w:t xml:space="preserve"> PM, Clough AV, Pritchard KA Jr, Cummens B, Medhora M, Rao A, Jacobs ER. Rattus model utilizing selective pulmonary ischemia induces bronchiolitis obliterans organizing pneumonia. </w:t>
      </w:r>
      <w:r w:rsidR="00416DBD" w:rsidRPr="00416DBD">
        <w:rPr>
          <w:i/>
          <w:iCs/>
        </w:rPr>
        <w:t>Shock</w:t>
      </w:r>
      <w:r w:rsidR="00416DBD" w:rsidRPr="00416DBD">
        <w:t> 39:271–277, 2013.</w:t>
      </w:r>
    </w:p>
    <w:p w14:paraId="0AAB7D9D" w14:textId="048E1383" w:rsidR="00416DBD" w:rsidRPr="00416DBD" w:rsidRDefault="005E1019" w:rsidP="005E1019">
      <w:pPr>
        <w:spacing w:after="0"/>
        <w:ind w:left="720" w:hanging="720"/>
      </w:pPr>
      <w:r>
        <w:t xml:space="preserve">31. </w:t>
      </w:r>
      <w:proofErr w:type="spellStart"/>
      <w:r w:rsidR="00416DBD" w:rsidRPr="00416DBD">
        <w:t>Bongard</w:t>
      </w:r>
      <w:proofErr w:type="spellEnd"/>
      <w:r w:rsidR="00416DBD" w:rsidRPr="00416DBD">
        <w:t xml:space="preserve"> RD, Yan K, Hoffmann RG, Audi SH, Zhang X, Lindemer BJ, Townsley MI, Merker MP. Depleted energy charge and increased pulmonary endothelial permeability induced by mitochondrial complex I inhibition are mitigated by coenzyme Q1 in the isolated perfused rat lung. </w:t>
      </w:r>
      <w:r w:rsidR="00416DBD" w:rsidRPr="00416DBD">
        <w:rPr>
          <w:i/>
          <w:iCs/>
        </w:rPr>
        <w:t>Free Radic Biol Med</w:t>
      </w:r>
      <w:r w:rsidR="00416DBD" w:rsidRPr="00416DBD">
        <w:t> 65:1455–1463, 2013.</w:t>
      </w:r>
    </w:p>
    <w:p w14:paraId="41A9B252" w14:textId="3794CDF6" w:rsidR="00416DBD" w:rsidRPr="00416DBD" w:rsidRDefault="005E1019" w:rsidP="005E1019">
      <w:pPr>
        <w:spacing w:after="0"/>
        <w:ind w:left="720" w:hanging="720"/>
      </w:pPr>
      <w:r>
        <w:t xml:space="preserve">32. </w:t>
      </w:r>
      <w:r w:rsidR="00416DBD" w:rsidRPr="00416DBD">
        <w:t>Clough AV, Audi SH, Haworth ST, Roerig DL. Differential lung uptake of 99mTc-hexamethylpropyleneamine oxime and 99mTc-duramycin in the chronic hyperoxia rat model. </w:t>
      </w:r>
      <w:r w:rsidR="00416DBD" w:rsidRPr="00416DBD">
        <w:rPr>
          <w:i/>
          <w:iCs/>
        </w:rPr>
        <w:t>J Nucl Med</w:t>
      </w:r>
      <w:r w:rsidR="00416DBD" w:rsidRPr="00416DBD">
        <w:t> 53:1984–1991, 2012.</w:t>
      </w:r>
    </w:p>
    <w:p w14:paraId="194CD8BE" w14:textId="369FAF59" w:rsidR="00416DBD" w:rsidRPr="00416DBD" w:rsidRDefault="005E1019" w:rsidP="005E1019">
      <w:pPr>
        <w:spacing w:after="0"/>
        <w:ind w:left="720" w:hanging="720"/>
      </w:pPr>
      <w:r>
        <w:t xml:space="preserve">33. </w:t>
      </w:r>
      <w:proofErr w:type="spellStart"/>
      <w:r w:rsidR="00416DBD" w:rsidRPr="00416DBD">
        <w:t>Saha</w:t>
      </w:r>
      <w:proofErr w:type="spellEnd"/>
      <w:r w:rsidR="00416DBD" w:rsidRPr="00416DBD">
        <w:t xml:space="preserve"> S, </w:t>
      </w:r>
      <w:proofErr w:type="spellStart"/>
      <w:r w:rsidR="00416DBD" w:rsidRPr="00416DBD">
        <w:t>Buttari</w:t>
      </w:r>
      <w:proofErr w:type="spellEnd"/>
      <w:r w:rsidR="00416DBD" w:rsidRPr="00416DBD">
        <w:t xml:space="preserve"> B, Panieri E, Profumo E, Saso L. An overview of Nrf2 signaling pathway and its role in inflammation. </w:t>
      </w:r>
      <w:r w:rsidR="00416DBD" w:rsidRPr="00416DBD">
        <w:rPr>
          <w:i/>
          <w:iCs/>
        </w:rPr>
        <w:t>Molecules</w:t>
      </w:r>
      <w:r w:rsidR="00416DBD" w:rsidRPr="00416DBD">
        <w:t> 25:5474, 2020.</w:t>
      </w:r>
    </w:p>
    <w:p w14:paraId="17DFBE4E" w14:textId="012C8FD5" w:rsidR="00416DBD" w:rsidRPr="00416DBD" w:rsidRDefault="005E1019" w:rsidP="005E1019">
      <w:pPr>
        <w:spacing w:after="0"/>
        <w:ind w:left="720" w:hanging="720"/>
      </w:pPr>
      <w:r>
        <w:t xml:space="preserve">34. </w:t>
      </w:r>
      <w:proofErr w:type="spellStart"/>
      <w:r w:rsidR="00416DBD" w:rsidRPr="00416DBD">
        <w:t>Neirinckx</w:t>
      </w:r>
      <w:proofErr w:type="spellEnd"/>
      <w:r w:rsidR="00416DBD" w:rsidRPr="00416DBD">
        <w:t xml:space="preserve"> RD, Burke JF, Harrison RC, Forster AM, Andersen AR, Lassen NA. The retention mechanism of technetium-99m-HM-PAO: intracellular reaction with glutathione. </w:t>
      </w:r>
      <w:r w:rsidR="00416DBD" w:rsidRPr="00416DBD">
        <w:rPr>
          <w:i/>
          <w:iCs/>
        </w:rPr>
        <w:t>J Cereb Blood Flow Metab</w:t>
      </w:r>
      <w:r w:rsidR="00416DBD" w:rsidRPr="00416DBD">
        <w:t> 8:S4–12, 1988.</w:t>
      </w:r>
    </w:p>
    <w:p w14:paraId="4BF96D24" w14:textId="5AEB0BD8" w:rsidR="00416DBD" w:rsidRPr="00416DBD" w:rsidRDefault="005E1019" w:rsidP="005E1019">
      <w:pPr>
        <w:spacing w:after="0"/>
        <w:ind w:left="720" w:hanging="720"/>
      </w:pPr>
      <w:r>
        <w:t xml:space="preserve">35. </w:t>
      </w:r>
      <w:r w:rsidR="00416DBD" w:rsidRPr="00416DBD">
        <w:t>Serrano-</w:t>
      </w:r>
      <w:proofErr w:type="spellStart"/>
      <w:r w:rsidR="00416DBD" w:rsidRPr="00416DBD">
        <w:t>Mollar</w:t>
      </w:r>
      <w:proofErr w:type="spellEnd"/>
      <w:r w:rsidR="00416DBD" w:rsidRPr="00416DBD">
        <w:t xml:space="preserve"> A, </w:t>
      </w:r>
      <w:proofErr w:type="spellStart"/>
      <w:r w:rsidR="00416DBD" w:rsidRPr="00416DBD">
        <w:t>Closa</w:t>
      </w:r>
      <w:proofErr w:type="spellEnd"/>
      <w:r w:rsidR="00416DBD" w:rsidRPr="00416DBD">
        <w:t xml:space="preserve"> D, Prats N, Blesa S, Martinez-Losa M, Cortijo J, Estrela JM, Morcillo EJ, Bulbena O. In vivo antioxidant treatment protects against bleomycin-induced lung damage in rats. </w:t>
      </w:r>
      <w:r w:rsidR="00416DBD" w:rsidRPr="00416DBD">
        <w:rPr>
          <w:i/>
          <w:iCs/>
        </w:rPr>
        <w:t>Br J Pharmacol</w:t>
      </w:r>
      <w:r w:rsidR="00416DBD" w:rsidRPr="00416DBD">
        <w:t> 138:1037–1048, 2003.</w:t>
      </w:r>
    </w:p>
    <w:p w14:paraId="6FD5796B" w14:textId="09FFBA91" w:rsidR="00416DBD" w:rsidRPr="00416DBD" w:rsidRDefault="005E1019" w:rsidP="005E1019">
      <w:pPr>
        <w:spacing w:after="0"/>
        <w:ind w:left="720" w:hanging="720"/>
      </w:pPr>
      <w:r>
        <w:t xml:space="preserve">36. </w:t>
      </w:r>
      <w:r w:rsidR="00416DBD" w:rsidRPr="00416DBD">
        <w:t>Tipple TE, Welty SE, Rogers LK, Hansen TN, Choi YE, Kehrer JP, Smith CV. Thioredoxin-related mechanisms in hyperoxic lung injury in mice. </w:t>
      </w:r>
      <w:r w:rsidR="00416DBD" w:rsidRPr="00416DBD">
        <w:rPr>
          <w:i/>
          <w:iCs/>
        </w:rPr>
        <w:t>Am J Respir Cell Mol Biol</w:t>
      </w:r>
      <w:r w:rsidR="00416DBD" w:rsidRPr="00416DBD">
        <w:t> 37:405–413, 2007.</w:t>
      </w:r>
    </w:p>
    <w:p w14:paraId="356EB4FD" w14:textId="4CB84E5A" w:rsidR="00416DBD" w:rsidRPr="00416DBD" w:rsidRDefault="005E1019" w:rsidP="005E1019">
      <w:pPr>
        <w:spacing w:after="0"/>
        <w:ind w:left="720" w:hanging="720"/>
      </w:pPr>
      <w:r>
        <w:t xml:space="preserve">37. </w:t>
      </w:r>
      <w:proofErr w:type="spellStart"/>
      <w:r w:rsidR="00416DBD" w:rsidRPr="00416DBD">
        <w:t>Deneke</w:t>
      </w:r>
      <w:proofErr w:type="spellEnd"/>
      <w:r w:rsidR="00416DBD" w:rsidRPr="00416DBD">
        <w:t xml:space="preserve"> SM, Gershoff SN, Fanburg BL. Potentiation of oxygen toxicity in rats by dietary protein or amino acid deficiency. </w:t>
      </w:r>
      <w:r w:rsidR="00416DBD" w:rsidRPr="00416DBD">
        <w:rPr>
          <w:i/>
          <w:iCs/>
        </w:rPr>
        <w:t>J Appl Physiol</w:t>
      </w:r>
      <w:r w:rsidR="00416DBD" w:rsidRPr="00416DBD">
        <w:t> 54:147–151, 1983.</w:t>
      </w:r>
    </w:p>
    <w:p w14:paraId="5AC7F007" w14:textId="79CFCD47" w:rsidR="00416DBD" w:rsidRPr="00416DBD" w:rsidRDefault="005E1019" w:rsidP="005E1019">
      <w:pPr>
        <w:spacing w:after="0"/>
        <w:ind w:left="720" w:hanging="720"/>
      </w:pPr>
      <w:r>
        <w:t xml:space="preserve">38. </w:t>
      </w:r>
      <w:proofErr w:type="spellStart"/>
      <w:r w:rsidR="00416DBD" w:rsidRPr="00416DBD">
        <w:t>Sepehr</w:t>
      </w:r>
      <w:proofErr w:type="spellEnd"/>
      <w:r w:rsidR="00416DBD" w:rsidRPr="00416DBD">
        <w:t xml:space="preserve"> R, Audi SH, Staniszewski KS, Haworth ST, Jacobs ER, Ranji M. Novel flurometric tool to assess mitochondrial redox state of isolated perfused rat lungs after exposure to hyperoxia. </w:t>
      </w:r>
      <w:r w:rsidR="00416DBD" w:rsidRPr="00416DBD">
        <w:rPr>
          <w:i/>
          <w:iCs/>
        </w:rPr>
        <w:t>IEEE J Transl Eng Health Med</w:t>
      </w:r>
      <w:r w:rsidR="00416DBD" w:rsidRPr="00416DBD">
        <w:t> 1:1500210, 2013.</w:t>
      </w:r>
    </w:p>
    <w:p w14:paraId="73BC50A8" w14:textId="0D6AE684" w:rsidR="00416DBD" w:rsidRPr="00416DBD" w:rsidRDefault="005E1019" w:rsidP="005E1019">
      <w:pPr>
        <w:spacing w:after="0"/>
        <w:ind w:left="720" w:hanging="720"/>
      </w:pPr>
      <w:r>
        <w:t xml:space="preserve">39. </w:t>
      </w:r>
      <w:r w:rsidR="00416DBD" w:rsidRPr="00416DBD">
        <w:t>Piantadosi CA, Suliman HB. Mitochondrial dysfunction in lung pathogenesis. </w:t>
      </w:r>
      <w:r w:rsidR="00416DBD" w:rsidRPr="00416DBD">
        <w:rPr>
          <w:i/>
          <w:iCs/>
        </w:rPr>
        <w:t>Annu Rev Physiol</w:t>
      </w:r>
      <w:r w:rsidR="00416DBD" w:rsidRPr="00416DBD">
        <w:t> 79:495–515, 2017.</w:t>
      </w:r>
    </w:p>
    <w:p w14:paraId="693D01F0" w14:textId="3887A94B" w:rsidR="00416DBD" w:rsidRPr="00416DBD" w:rsidRDefault="005E1019" w:rsidP="005E1019">
      <w:pPr>
        <w:spacing w:after="0"/>
        <w:ind w:left="720" w:hanging="720"/>
      </w:pPr>
      <w:r>
        <w:t xml:space="preserve">40. </w:t>
      </w:r>
      <w:r w:rsidR="00416DBD" w:rsidRPr="00416DBD">
        <w:t>Ten VS, Ratner V. Mitochondrial bioenergetics and pulmonary dysfunction: current progress and future directions. </w:t>
      </w:r>
      <w:r w:rsidR="00416DBD" w:rsidRPr="00416DBD">
        <w:rPr>
          <w:i/>
          <w:iCs/>
        </w:rPr>
        <w:t>Paediatr Respir Rev</w:t>
      </w:r>
      <w:r w:rsidR="00416DBD" w:rsidRPr="00416DBD">
        <w:t> 34:37–45, 2019.</w:t>
      </w:r>
    </w:p>
    <w:p w14:paraId="7568348E" w14:textId="25E1711E" w:rsidR="00416DBD" w:rsidRPr="00416DBD" w:rsidRDefault="005E1019" w:rsidP="005E1019">
      <w:pPr>
        <w:spacing w:after="0"/>
        <w:ind w:left="720" w:hanging="720"/>
      </w:pPr>
      <w:r>
        <w:t xml:space="preserve">41. </w:t>
      </w:r>
      <w:r w:rsidR="00416DBD" w:rsidRPr="00416DBD">
        <w:t>Du Q, Wang C, Zhang N, Li G, Zhang M, Li L, Zhang Q, Zhang J. In vivo study of the effects of exogenous hydrogen sulfide on lung mitochondria in acute lung injury in rats. </w:t>
      </w:r>
      <w:r w:rsidR="00416DBD" w:rsidRPr="00416DBD">
        <w:rPr>
          <w:i/>
          <w:iCs/>
        </w:rPr>
        <w:t>BMC Anesthesiol</w:t>
      </w:r>
      <w:r w:rsidR="00416DBD" w:rsidRPr="00416DBD">
        <w:t> 14:117, 2014.</w:t>
      </w:r>
    </w:p>
    <w:p w14:paraId="7AC05DC0" w14:textId="3607D0E7" w:rsidR="00416DBD" w:rsidRPr="00416DBD" w:rsidRDefault="005E1019" w:rsidP="005E1019">
      <w:pPr>
        <w:spacing w:after="0"/>
        <w:ind w:left="720" w:hanging="720"/>
      </w:pPr>
      <w:r>
        <w:t xml:space="preserve">42. </w:t>
      </w:r>
      <w:r w:rsidR="00416DBD" w:rsidRPr="00416DBD">
        <w:t>Ma C, Beyer AM, Durand M, Clough AV, Zhu D, Norwood Toro L, Terashvili M, Ebben JD, Hill RB, Audi SH, et al. Hyperoxia causes mitochondrial fragmentation in pulmonary endothelial cells by increasing expression of pro-fission proteins. </w:t>
      </w:r>
      <w:r w:rsidR="00416DBD" w:rsidRPr="00416DBD">
        <w:rPr>
          <w:i/>
          <w:iCs/>
        </w:rPr>
        <w:t>Arterioscler Thromb Vasc Biol</w:t>
      </w:r>
      <w:r w:rsidR="00416DBD" w:rsidRPr="00416DBD">
        <w:t> 38:622–635, 2018.</w:t>
      </w:r>
    </w:p>
    <w:p w14:paraId="1696881B" w14:textId="47ACC1DC" w:rsidR="00416DBD" w:rsidRPr="00416DBD" w:rsidRDefault="005E1019" w:rsidP="005E1019">
      <w:pPr>
        <w:spacing w:after="0"/>
        <w:ind w:left="720" w:hanging="720"/>
      </w:pPr>
      <w:r>
        <w:t xml:space="preserve">43. </w:t>
      </w:r>
      <w:r w:rsidR="00416DBD" w:rsidRPr="00416DBD">
        <w:t>Patil SS, Hernandez-Cuervo H, Fukumoto J, Narala VR, Saji S, Borra M, Alleyn M, Lin M, Soundararajan R, Lockey R, et al. Alda-1 attenuates hyperoxia-induced mitochondrial dysfunction in lung vascular endothelial cells. </w:t>
      </w:r>
      <w:r w:rsidR="00416DBD" w:rsidRPr="00416DBD">
        <w:rPr>
          <w:i/>
          <w:iCs/>
        </w:rPr>
        <w:t>Aging (Albany NY)</w:t>
      </w:r>
      <w:r w:rsidR="00416DBD" w:rsidRPr="00416DBD">
        <w:t> 11:3909–3918, 2019.</w:t>
      </w:r>
    </w:p>
    <w:p w14:paraId="461F6AA9" w14:textId="1D6A423E" w:rsidR="00416DBD" w:rsidRPr="00416DBD" w:rsidRDefault="005E1019" w:rsidP="005E1019">
      <w:pPr>
        <w:spacing w:after="0"/>
        <w:ind w:left="720" w:hanging="720"/>
      </w:pPr>
      <w:r>
        <w:t xml:space="preserve">44. </w:t>
      </w:r>
      <w:r w:rsidR="00416DBD" w:rsidRPr="00416DBD">
        <w:t>Zhang Y, Shan P, Srivastava A, Li Z, Lee PJ. Endothelial Stanniocalcin 1 maintains mitochondrial bioenergetics and prevents oxidant-induced lung injury via toll-like receptor 4. </w:t>
      </w:r>
      <w:r w:rsidR="00416DBD" w:rsidRPr="00416DBD">
        <w:rPr>
          <w:i/>
          <w:iCs/>
        </w:rPr>
        <w:t>Antioxid Redox Signal</w:t>
      </w:r>
      <w:r w:rsidR="00416DBD" w:rsidRPr="00416DBD">
        <w:t> 30:1775–1796, 2019.</w:t>
      </w:r>
    </w:p>
    <w:p w14:paraId="72CFB7C1" w14:textId="7A366CC7" w:rsidR="00416DBD" w:rsidRPr="00416DBD" w:rsidRDefault="005E1019" w:rsidP="005E1019">
      <w:pPr>
        <w:spacing w:after="0"/>
        <w:ind w:left="720" w:hanging="720"/>
      </w:pPr>
      <w:r>
        <w:t xml:space="preserve">45. </w:t>
      </w:r>
      <w:r w:rsidR="00416DBD" w:rsidRPr="00416DBD">
        <w:t xml:space="preserve">Audi SH, </w:t>
      </w:r>
      <w:proofErr w:type="spellStart"/>
      <w:r w:rsidR="00416DBD" w:rsidRPr="00416DBD">
        <w:t>Merker</w:t>
      </w:r>
      <w:proofErr w:type="spellEnd"/>
      <w:r w:rsidR="00416DBD" w:rsidRPr="00416DBD">
        <w:t xml:space="preserve"> MP, Krenz GS, Ahuja T, Roerig DL, Bongard RD. Coenzyme Q1 redox metabolism during passage through the rat pulmonary circulation and the effect of hyperoxia. </w:t>
      </w:r>
      <w:r w:rsidR="00416DBD" w:rsidRPr="00416DBD">
        <w:rPr>
          <w:i/>
          <w:iCs/>
        </w:rPr>
        <w:t>J Appl Physiol</w:t>
      </w:r>
      <w:r w:rsidR="00416DBD" w:rsidRPr="00416DBD">
        <w:t> 105:1114–1126, 2008.</w:t>
      </w:r>
    </w:p>
    <w:p w14:paraId="7DA4A0C5" w14:textId="60BC392B" w:rsidR="00416DBD" w:rsidRPr="00416DBD" w:rsidRDefault="005E1019" w:rsidP="005E1019">
      <w:pPr>
        <w:spacing w:after="0"/>
        <w:ind w:left="720" w:hanging="720"/>
      </w:pPr>
      <w:r>
        <w:t xml:space="preserve">46. </w:t>
      </w:r>
      <w:r w:rsidR="00416DBD" w:rsidRPr="00416DBD">
        <w:t xml:space="preserve">Kovac S, </w:t>
      </w:r>
      <w:proofErr w:type="spellStart"/>
      <w:r w:rsidR="00416DBD" w:rsidRPr="00416DBD">
        <w:t>Angelova</w:t>
      </w:r>
      <w:proofErr w:type="spellEnd"/>
      <w:r w:rsidR="00416DBD" w:rsidRPr="00416DBD">
        <w:t xml:space="preserve"> PR, Holmstrom KM, Zhang Y, Dinkova-Kostova AT, Abramov AY. Nrf2 regulates ROS production by mitochondria and NADPH oxidase. </w:t>
      </w:r>
      <w:r w:rsidR="00416DBD" w:rsidRPr="00416DBD">
        <w:rPr>
          <w:i/>
          <w:iCs/>
        </w:rPr>
        <w:t>Biochim Biophys Acta</w:t>
      </w:r>
      <w:r w:rsidR="00416DBD" w:rsidRPr="00416DBD">
        <w:t> 1850:794–801, 2015.</w:t>
      </w:r>
    </w:p>
    <w:p w14:paraId="3DF645BD" w14:textId="7E66C4AB" w:rsidR="00416DBD" w:rsidRPr="00416DBD" w:rsidRDefault="005E1019" w:rsidP="005E1019">
      <w:pPr>
        <w:spacing w:after="0"/>
        <w:ind w:left="720" w:hanging="720"/>
      </w:pPr>
      <w:r>
        <w:t xml:space="preserve">47. </w:t>
      </w:r>
      <w:r w:rsidR="00416DBD" w:rsidRPr="00416DBD">
        <w:t xml:space="preserve">Mach WJ, </w:t>
      </w:r>
      <w:proofErr w:type="spellStart"/>
      <w:r w:rsidR="00416DBD" w:rsidRPr="00416DBD">
        <w:t>Thimmesch</w:t>
      </w:r>
      <w:proofErr w:type="spellEnd"/>
      <w:r w:rsidR="00416DBD" w:rsidRPr="00416DBD">
        <w:t xml:space="preserve"> AR, Pierce JT, Pierce JD. Consequences of hyperoxia and the toxicity of oxygen in the lung. </w:t>
      </w:r>
      <w:r w:rsidR="00416DBD" w:rsidRPr="00416DBD">
        <w:rPr>
          <w:i/>
          <w:iCs/>
        </w:rPr>
        <w:t>Nurs Res Pract</w:t>
      </w:r>
      <w:r w:rsidR="00416DBD" w:rsidRPr="00416DBD">
        <w:t> 2011:260482, 2011.</w:t>
      </w:r>
    </w:p>
    <w:p w14:paraId="782B7E7D" w14:textId="73A55F3F" w:rsidR="00416DBD" w:rsidRPr="00416DBD" w:rsidRDefault="005E1019" w:rsidP="005E1019">
      <w:pPr>
        <w:spacing w:after="0"/>
        <w:ind w:left="720" w:hanging="720"/>
      </w:pPr>
      <w:r>
        <w:t xml:space="preserve">48. </w:t>
      </w:r>
      <w:r w:rsidR="00416DBD" w:rsidRPr="00416DBD">
        <w:t>Torbati D, Tan GH, Smith S, Frazier KS, Gelvez J, Fakioglu H, Totapally BR. Multiple-organ effect of normobaric hyperoxia in neonatal rats. </w:t>
      </w:r>
      <w:r w:rsidR="00416DBD" w:rsidRPr="00416DBD">
        <w:rPr>
          <w:i/>
          <w:iCs/>
        </w:rPr>
        <w:t>J Crit Care</w:t>
      </w:r>
      <w:r w:rsidR="00416DBD" w:rsidRPr="00416DBD">
        <w:t> 21:85–93, 2006. discussion 93–4.</w:t>
      </w:r>
    </w:p>
    <w:p w14:paraId="58896C3B" w14:textId="1A696222" w:rsidR="00416DBD" w:rsidRPr="00416DBD" w:rsidRDefault="005E1019" w:rsidP="005E1019">
      <w:pPr>
        <w:spacing w:after="0"/>
        <w:ind w:left="720" w:hanging="720"/>
      </w:pPr>
      <w:r>
        <w:t xml:space="preserve">49. </w:t>
      </w:r>
      <w:proofErr w:type="spellStart"/>
      <w:r w:rsidR="00416DBD" w:rsidRPr="00416DBD">
        <w:t>Kotton</w:t>
      </w:r>
      <w:proofErr w:type="spellEnd"/>
      <w:r w:rsidR="00416DBD" w:rsidRPr="00416DBD">
        <w:t xml:space="preserve"> DN, Morrisey EE. Lung regeneration: mechanisms, applications and emerging stem cell populations. </w:t>
      </w:r>
      <w:r w:rsidR="00416DBD" w:rsidRPr="00416DBD">
        <w:rPr>
          <w:i/>
          <w:iCs/>
        </w:rPr>
        <w:t>Nat Med</w:t>
      </w:r>
      <w:r w:rsidR="00416DBD" w:rsidRPr="00416DBD">
        <w:t> 20:822–832, 2014.</w:t>
      </w:r>
    </w:p>
    <w:p w14:paraId="672A402D" w14:textId="762DB2F5" w:rsidR="00416DBD" w:rsidRPr="00416DBD" w:rsidRDefault="005E1019" w:rsidP="005E1019">
      <w:pPr>
        <w:spacing w:after="0"/>
        <w:ind w:left="720" w:hanging="720"/>
      </w:pPr>
      <w:r>
        <w:t xml:space="preserve">50. </w:t>
      </w:r>
      <w:proofErr w:type="spellStart"/>
      <w:r w:rsidR="00416DBD" w:rsidRPr="00416DBD">
        <w:t>Merker</w:t>
      </w:r>
      <w:proofErr w:type="spellEnd"/>
      <w:r w:rsidR="00416DBD" w:rsidRPr="00416DBD">
        <w:t xml:space="preserve"> MP, Audi SH, Lindemer BJ, Krenz GS, Bongard RD. Role of mitochondrial electron transport complex I in coenzyme Q1 reduction by intact pulmonary arterial endothelial cells and the effect of hyperoxia. </w:t>
      </w:r>
      <w:r w:rsidR="00416DBD" w:rsidRPr="00416DBD">
        <w:rPr>
          <w:i/>
          <w:iCs/>
        </w:rPr>
        <w:t>Am J Physiol Lung Cell Mol Physiol</w:t>
      </w:r>
      <w:r w:rsidR="00416DBD" w:rsidRPr="00416DBD">
        <w:t> 293:L809–819, 2007.</w:t>
      </w:r>
    </w:p>
    <w:sectPr w:rsidR="00416DBD" w:rsidRPr="00416DB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ed5NbsDAjXm8yY8rmX3cfZGCRJ7OPIUscUyntY7aKjuFr9+217QWKKB8Eg/8WUoB+M3HUZ7bH9JEyTSEobjrMg==" w:salt="c6W1dDIGg7aWWMjovRqK9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3550"/>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16DBD"/>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1019"/>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1537"/>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A51D7"/>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2FE2"/>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955"/>
    <w:rsid w:val="00A01B8D"/>
    <w:rsid w:val="00A034AE"/>
    <w:rsid w:val="00A035F5"/>
    <w:rsid w:val="00A07F07"/>
    <w:rsid w:val="00A11F34"/>
    <w:rsid w:val="00A1350A"/>
    <w:rsid w:val="00A20052"/>
    <w:rsid w:val="00A231A4"/>
    <w:rsid w:val="00A310DA"/>
    <w:rsid w:val="00A32FCB"/>
    <w:rsid w:val="00A351B7"/>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87365"/>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6744"/>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internal-links">
    <w:name w:val="internal-links"/>
    <w:basedOn w:val="Normal"/>
    <w:rsid w:val="00416D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93165">
      <w:bodyDiv w:val="1"/>
      <w:marLeft w:val="0"/>
      <w:marRight w:val="0"/>
      <w:marTop w:val="0"/>
      <w:marBottom w:val="0"/>
      <w:divBdr>
        <w:top w:val="none" w:sz="0" w:space="0" w:color="auto"/>
        <w:left w:val="none" w:sz="0" w:space="0" w:color="auto"/>
        <w:bottom w:val="none" w:sz="0" w:space="0" w:color="auto"/>
        <w:right w:val="none" w:sz="0" w:space="0" w:color="auto"/>
      </w:divBdr>
      <w:divsChild>
        <w:div w:id="1694502598">
          <w:marLeft w:val="0"/>
          <w:marRight w:val="0"/>
          <w:marTop w:val="0"/>
          <w:marBottom w:val="0"/>
          <w:divBdr>
            <w:top w:val="none" w:sz="0" w:space="0" w:color="auto"/>
            <w:left w:val="none" w:sz="0" w:space="0" w:color="auto"/>
            <w:bottom w:val="none" w:sz="0" w:space="0" w:color="auto"/>
            <w:right w:val="none" w:sz="0" w:space="0" w:color="auto"/>
          </w:divBdr>
          <w:divsChild>
            <w:div w:id="678778905">
              <w:marLeft w:val="0"/>
              <w:marRight w:val="0"/>
              <w:marTop w:val="0"/>
              <w:marBottom w:val="0"/>
              <w:divBdr>
                <w:top w:val="none" w:sz="0" w:space="0" w:color="auto"/>
                <w:left w:val="none" w:sz="0" w:space="0" w:color="auto"/>
                <w:bottom w:val="none" w:sz="0" w:space="0" w:color="auto"/>
                <w:right w:val="none" w:sz="0" w:space="0" w:color="auto"/>
              </w:divBdr>
            </w:div>
          </w:divsChild>
        </w:div>
        <w:div w:id="442655962">
          <w:marLeft w:val="0"/>
          <w:marRight w:val="0"/>
          <w:marTop w:val="0"/>
          <w:marBottom w:val="0"/>
          <w:divBdr>
            <w:top w:val="none" w:sz="0" w:space="0" w:color="auto"/>
            <w:left w:val="none" w:sz="0" w:space="0" w:color="auto"/>
            <w:bottom w:val="none" w:sz="0" w:space="0" w:color="auto"/>
            <w:right w:val="none" w:sz="0" w:space="0" w:color="auto"/>
          </w:divBdr>
          <w:divsChild>
            <w:div w:id="741678686">
              <w:marLeft w:val="0"/>
              <w:marRight w:val="0"/>
              <w:marTop w:val="0"/>
              <w:marBottom w:val="0"/>
              <w:divBdr>
                <w:top w:val="none" w:sz="0" w:space="0" w:color="auto"/>
                <w:left w:val="none" w:sz="0" w:space="0" w:color="auto"/>
                <w:bottom w:val="none" w:sz="0" w:space="0" w:color="auto"/>
                <w:right w:val="none" w:sz="0" w:space="0" w:color="auto"/>
              </w:divBdr>
            </w:div>
          </w:divsChild>
        </w:div>
        <w:div w:id="1514539980">
          <w:marLeft w:val="0"/>
          <w:marRight w:val="0"/>
          <w:marTop w:val="0"/>
          <w:marBottom w:val="0"/>
          <w:divBdr>
            <w:top w:val="none" w:sz="0" w:space="0" w:color="auto"/>
            <w:left w:val="none" w:sz="0" w:space="0" w:color="auto"/>
            <w:bottom w:val="none" w:sz="0" w:space="0" w:color="auto"/>
            <w:right w:val="none" w:sz="0" w:space="0" w:color="auto"/>
          </w:divBdr>
          <w:divsChild>
            <w:div w:id="1048341304">
              <w:marLeft w:val="0"/>
              <w:marRight w:val="0"/>
              <w:marTop w:val="0"/>
              <w:marBottom w:val="0"/>
              <w:divBdr>
                <w:top w:val="none" w:sz="0" w:space="0" w:color="auto"/>
                <w:left w:val="none" w:sz="0" w:space="0" w:color="auto"/>
                <w:bottom w:val="none" w:sz="0" w:space="0" w:color="auto"/>
                <w:right w:val="none" w:sz="0" w:space="0" w:color="auto"/>
              </w:divBdr>
              <w:divsChild>
                <w:div w:id="5743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5356">
          <w:marLeft w:val="0"/>
          <w:marRight w:val="0"/>
          <w:marTop w:val="0"/>
          <w:marBottom w:val="0"/>
          <w:divBdr>
            <w:top w:val="none" w:sz="0" w:space="0" w:color="auto"/>
            <w:left w:val="none" w:sz="0" w:space="0" w:color="auto"/>
            <w:bottom w:val="none" w:sz="0" w:space="0" w:color="auto"/>
            <w:right w:val="none" w:sz="0" w:space="0" w:color="auto"/>
          </w:divBdr>
          <w:divsChild>
            <w:div w:id="750735141">
              <w:marLeft w:val="0"/>
              <w:marRight w:val="0"/>
              <w:marTop w:val="0"/>
              <w:marBottom w:val="0"/>
              <w:divBdr>
                <w:top w:val="none" w:sz="0" w:space="0" w:color="auto"/>
                <w:left w:val="none" w:sz="0" w:space="0" w:color="auto"/>
                <w:bottom w:val="none" w:sz="0" w:space="0" w:color="auto"/>
                <w:right w:val="none" w:sz="0" w:space="0" w:color="auto"/>
              </w:divBdr>
            </w:div>
          </w:divsChild>
        </w:div>
        <w:div w:id="1263757130">
          <w:marLeft w:val="0"/>
          <w:marRight w:val="0"/>
          <w:marTop w:val="0"/>
          <w:marBottom w:val="0"/>
          <w:divBdr>
            <w:top w:val="none" w:sz="0" w:space="0" w:color="auto"/>
            <w:left w:val="none" w:sz="0" w:space="0" w:color="auto"/>
            <w:bottom w:val="none" w:sz="0" w:space="0" w:color="auto"/>
            <w:right w:val="none" w:sz="0" w:space="0" w:color="auto"/>
          </w:divBdr>
          <w:divsChild>
            <w:div w:id="1524903404">
              <w:marLeft w:val="0"/>
              <w:marRight w:val="0"/>
              <w:marTop w:val="0"/>
              <w:marBottom w:val="0"/>
              <w:divBdr>
                <w:top w:val="none" w:sz="0" w:space="0" w:color="auto"/>
                <w:left w:val="none" w:sz="0" w:space="0" w:color="auto"/>
                <w:bottom w:val="none" w:sz="0" w:space="0" w:color="auto"/>
                <w:right w:val="none" w:sz="0" w:space="0" w:color="auto"/>
              </w:divBdr>
            </w:div>
          </w:divsChild>
        </w:div>
        <w:div w:id="1927304855">
          <w:marLeft w:val="0"/>
          <w:marRight w:val="0"/>
          <w:marTop w:val="0"/>
          <w:marBottom w:val="0"/>
          <w:divBdr>
            <w:top w:val="none" w:sz="0" w:space="0" w:color="auto"/>
            <w:left w:val="none" w:sz="0" w:space="0" w:color="auto"/>
            <w:bottom w:val="none" w:sz="0" w:space="0" w:color="auto"/>
            <w:right w:val="none" w:sz="0" w:space="0" w:color="auto"/>
          </w:divBdr>
          <w:divsChild>
            <w:div w:id="522675050">
              <w:marLeft w:val="0"/>
              <w:marRight w:val="0"/>
              <w:marTop w:val="0"/>
              <w:marBottom w:val="0"/>
              <w:divBdr>
                <w:top w:val="none" w:sz="0" w:space="0" w:color="auto"/>
                <w:left w:val="none" w:sz="0" w:space="0" w:color="auto"/>
                <w:bottom w:val="none" w:sz="0" w:space="0" w:color="auto"/>
                <w:right w:val="none" w:sz="0" w:space="0" w:color="auto"/>
              </w:divBdr>
            </w:div>
          </w:divsChild>
        </w:div>
        <w:div w:id="533733577">
          <w:marLeft w:val="0"/>
          <w:marRight w:val="0"/>
          <w:marTop w:val="0"/>
          <w:marBottom w:val="0"/>
          <w:divBdr>
            <w:top w:val="none" w:sz="0" w:space="0" w:color="auto"/>
            <w:left w:val="none" w:sz="0" w:space="0" w:color="auto"/>
            <w:bottom w:val="none" w:sz="0" w:space="0" w:color="auto"/>
            <w:right w:val="none" w:sz="0" w:space="0" w:color="auto"/>
          </w:divBdr>
          <w:divsChild>
            <w:div w:id="7803185">
              <w:marLeft w:val="0"/>
              <w:marRight w:val="0"/>
              <w:marTop w:val="0"/>
              <w:marBottom w:val="0"/>
              <w:divBdr>
                <w:top w:val="none" w:sz="0" w:space="0" w:color="auto"/>
                <w:left w:val="none" w:sz="0" w:space="0" w:color="auto"/>
                <w:bottom w:val="none" w:sz="0" w:space="0" w:color="auto"/>
                <w:right w:val="none" w:sz="0" w:space="0" w:color="auto"/>
              </w:divBdr>
            </w:div>
          </w:divsChild>
        </w:div>
        <w:div w:id="1806968686">
          <w:marLeft w:val="0"/>
          <w:marRight w:val="0"/>
          <w:marTop w:val="0"/>
          <w:marBottom w:val="0"/>
          <w:divBdr>
            <w:top w:val="none" w:sz="0" w:space="0" w:color="auto"/>
            <w:left w:val="none" w:sz="0" w:space="0" w:color="auto"/>
            <w:bottom w:val="none" w:sz="0" w:space="0" w:color="auto"/>
            <w:right w:val="none" w:sz="0" w:space="0" w:color="auto"/>
          </w:divBdr>
          <w:divsChild>
            <w:div w:id="793518295">
              <w:marLeft w:val="0"/>
              <w:marRight w:val="0"/>
              <w:marTop w:val="0"/>
              <w:marBottom w:val="0"/>
              <w:divBdr>
                <w:top w:val="none" w:sz="0" w:space="0" w:color="auto"/>
                <w:left w:val="none" w:sz="0" w:space="0" w:color="auto"/>
                <w:bottom w:val="none" w:sz="0" w:space="0" w:color="auto"/>
                <w:right w:val="none" w:sz="0" w:space="0" w:color="auto"/>
              </w:divBdr>
            </w:div>
          </w:divsChild>
        </w:div>
        <w:div w:id="1107429328">
          <w:marLeft w:val="0"/>
          <w:marRight w:val="0"/>
          <w:marTop w:val="0"/>
          <w:marBottom w:val="0"/>
          <w:divBdr>
            <w:top w:val="none" w:sz="0" w:space="0" w:color="auto"/>
            <w:left w:val="none" w:sz="0" w:space="0" w:color="auto"/>
            <w:bottom w:val="none" w:sz="0" w:space="0" w:color="auto"/>
            <w:right w:val="none" w:sz="0" w:space="0" w:color="auto"/>
          </w:divBdr>
          <w:divsChild>
            <w:div w:id="1837068638">
              <w:marLeft w:val="0"/>
              <w:marRight w:val="0"/>
              <w:marTop w:val="0"/>
              <w:marBottom w:val="0"/>
              <w:divBdr>
                <w:top w:val="none" w:sz="0" w:space="0" w:color="auto"/>
                <w:left w:val="none" w:sz="0" w:space="0" w:color="auto"/>
                <w:bottom w:val="none" w:sz="0" w:space="0" w:color="auto"/>
                <w:right w:val="none" w:sz="0" w:space="0" w:color="auto"/>
              </w:divBdr>
            </w:div>
          </w:divsChild>
        </w:div>
        <w:div w:id="1183977384">
          <w:marLeft w:val="0"/>
          <w:marRight w:val="0"/>
          <w:marTop w:val="0"/>
          <w:marBottom w:val="0"/>
          <w:divBdr>
            <w:top w:val="none" w:sz="0" w:space="0" w:color="auto"/>
            <w:left w:val="none" w:sz="0" w:space="0" w:color="auto"/>
            <w:bottom w:val="none" w:sz="0" w:space="0" w:color="auto"/>
            <w:right w:val="none" w:sz="0" w:space="0" w:color="auto"/>
          </w:divBdr>
          <w:divsChild>
            <w:div w:id="1928927536">
              <w:marLeft w:val="0"/>
              <w:marRight w:val="0"/>
              <w:marTop w:val="0"/>
              <w:marBottom w:val="0"/>
              <w:divBdr>
                <w:top w:val="none" w:sz="0" w:space="0" w:color="auto"/>
                <w:left w:val="none" w:sz="0" w:space="0" w:color="auto"/>
                <w:bottom w:val="none" w:sz="0" w:space="0" w:color="auto"/>
                <w:right w:val="none" w:sz="0" w:space="0" w:color="auto"/>
              </w:divBdr>
            </w:div>
          </w:divsChild>
        </w:div>
        <w:div w:id="1460494034">
          <w:marLeft w:val="0"/>
          <w:marRight w:val="0"/>
          <w:marTop w:val="0"/>
          <w:marBottom w:val="0"/>
          <w:divBdr>
            <w:top w:val="none" w:sz="0" w:space="0" w:color="auto"/>
            <w:left w:val="none" w:sz="0" w:space="0" w:color="auto"/>
            <w:bottom w:val="none" w:sz="0" w:space="0" w:color="auto"/>
            <w:right w:val="none" w:sz="0" w:space="0" w:color="auto"/>
          </w:divBdr>
          <w:divsChild>
            <w:div w:id="731343068">
              <w:marLeft w:val="0"/>
              <w:marRight w:val="0"/>
              <w:marTop w:val="0"/>
              <w:marBottom w:val="0"/>
              <w:divBdr>
                <w:top w:val="none" w:sz="0" w:space="0" w:color="auto"/>
                <w:left w:val="none" w:sz="0" w:space="0" w:color="auto"/>
                <w:bottom w:val="none" w:sz="0" w:space="0" w:color="auto"/>
                <w:right w:val="none" w:sz="0" w:space="0" w:color="auto"/>
              </w:divBdr>
            </w:div>
          </w:divsChild>
        </w:div>
        <w:div w:id="1878470728">
          <w:marLeft w:val="0"/>
          <w:marRight w:val="0"/>
          <w:marTop w:val="0"/>
          <w:marBottom w:val="0"/>
          <w:divBdr>
            <w:top w:val="none" w:sz="0" w:space="0" w:color="auto"/>
            <w:left w:val="none" w:sz="0" w:space="0" w:color="auto"/>
            <w:bottom w:val="none" w:sz="0" w:space="0" w:color="auto"/>
            <w:right w:val="none" w:sz="0" w:space="0" w:color="auto"/>
          </w:divBdr>
          <w:divsChild>
            <w:div w:id="63644554">
              <w:marLeft w:val="0"/>
              <w:marRight w:val="0"/>
              <w:marTop w:val="0"/>
              <w:marBottom w:val="0"/>
              <w:divBdr>
                <w:top w:val="none" w:sz="0" w:space="0" w:color="auto"/>
                <w:left w:val="none" w:sz="0" w:space="0" w:color="auto"/>
                <w:bottom w:val="none" w:sz="0" w:space="0" w:color="auto"/>
                <w:right w:val="none" w:sz="0" w:space="0" w:color="auto"/>
              </w:divBdr>
            </w:div>
          </w:divsChild>
        </w:div>
        <w:div w:id="1425222041">
          <w:marLeft w:val="0"/>
          <w:marRight w:val="0"/>
          <w:marTop w:val="0"/>
          <w:marBottom w:val="0"/>
          <w:divBdr>
            <w:top w:val="none" w:sz="0" w:space="0" w:color="auto"/>
            <w:left w:val="none" w:sz="0" w:space="0" w:color="auto"/>
            <w:bottom w:val="none" w:sz="0" w:space="0" w:color="auto"/>
            <w:right w:val="none" w:sz="0" w:space="0" w:color="auto"/>
          </w:divBdr>
          <w:divsChild>
            <w:div w:id="2142962460">
              <w:marLeft w:val="0"/>
              <w:marRight w:val="0"/>
              <w:marTop w:val="0"/>
              <w:marBottom w:val="0"/>
              <w:divBdr>
                <w:top w:val="none" w:sz="0" w:space="0" w:color="auto"/>
                <w:left w:val="none" w:sz="0" w:space="0" w:color="auto"/>
                <w:bottom w:val="none" w:sz="0" w:space="0" w:color="auto"/>
                <w:right w:val="none" w:sz="0" w:space="0" w:color="auto"/>
              </w:divBdr>
            </w:div>
          </w:divsChild>
        </w:div>
        <w:div w:id="1023281908">
          <w:marLeft w:val="0"/>
          <w:marRight w:val="0"/>
          <w:marTop w:val="0"/>
          <w:marBottom w:val="0"/>
          <w:divBdr>
            <w:top w:val="none" w:sz="0" w:space="0" w:color="auto"/>
            <w:left w:val="none" w:sz="0" w:space="0" w:color="auto"/>
            <w:bottom w:val="none" w:sz="0" w:space="0" w:color="auto"/>
            <w:right w:val="none" w:sz="0" w:space="0" w:color="auto"/>
          </w:divBdr>
          <w:divsChild>
            <w:div w:id="1852451648">
              <w:marLeft w:val="0"/>
              <w:marRight w:val="0"/>
              <w:marTop w:val="0"/>
              <w:marBottom w:val="0"/>
              <w:divBdr>
                <w:top w:val="none" w:sz="0" w:space="0" w:color="auto"/>
                <w:left w:val="none" w:sz="0" w:space="0" w:color="auto"/>
                <w:bottom w:val="none" w:sz="0" w:space="0" w:color="auto"/>
                <w:right w:val="none" w:sz="0" w:space="0" w:color="auto"/>
              </w:divBdr>
            </w:div>
          </w:divsChild>
        </w:div>
        <w:div w:id="1900822369">
          <w:marLeft w:val="0"/>
          <w:marRight w:val="0"/>
          <w:marTop w:val="0"/>
          <w:marBottom w:val="0"/>
          <w:divBdr>
            <w:top w:val="none" w:sz="0" w:space="0" w:color="auto"/>
            <w:left w:val="none" w:sz="0" w:space="0" w:color="auto"/>
            <w:bottom w:val="none" w:sz="0" w:space="0" w:color="auto"/>
            <w:right w:val="none" w:sz="0" w:space="0" w:color="auto"/>
          </w:divBdr>
          <w:divsChild>
            <w:div w:id="443891986">
              <w:marLeft w:val="0"/>
              <w:marRight w:val="0"/>
              <w:marTop w:val="0"/>
              <w:marBottom w:val="0"/>
              <w:divBdr>
                <w:top w:val="none" w:sz="0" w:space="0" w:color="auto"/>
                <w:left w:val="none" w:sz="0" w:space="0" w:color="auto"/>
                <w:bottom w:val="none" w:sz="0" w:space="0" w:color="auto"/>
                <w:right w:val="none" w:sz="0" w:space="0" w:color="auto"/>
              </w:divBdr>
            </w:div>
          </w:divsChild>
        </w:div>
        <w:div w:id="1381707143">
          <w:marLeft w:val="0"/>
          <w:marRight w:val="0"/>
          <w:marTop w:val="0"/>
          <w:marBottom w:val="0"/>
          <w:divBdr>
            <w:top w:val="none" w:sz="0" w:space="0" w:color="auto"/>
            <w:left w:val="none" w:sz="0" w:space="0" w:color="auto"/>
            <w:bottom w:val="none" w:sz="0" w:space="0" w:color="auto"/>
            <w:right w:val="none" w:sz="0" w:space="0" w:color="auto"/>
          </w:divBdr>
          <w:divsChild>
            <w:div w:id="1163084393">
              <w:marLeft w:val="0"/>
              <w:marRight w:val="0"/>
              <w:marTop w:val="0"/>
              <w:marBottom w:val="0"/>
              <w:divBdr>
                <w:top w:val="none" w:sz="0" w:space="0" w:color="auto"/>
                <w:left w:val="none" w:sz="0" w:space="0" w:color="auto"/>
                <w:bottom w:val="none" w:sz="0" w:space="0" w:color="auto"/>
                <w:right w:val="none" w:sz="0" w:space="0" w:color="auto"/>
              </w:divBdr>
            </w:div>
          </w:divsChild>
        </w:div>
        <w:div w:id="1860657783">
          <w:marLeft w:val="0"/>
          <w:marRight w:val="0"/>
          <w:marTop w:val="0"/>
          <w:marBottom w:val="0"/>
          <w:divBdr>
            <w:top w:val="none" w:sz="0" w:space="0" w:color="auto"/>
            <w:left w:val="none" w:sz="0" w:space="0" w:color="auto"/>
            <w:bottom w:val="none" w:sz="0" w:space="0" w:color="auto"/>
            <w:right w:val="none" w:sz="0" w:space="0" w:color="auto"/>
          </w:divBdr>
          <w:divsChild>
            <w:div w:id="1260067438">
              <w:marLeft w:val="0"/>
              <w:marRight w:val="0"/>
              <w:marTop w:val="0"/>
              <w:marBottom w:val="0"/>
              <w:divBdr>
                <w:top w:val="none" w:sz="0" w:space="0" w:color="auto"/>
                <w:left w:val="none" w:sz="0" w:space="0" w:color="auto"/>
                <w:bottom w:val="none" w:sz="0" w:space="0" w:color="auto"/>
                <w:right w:val="none" w:sz="0" w:space="0" w:color="auto"/>
              </w:divBdr>
            </w:div>
          </w:divsChild>
        </w:div>
        <w:div w:id="2055038767">
          <w:marLeft w:val="0"/>
          <w:marRight w:val="0"/>
          <w:marTop w:val="0"/>
          <w:marBottom w:val="0"/>
          <w:divBdr>
            <w:top w:val="none" w:sz="0" w:space="0" w:color="auto"/>
            <w:left w:val="none" w:sz="0" w:space="0" w:color="auto"/>
            <w:bottom w:val="none" w:sz="0" w:space="0" w:color="auto"/>
            <w:right w:val="none" w:sz="0" w:space="0" w:color="auto"/>
          </w:divBdr>
          <w:divsChild>
            <w:div w:id="253249988">
              <w:marLeft w:val="0"/>
              <w:marRight w:val="0"/>
              <w:marTop w:val="0"/>
              <w:marBottom w:val="0"/>
              <w:divBdr>
                <w:top w:val="none" w:sz="0" w:space="0" w:color="auto"/>
                <w:left w:val="none" w:sz="0" w:space="0" w:color="auto"/>
                <w:bottom w:val="none" w:sz="0" w:space="0" w:color="auto"/>
                <w:right w:val="none" w:sz="0" w:space="0" w:color="auto"/>
              </w:divBdr>
            </w:div>
          </w:divsChild>
        </w:div>
        <w:div w:id="311953641">
          <w:marLeft w:val="0"/>
          <w:marRight w:val="0"/>
          <w:marTop w:val="0"/>
          <w:marBottom w:val="0"/>
          <w:divBdr>
            <w:top w:val="none" w:sz="0" w:space="0" w:color="auto"/>
            <w:left w:val="none" w:sz="0" w:space="0" w:color="auto"/>
            <w:bottom w:val="none" w:sz="0" w:space="0" w:color="auto"/>
            <w:right w:val="none" w:sz="0" w:space="0" w:color="auto"/>
          </w:divBdr>
          <w:divsChild>
            <w:div w:id="1408304462">
              <w:marLeft w:val="0"/>
              <w:marRight w:val="0"/>
              <w:marTop w:val="0"/>
              <w:marBottom w:val="0"/>
              <w:divBdr>
                <w:top w:val="none" w:sz="0" w:space="0" w:color="auto"/>
                <w:left w:val="none" w:sz="0" w:space="0" w:color="auto"/>
                <w:bottom w:val="none" w:sz="0" w:space="0" w:color="auto"/>
                <w:right w:val="none" w:sz="0" w:space="0" w:color="auto"/>
              </w:divBdr>
            </w:div>
          </w:divsChild>
        </w:div>
        <w:div w:id="601886839">
          <w:marLeft w:val="0"/>
          <w:marRight w:val="0"/>
          <w:marTop w:val="0"/>
          <w:marBottom w:val="0"/>
          <w:divBdr>
            <w:top w:val="none" w:sz="0" w:space="0" w:color="auto"/>
            <w:left w:val="none" w:sz="0" w:space="0" w:color="auto"/>
            <w:bottom w:val="none" w:sz="0" w:space="0" w:color="auto"/>
            <w:right w:val="none" w:sz="0" w:space="0" w:color="auto"/>
          </w:divBdr>
          <w:divsChild>
            <w:div w:id="1392077265">
              <w:marLeft w:val="0"/>
              <w:marRight w:val="0"/>
              <w:marTop w:val="0"/>
              <w:marBottom w:val="0"/>
              <w:divBdr>
                <w:top w:val="none" w:sz="0" w:space="0" w:color="auto"/>
                <w:left w:val="none" w:sz="0" w:space="0" w:color="auto"/>
                <w:bottom w:val="none" w:sz="0" w:space="0" w:color="auto"/>
                <w:right w:val="none" w:sz="0" w:space="0" w:color="auto"/>
              </w:divBdr>
            </w:div>
          </w:divsChild>
        </w:div>
        <w:div w:id="1316452378">
          <w:marLeft w:val="0"/>
          <w:marRight w:val="0"/>
          <w:marTop w:val="0"/>
          <w:marBottom w:val="0"/>
          <w:divBdr>
            <w:top w:val="none" w:sz="0" w:space="0" w:color="auto"/>
            <w:left w:val="none" w:sz="0" w:space="0" w:color="auto"/>
            <w:bottom w:val="none" w:sz="0" w:space="0" w:color="auto"/>
            <w:right w:val="none" w:sz="0" w:space="0" w:color="auto"/>
          </w:divBdr>
          <w:divsChild>
            <w:div w:id="1119299589">
              <w:marLeft w:val="0"/>
              <w:marRight w:val="0"/>
              <w:marTop w:val="0"/>
              <w:marBottom w:val="0"/>
              <w:divBdr>
                <w:top w:val="none" w:sz="0" w:space="0" w:color="auto"/>
                <w:left w:val="none" w:sz="0" w:space="0" w:color="auto"/>
                <w:bottom w:val="none" w:sz="0" w:space="0" w:color="auto"/>
                <w:right w:val="none" w:sz="0" w:space="0" w:color="auto"/>
              </w:divBdr>
            </w:div>
          </w:divsChild>
        </w:div>
        <w:div w:id="1561985316">
          <w:marLeft w:val="0"/>
          <w:marRight w:val="0"/>
          <w:marTop w:val="0"/>
          <w:marBottom w:val="0"/>
          <w:divBdr>
            <w:top w:val="none" w:sz="0" w:space="0" w:color="auto"/>
            <w:left w:val="none" w:sz="0" w:space="0" w:color="auto"/>
            <w:bottom w:val="none" w:sz="0" w:space="0" w:color="auto"/>
            <w:right w:val="none" w:sz="0" w:space="0" w:color="auto"/>
          </w:divBdr>
          <w:divsChild>
            <w:div w:id="424959121">
              <w:marLeft w:val="0"/>
              <w:marRight w:val="0"/>
              <w:marTop w:val="0"/>
              <w:marBottom w:val="0"/>
              <w:divBdr>
                <w:top w:val="none" w:sz="0" w:space="0" w:color="auto"/>
                <w:left w:val="none" w:sz="0" w:space="0" w:color="auto"/>
                <w:bottom w:val="none" w:sz="0" w:space="0" w:color="auto"/>
                <w:right w:val="none" w:sz="0" w:space="0" w:color="auto"/>
              </w:divBdr>
            </w:div>
          </w:divsChild>
        </w:div>
        <w:div w:id="1800150297">
          <w:marLeft w:val="0"/>
          <w:marRight w:val="0"/>
          <w:marTop w:val="0"/>
          <w:marBottom w:val="0"/>
          <w:divBdr>
            <w:top w:val="none" w:sz="0" w:space="0" w:color="auto"/>
            <w:left w:val="none" w:sz="0" w:space="0" w:color="auto"/>
            <w:bottom w:val="none" w:sz="0" w:space="0" w:color="auto"/>
            <w:right w:val="none" w:sz="0" w:space="0" w:color="auto"/>
          </w:divBdr>
          <w:divsChild>
            <w:div w:id="1713340394">
              <w:marLeft w:val="0"/>
              <w:marRight w:val="0"/>
              <w:marTop w:val="0"/>
              <w:marBottom w:val="0"/>
              <w:divBdr>
                <w:top w:val="none" w:sz="0" w:space="0" w:color="auto"/>
                <w:left w:val="none" w:sz="0" w:space="0" w:color="auto"/>
                <w:bottom w:val="none" w:sz="0" w:space="0" w:color="auto"/>
                <w:right w:val="none" w:sz="0" w:space="0" w:color="auto"/>
              </w:divBdr>
            </w:div>
          </w:divsChild>
        </w:div>
        <w:div w:id="1282151195">
          <w:marLeft w:val="0"/>
          <w:marRight w:val="0"/>
          <w:marTop w:val="0"/>
          <w:marBottom w:val="0"/>
          <w:divBdr>
            <w:top w:val="none" w:sz="0" w:space="0" w:color="auto"/>
            <w:left w:val="none" w:sz="0" w:space="0" w:color="auto"/>
            <w:bottom w:val="none" w:sz="0" w:space="0" w:color="auto"/>
            <w:right w:val="none" w:sz="0" w:space="0" w:color="auto"/>
          </w:divBdr>
          <w:divsChild>
            <w:div w:id="805659580">
              <w:marLeft w:val="0"/>
              <w:marRight w:val="0"/>
              <w:marTop w:val="0"/>
              <w:marBottom w:val="0"/>
              <w:divBdr>
                <w:top w:val="none" w:sz="0" w:space="0" w:color="auto"/>
                <w:left w:val="none" w:sz="0" w:space="0" w:color="auto"/>
                <w:bottom w:val="none" w:sz="0" w:space="0" w:color="auto"/>
                <w:right w:val="none" w:sz="0" w:space="0" w:color="auto"/>
              </w:divBdr>
            </w:div>
          </w:divsChild>
        </w:div>
        <w:div w:id="886992314">
          <w:marLeft w:val="0"/>
          <w:marRight w:val="0"/>
          <w:marTop w:val="0"/>
          <w:marBottom w:val="0"/>
          <w:divBdr>
            <w:top w:val="none" w:sz="0" w:space="0" w:color="auto"/>
            <w:left w:val="none" w:sz="0" w:space="0" w:color="auto"/>
            <w:bottom w:val="none" w:sz="0" w:space="0" w:color="auto"/>
            <w:right w:val="none" w:sz="0" w:space="0" w:color="auto"/>
          </w:divBdr>
          <w:divsChild>
            <w:div w:id="1145396065">
              <w:marLeft w:val="0"/>
              <w:marRight w:val="0"/>
              <w:marTop w:val="0"/>
              <w:marBottom w:val="0"/>
              <w:divBdr>
                <w:top w:val="none" w:sz="0" w:space="0" w:color="auto"/>
                <w:left w:val="none" w:sz="0" w:space="0" w:color="auto"/>
                <w:bottom w:val="none" w:sz="0" w:space="0" w:color="auto"/>
                <w:right w:val="none" w:sz="0" w:space="0" w:color="auto"/>
              </w:divBdr>
            </w:div>
          </w:divsChild>
        </w:div>
        <w:div w:id="1071729177">
          <w:marLeft w:val="0"/>
          <w:marRight w:val="0"/>
          <w:marTop w:val="0"/>
          <w:marBottom w:val="0"/>
          <w:divBdr>
            <w:top w:val="none" w:sz="0" w:space="0" w:color="auto"/>
            <w:left w:val="none" w:sz="0" w:space="0" w:color="auto"/>
            <w:bottom w:val="none" w:sz="0" w:space="0" w:color="auto"/>
            <w:right w:val="none" w:sz="0" w:space="0" w:color="auto"/>
          </w:divBdr>
          <w:divsChild>
            <w:div w:id="1254783707">
              <w:marLeft w:val="0"/>
              <w:marRight w:val="0"/>
              <w:marTop w:val="0"/>
              <w:marBottom w:val="0"/>
              <w:divBdr>
                <w:top w:val="none" w:sz="0" w:space="0" w:color="auto"/>
                <w:left w:val="none" w:sz="0" w:space="0" w:color="auto"/>
                <w:bottom w:val="none" w:sz="0" w:space="0" w:color="auto"/>
                <w:right w:val="none" w:sz="0" w:space="0" w:color="auto"/>
              </w:divBdr>
            </w:div>
          </w:divsChild>
        </w:div>
        <w:div w:id="847063197">
          <w:marLeft w:val="0"/>
          <w:marRight w:val="0"/>
          <w:marTop w:val="0"/>
          <w:marBottom w:val="0"/>
          <w:divBdr>
            <w:top w:val="none" w:sz="0" w:space="0" w:color="auto"/>
            <w:left w:val="none" w:sz="0" w:space="0" w:color="auto"/>
            <w:bottom w:val="none" w:sz="0" w:space="0" w:color="auto"/>
            <w:right w:val="none" w:sz="0" w:space="0" w:color="auto"/>
          </w:divBdr>
          <w:divsChild>
            <w:div w:id="830407671">
              <w:marLeft w:val="0"/>
              <w:marRight w:val="0"/>
              <w:marTop w:val="0"/>
              <w:marBottom w:val="0"/>
              <w:divBdr>
                <w:top w:val="none" w:sz="0" w:space="0" w:color="auto"/>
                <w:left w:val="none" w:sz="0" w:space="0" w:color="auto"/>
                <w:bottom w:val="none" w:sz="0" w:space="0" w:color="auto"/>
                <w:right w:val="none" w:sz="0" w:space="0" w:color="auto"/>
              </w:divBdr>
            </w:div>
          </w:divsChild>
        </w:div>
        <w:div w:id="2081709581">
          <w:marLeft w:val="0"/>
          <w:marRight w:val="0"/>
          <w:marTop w:val="0"/>
          <w:marBottom w:val="0"/>
          <w:divBdr>
            <w:top w:val="none" w:sz="0" w:space="0" w:color="auto"/>
            <w:left w:val="none" w:sz="0" w:space="0" w:color="auto"/>
            <w:bottom w:val="none" w:sz="0" w:space="0" w:color="auto"/>
            <w:right w:val="none" w:sz="0" w:space="0" w:color="auto"/>
          </w:divBdr>
          <w:divsChild>
            <w:div w:id="112598161">
              <w:marLeft w:val="0"/>
              <w:marRight w:val="0"/>
              <w:marTop w:val="0"/>
              <w:marBottom w:val="0"/>
              <w:divBdr>
                <w:top w:val="none" w:sz="0" w:space="0" w:color="auto"/>
                <w:left w:val="none" w:sz="0" w:space="0" w:color="auto"/>
                <w:bottom w:val="none" w:sz="0" w:space="0" w:color="auto"/>
                <w:right w:val="none" w:sz="0" w:space="0" w:color="auto"/>
              </w:divBdr>
            </w:div>
          </w:divsChild>
        </w:div>
        <w:div w:id="1997106669">
          <w:marLeft w:val="0"/>
          <w:marRight w:val="0"/>
          <w:marTop w:val="0"/>
          <w:marBottom w:val="0"/>
          <w:divBdr>
            <w:top w:val="none" w:sz="0" w:space="0" w:color="auto"/>
            <w:left w:val="none" w:sz="0" w:space="0" w:color="auto"/>
            <w:bottom w:val="none" w:sz="0" w:space="0" w:color="auto"/>
            <w:right w:val="none" w:sz="0" w:space="0" w:color="auto"/>
          </w:divBdr>
          <w:divsChild>
            <w:div w:id="67117034">
              <w:marLeft w:val="0"/>
              <w:marRight w:val="0"/>
              <w:marTop w:val="0"/>
              <w:marBottom w:val="0"/>
              <w:divBdr>
                <w:top w:val="none" w:sz="0" w:space="0" w:color="auto"/>
                <w:left w:val="none" w:sz="0" w:space="0" w:color="auto"/>
                <w:bottom w:val="none" w:sz="0" w:space="0" w:color="auto"/>
                <w:right w:val="none" w:sz="0" w:space="0" w:color="auto"/>
              </w:divBdr>
            </w:div>
          </w:divsChild>
        </w:div>
        <w:div w:id="1459832912">
          <w:marLeft w:val="0"/>
          <w:marRight w:val="0"/>
          <w:marTop w:val="0"/>
          <w:marBottom w:val="0"/>
          <w:divBdr>
            <w:top w:val="none" w:sz="0" w:space="0" w:color="auto"/>
            <w:left w:val="none" w:sz="0" w:space="0" w:color="auto"/>
            <w:bottom w:val="none" w:sz="0" w:space="0" w:color="auto"/>
            <w:right w:val="none" w:sz="0" w:space="0" w:color="auto"/>
          </w:divBdr>
          <w:divsChild>
            <w:div w:id="1325549542">
              <w:marLeft w:val="0"/>
              <w:marRight w:val="0"/>
              <w:marTop w:val="0"/>
              <w:marBottom w:val="0"/>
              <w:divBdr>
                <w:top w:val="none" w:sz="0" w:space="0" w:color="auto"/>
                <w:left w:val="none" w:sz="0" w:space="0" w:color="auto"/>
                <w:bottom w:val="none" w:sz="0" w:space="0" w:color="auto"/>
                <w:right w:val="none" w:sz="0" w:space="0" w:color="auto"/>
              </w:divBdr>
            </w:div>
          </w:divsChild>
        </w:div>
        <w:div w:id="132217908">
          <w:marLeft w:val="0"/>
          <w:marRight w:val="0"/>
          <w:marTop w:val="0"/>
          <w:marBottom w:val="0"/>
          <w:divBdr>
            <w:top w:val="none" w:sz="0" w:space="0" w:color="auto"/>
            <w:left w:val="none" w:sz="0" w:space="0" w:color="auto"/>
            <w:bottom w:val="none" w:sz="0" w:space="0" w:color="auto"/>
            <w:right w:val="none" w:sz="0" w:space="0" w:color="auto"/>
          </w:divBdr>
          <w:divsChild>
            <w:div w:id="1335643128">
              <w:marLeft w:val="0"/>
              <w:marRight w:val="0"/>
              <w:marTop w:val="0"/>
              <w:marBottom w:val="0"/>
              <w:divBdr>
                <w:top w:val="none" w:sz="0" w:space="0" w:color="auto"/>
                <w:left w:val="none" w:sz="0" w:space="0" w:color="auto"/>
                <w:bottom w:val="none" w:sz="0" w:space="0" w:color="auto"/>
                <w:right w:val="none" w:sz="0" w:space="0" w:color="auto"/>
              </w:divBdr>
            </w:div>
          </w:divsChild>
        </w:div>
        <w:div w:id="1734308229">
          <w:marLeft w:val="0"/>
          <w:marRight w:val="0"/>
          <w:marTop w:val="0"/>
          <w:marBottom w:val="0"/>
          <w:divBdr>
            <w:top w:val="none" w:sz="0" w:space="0" w:color="auto"/>
            <w:left w:val="none" w:sz="0" w:space="0" w:color="auto"/>
            <w:bottom w:val="none" w:sz="0" w:space="0" w:color="auto"/>
            <w:right w:val="none" w:sz="0" w:space="0" w:color="auto"/>
          </w:divBdr>
          <w:divsChild>
            <w:div w:id="961229036">
              <w:marLeft w:val="0"/>
              <w:marRight w:val="0"/>
              <w:marTop w:val="0"/>
              <w:marBottom w:val="0"/>
              <w:divBdr>
                <w:top w:val="none" w:sz="0" w:space="0" w:color="auto"/>
                <w:left w:val="none" w:sz="0" w:space="0" w:color="auto"/>
                <w:bottom w:val="none" w:sz="0" w:space="0" w:color="auto"/>
                <w:right w:val="none" w:sz="0" w:space="0" w:color="auto"/>
              </w:divBdr>
            </w:div>
          </w:divsChild>
        </w:div>
        <w:div w:id="2032219262">
          <w:marLeft w:val="0"/>
          <w:marRight w:val="0"/>
          <w:marTop w:val="0"/>
          <w:marBottom w:val="0"/>
          <w:divBdr>
            <w:top w:val="none" w:sz="0" w:space="0" w:color="auto"/>
            <w:left w:val="none" w:sz="0" w:space="0" w:color="auto"/>
            <w:bottom w:val="none" w:sz="0" w:space="0" w:color="auto"/>
            <w:right w:val="none" w:sz="0" w:space="0" w:color="auto"/>
          </w:divBdr>
          <w:divsChild>
            <w:div w:id="1082995812">
              <w:marLeft w:val="0"/>
              <w:marRight w:val="0"/>
              <w:marTop w:val="0"/>
              <w:marBottom w:val="0"/>
              <w:divBdr>
                <w:top w:val="none" w:sz="0" w:space="0" w:color="auto"/>
                <w:left w:val="none" w:sz="0" w:space="0" w:color="auto"/>
                <w:bottom w:val="none" w:sz="0" w:space="0" w:color="auto"/>
                <w:right w:val="none" w:sz="0" w:space="0" w:color="auto"/>
              </w:divBdr>
            </w:div>
          </w:divsChild>
        </w:div>
        <w:div w:id="2015523893">
          <w:marLeft w:val="0"/>
          <w:marRight w:val="0"/>
          <w:marTop w:val="0"/>
          <w:marBottom w:val="0"/>
          <w:divBdr>
            <w:top w:val="none" w:sz="0" w:space="0" w:color="auto"/>
            <w:left w:val="none" w:sz="0" w:space="0" w:color="auto"/>
            <w:bottom w:val="none" w:sz="0" w:space="0" w:color="auto"/>
            <w:right w:val="none" w:sz="0" w:space="0" w:color="auto"/>
          </w:divBdr>
          <w:divsChild>
            <w:div w:id="561257087">
              <w:marLeft w:val="0"/>
              <w:marRight w:val="0"/>
              <w:marTop w:val="0"/>
              <w:marBottom w:val="0"/>
              <w:divBdr>
                <w:top w:val="none" w:sz="0" w:space="0" w:color="auto"/>
                <w:left w:val="none" w:sz="0" w:space="0" w:color="auto"/>
                <w:bottom w:val="none" w:sz="0" w:space="0" w:color="auto"/>
                <w:right w:val="none" w:sz="0" w:space="0" w:color="auto"/>
              </w:divBdr>
            </w:div>
          </w:divsChild>
        </w:div>
        <w:div w:id="1664047428">
          <w:marLeft w:val="0"/>
          <w:marRight w:val="0"/>
          <w:marTop w:val="0"/>
          <w:marBottom w:val="0"/>
          <w:divBdr>
            <w:top w:val="none" w:sz="0" w:space="0" w:color="auto"/>
            <w:left w:val="none" w:sz="0" w:space="0" w:color="auto"/>
            <w:bottom w:val="none" w:sz="0" w:space="0" w:color="auto"/>
            <w:right w:val="none" w:sz="0" w:space="0" w:color="auto"/>
          </w:divBdr>
          <w:divsChild>
            <w:div w:id="1110858287">
              <w:marLeft w:val="0"/>
              <w:marRight w:val="0"/>
              <w:marTop w:val="0"/>
              <w:marBottom w:val="0"/>
              <w:divBdr>
                <w:top w:val="none" w:sz="0" w:space="0" w:color="auto"/>
                <w:left w:val="none" w:sz="0" w:space="0" w:color="auto"/>
                <w:bottom w:val="none" w:sz="0" w:space="0" w:color="auto"/>
                <w:right w:val="none" w:sz="0" w:space="0" w:color="auto"/>
              </w:divBdr>
            </w:div>
          </w:divsChild>
        </w:div>
        <w:div w:id="1283265187">
          <w:marLeft w:val="0"/>
          <w:marRight w:val="0"/>
          <w:marTop w:val="0"/>
          <w:marBottom w:val="0"/>
          <w:divBdr>
            <w:top w:val="none" w:sz="0" w:space="0" w:color="auto"/>
            <w:left w:val="none" w:sz="0" w:space="0" w:color="auto"/>
            <w:bottom w:val="none" w:sz="0" w:space="0" w:color="auto"/>
            <w:right w:val="none" w:sz="0" w:space="0" w:color="auto"/>
          </w:divBdr>
          <w:divsChild>
            <w:div w:id="1943996665">
              <w:marLeft w:val="0"/>
              <w:marRight w:val="0"/>
              <w:marTop w:val="0"/>
              <w:marBottom w:val="0"/>
              <w:divBdr>
                <w:top w:val="none" w:sz="0" w:space="0" w:color="auto"/>
                <w:left w:val="none" w:sz="0" w:space="0" w:color="auto"/>
                <w:bottom w:val="none" w:sz="0" w:space="0" w:color="auto"/>
                <w:right w:val="none" w:sz="0" w:space="0" w:color="auto"/>
              </w:divBdr>
            </w:div>
          </w:divsChild>
        </w:div>
        <w:div w:id="793522867">
          <w:marLeft w:val="0"/>
          <w:marRight w:val="0"/>
          <w:marTop w:val="0"/>
          <w:marBottom w:val="0"/>
          <w:divBdr>
            <w:top w:val="none" w:sz="0" w:space="0" w:color="auto"/>
            <w:left w:val="none" w:sz="0" w:space="0" w:color="auto"/>
            <w:bottom w:val="none" w:sz="0" w:space="0" w:color="auto"/>
            <w:right w:val="none" w:sz="0" w:space="0" w:color="auto"/>
          </w:divBdr>
          <w:divsChild>
            <w:div w:id="191843231">
              <w:marLeft w:val="0"/>
              <w:marRight w:val="0"/>
              <w:marTop w:val="0"/>
              <w:marBottom w:val="0"/>
              <w:divBdr>
                <w:top w:val="none" w:sz="0" w:space="0" w:color="auto"/>
                <w:left w:val="none" w:sz="0" w:space="0" w:color="auto"/>
                <w:bottom w:val="none" w:sz="0" w:space="0" w:color="auto"/>
                <w:right w:val="none" w:sz="0" w:space="0" w:color="auto"/>
              </w:divBdr>
            </w:div>
          </w:divsChild>
        </w:div>
        <w:div w:id="1783115090">
          <w:marLeft w:val="0"/>
          <w:marRight w:val="0"/>
          <w:marTop w:val="0"/>
          <w:marBottom w:val="0"/>
          <w:divBdr>
            <w:top w:val="none" w:sz="0" w:space="0" w:color="auto"/>
            <w:left w:val="none" w:sz="0" w:space="0" w:color="auto"/>
            <w:bottom w:val="none" w:sz="0" w:space="0" w:color="auto"/>
            <w:right w:val="none" w:sz="0" w:space="0" w:color="auto"/>
          </w:divBdr>
          <w:divsChild>
            <w:div w:id="584613629">
              <w:marLeft w:val="0"/>
              <w:marRight w:val="0"/>
              <w:marTop w:val="0"/>
              <w:marBottom w:val="0"/>
              <w:divBdr>
                <w:top w:val="none" w:sz="0" w:space="0" w:color="auto"/>
                <w:left w:val="none" w:sz="0" w:space="0" w:color="auto"/>
                <w:bottom w:val="none" w:sz="0" w:space="0" w:color="auto"/>
                <w:right w:val="none" w:sz="0" w:space="0" w:color="auto"/>
              </w:divBdr>
            </w:div>
          </w:divsChild>
        </w:div>
        <w:div w:id="48841965">
          <w:marLeft w:val="0"/>
          <w:marRight w:val="0"/>
          <w:marTop w:val="0"/>
          <w:marBottom w:val="0"/>
          <w:divBdr>
            <w:top w:val="none" w:sz="0" w:space="0" w:color="auto"/>
            <w:left w:val="none" w:sz="0" w:space="0" w:color="auto"/>
            <w:bottom w:val="none" w:sz="0" w:space="0" w:color="auto"/>
            <w:right w:val="none" w:sz="0" w:space="0" w:color="auto"/>
          </w:divBdr>
          <w:divsChild>
            <w:div w:id="1804036757">
              <w:marLeft w:val="0"/>
              <w:marRight w:val="0"/>
              <w:marTop w:val="0"/>
              <w:marBottom w:val="0"/>
              <w:divBdr>
                <w:top w:val="none" w:sz="0" w:space="0" w:color="auto"/>
                <w:left w:val="none" w:sz="0" w:space="0" w:color="auto"/>
                <w:bottom w:val="none" w:sz="0" w:space="0" w:color="auto"/>
                <w:right w:val="none" w:sz="0" w:space="0" w:color="auto"/>
              </w:divBdr>
            </w:div>
          </w:divsChild>
        </w:div>
        <w:div w:id="1244804562">
          <w:marLeft w:val="0"/>
          <w:marRight w:val="0"/>
          <w:marTop w:val="0"/>
          <w:marBottom w:val="0"/>
          <w:divBdr>
            <w:top w:val="none" w:sz="0" w:space="0" w:color="auto"/>
            <w:left w:val="none" w:sz="0" w:space="0" w:color="auto"/>
            <w:bottom w:val="none" w:sz="0" w:space="0" w:color="auto"/>
            <w:right w:val="none" w:sz="0" w:space="0" w:color="auto"/>
          </w:divBdr>
          <w:divsChild>
            <w:div w:id="2142069152">
              <w:marLeft w:val="0"/>
              <w:marRight w:val="0"/>
              <w:marTop w:val="0"/>
              <w:marBottom w:val="0"/>
              <w:divBdr>
                <w:top w:val="none" w:sz="0" w:space="0" w:color="auto"/>
                <w:left w:val="none" w:sz="0" w:space="0" w:color="auto"/>
                <w:bottom w:val="none" w:sz="0" w:space="0" w:color="auto"/>
                <w:right w:val="none" w:sz="0" w:space="0" w:color="auto"/>
              </w:divBdr>
            </w:div>
          </w:divsChild>
        </w:div>
        <w:div w:id="434904283">
          <w:marLeft w:val="0"/>
          <w:marRight w:val="0"/>
          <w:marTop w:val="0"/>
          <w:marBottom w:val="0"/>
          <w:divBdr>
            <w:top w:val="none" w:sz="0" w:space="0" w:color="auto"/>
            <w:left w:val="none" w:sz="0" w:space="0" w:color="auto"/>
            <w:bottom w:val="none" w:sz="0" w:space="0" w:color="auto"/>
            <w:right w:val="none" w:sz="0" w:space="0" w:color="auto"/>
          </w:divBdr>
          <w:divsChild>
            <w:div w:id="1301615658">
              <w:marLeft w:val="0"/>
              <w:marRight w:val="0"/>
              <w:marTop w:val="0"/>
              <w:marBottom w:val="0"/>
              <w:divBdr>
                <w:top w:val="none" w:sz="0" w:space="0" w:color="auto"/>
                <w:left w:val="none" w:sz="0" w:space="0" w:color="auto"/>
                <w:bottom w:val="none" w:sz="0" w:space="0" w:color="auto"/>
                <w:right w:val="none" w:sz="0" w:space="0" w:color="auto"/>
              </w:divBdr>
            </w:div>
          </w:divsChild>
        </w:div>
        <w:div w:id="241334100">
          <w:marLeft w:val="0"/>
          <w:marRight w:val="0"/>
          <w:marTop w:val="0"/>
          <w:marBottom w:val="0"/>
          <w:divBdr>
            <w:top w:val="none" w:sz="0" w:space="0" w:color="auto"/>
            <w:left w:val="none" w:sz="0" w:space="0" w:color="auto"/>
            <w:bottom w:val="none" w:sz="0" w:space="0" w:color="auto"/>
            <w:right w:val="none" w:sz="0" w:space="0" w:color="auto"/>
          </w:divBdr>
          <w:divsChild>
            <w:div w:id="362511943">
              <w:marLeft w:val="0"/>
              <w:marRight w:val="0"/>
              <w:marTop w:val="0"/>
              <w:marBottom w:val="0"/>
              <w:divBdr>
                <w:top w:val="none" w:sz="0" w:space="0" w:color="auto"/>
                <w:left w:val="none" w:sz="0" w:space="0" w:color="auto"/>
                <w:bottom w:val="none" w:sz="0" w:space="0" w:color="auto"/>
                <w:right w:val="none" w:sz="0" w:space="0" w:color="auto"/>
              </w:divBdr>
            </w:div>
          </w:divsChild>
        </w:div>
        <w:div w:id="1112937697">
          <w:marLeft w:val="0"/>
          <w:marRight w:val="0"/>
          <w:marTop w:val="0"/>
          <w:marBottom w:val="0"/>
          <w:divBdr>
            <w:top w:val="none" w:sz="0" w:space="0" w:color="auto"/>
            <w:left w:val="none" w:sz="0" w:space="0" w:color="auto"/>
            <w:bottom w:val="none" w:sz="0" w:space="0" w:color="auto"/>
            <w:right w:val="none" w:sz="0" w:space="0" w:color="auto"/>
          </w:divBdr>
          <w:divsChild>
            <w:div w:id="579410447">
              <w:marLeft w:val="0"/>
              <w:marRight w:val="0"/>
              <w:marTop w:val="0"/>
              <w:marBottom w:val="0"/>
              <w:divBdr>
                <w:top w:val="none" w:sz="0" w:space="0" w:color="auto"/>
                <w:left w:val="none" w:sz="0" w:space="0" w:color="auto"/>
                <w:bottom w:val="none" w:sz="0" w:space="0" w:color="auto"/>
                <w:right w:val="none" w:sz="0" w:space="0" w:color="auto"/>
              </w:divBdr>
            </w:div>
          </w:divsChild>
        </w:div>
        <w:div w:id="414011904">
          <w:marLeft w:val="0"/>
          <w:marRight w:val="0"/>
          <w:marTop w:val="0"/>
          <w:marBottom w:val="0"/>
          <w:divBdr>
            <w:top w:val="none" w:sz="0" w:space="0" w:color="auto"/>
            <w:left w:val="none" w:sz="0" w:space="0" w:color="auto"/>
            <w:bottom w:val="none" w:sz="0" w:space="0" w:color="auto"/>
            <w:right w:val="none" w:sz="0" w:space="0" w:color="auto"/>
          </w:divBdr>
          <w:divsChild>
            <w:div w:id="1276399208">
              <w:marLeft w:val="0"/>
              <w:marRight w:val="0"/>
              <w:marTop w:val="0"/>
              <w:marBottom w:val="0"/>
              <w:divBdr>
                <w:top w:val="none" w:sz="0" w:space="0" w:color="auto"/>
                <w:left w:val="none" w:sz="0" w:space="0" w:color="auto"/>
                <w:bottom w:val="none" w:sz="0" w:space="0" w:color="auto"/>
                <w:right w:val="none" w:sz="0" w:space="0" w:color="auto"/>
              </w:divBdr>
            </w:div>
          </w:divsChild>
        </w:div>
        <w:div w:id="1402824285">
          <w:marLeft w:val="0"/>
          <w:marRight w:val="0"/>
          <w:marTop w:val="0"/>
          <w:marBottom w:val="0"/>
          <w:divBdr>
            <w:top w:val="none" w:sz="0" w:space="0" w:color="auto"/>
            <w:left w:val="none" w:sz="0" w:space="0" w:color="auto"/>
            <w:bottom w:val="none" w:sz="0" w:space="0" w:color="auto"/>
            <w:right w:val="none" w:sz="0" w:space="0" w:color="auto"/>
          </w:divBdr>
          <w:divsChild>
            <w:div w:id="636953394">
              <w:marLeft w:val="0"/>
              <w:marRight w:val="0"/>
              <w:marTop w:val="0"/>
              <w:marBottom w:val="0"/>
              <w:divBdr>
                <w:top w:val="none" w:sz="0" w:space="0" w:color="auto"/>
                <w:left w:val="none" w:sz="0" w:space="0" w:color="auto"/>
                <w:bottom w:val="none" w:sz="0" w:space="0" w:color="auto"/>
                <w:right w:val="none" w:sz="0" w:space="0" w:color="auto"/>
              </w:divBdr>
            </w:div>
          </w:divsChild>
        </w:div>
        <w:div w:id="166023080">
          <w:marLeft w:val="0"/>
          <w:marRight w:val="0"/>
          <w:marTop w:val="0"/>
          <w:marBottom w:val="0"/>
          <w:divBdr>
            <w:top w:val="none" w:sz="0" w:space="0" w:color="auto"/>
            <w:left w:val="none" w:sz="0" w:space="0" w:color="auto"/>
            <w:bottom w:val="none" w:sz="0" w:space="0" w:color="auto"/>
            <w:right w:val="none" w:sz="0" w:space="0" w:color="auto"/>
          </w:divBdr>
          <w:divsChild>
            <w:div w:id="1949653339">
              <w:marLeft w:val="0"/>
              <w:marRight w:val="0"/>
              <w:marTop w:val="0"/>
              <w:marBottom w:val="0"/>
              <w:divBdr>
                <w:top w:val="none" w:sz="0" w:space="0" w:color="auto"/>
                <w:left w:val="none" w:sz="0" w:space="0" w:color="auto"/>
                <w:bottom w:val="none" w:sz="0" w:space="0" w:color="auto"/>
                <w:right w:val="none" w:sz="0" w:space="0" w:color="auto"/>
              </w:divBdr>
            </w:div>
          </w:divsChild>
        </w:div>
        <w:div w:id="147093563">
          <w:marLeft w:val="0"/>
          <w:marRight w:val="0"/>
          <w:marTop w:val="0"/>
          <w:marBottom w:val="0"/>
          <w:divBdr>
            <w:top w:val="none" w:sz="0" w:space="0" w:color="auto"/>
            <w:left w:val="none" w:sz="0" w:space="0" w:color="auto"/>
            <w:bottom w:val="none" w:sz="0" w:space="0" w:color="auto"/>
            <w:right w:val="none" w:sz="0" w:space="0" w:color="auto"/>
          </w:divBdr>
          <w:divsChild>
            <w:div w:id="898905118">
              <w:marLeft w:val="0"/>
              <w:marRight w:val="0"/>
              <w:marTop w:val="0"/>
              <w:marBottom w:val="0"/>
              <w:divBdr>
                <w:top w:val="none" w:sz="0" w:space="0" w:color="auto"/>
                <w:left w:val="none" w:sz="0" w:space="0" w:color="auto"/>
                <w:bottom w:val="none" w:sz="0" w:space="0" w:color="auto"/>
                <w:right w:val="none" w:sz="0" w:space="0" w:color="auto"/>
              </w:divBdr>
            </w:div>
          </w:divsChild>
        </w:div>
        <w:div w:id="1768577244">
          <w:marLeft w:val="0"/>
          <w:marRight w:val="0"/>
          <w:marTop w:val="0"/>
          <w:marBottom w:val="0"/>
          <w:divBdr>
            <w:top w:val="none" w:sz="0" w:space="0" w:color="auto"/>
            <w:left w:val="none" w:sz="0" w:space="0" w:color="auto"/>
            <w:bottom w:val="none" w:sz="0" w:space="0" w:color="auto"/>
            <w:right w:val="none" w:sz="0" w:space="0" w:color="auto"/>
          </w:divBdr>
          <w:divsChild>
            <w:div w:id="538981072">
              <w:marLeft w:val="0"/>
              <w:marRight w:val="0"/>
              <w:marTop w:val="0"/>
              <w:marBottom w:val="0"/>
              <w:divBdr>
                <w:top w:val="none" w:sz="0" w:space="0" w:color="auto"/>
                <w:left w:val="none" w:sz="0" w:space="0" w:color="auto"/>
                <w:bottom w:val="none" w:sz="0" w:space="0" w:color="auto"/>
                <w:right w:val="none" w:sz="0" w:space="0" w:color="auto"/>
              </w:divBdr>
            </w:div>
          </w:divsChild>
        </w:div>
        <w:div w:id="410930456">
          <w:marLeft w:val="0"/>
          <w:marRight w:val="0"/>
          <w:marTop w:val="0"/>
          <w:marBottom w:val="0"/>
          <w:divBdr>
            <w:top w:val="none" w:sz="0" w:space="0" w:color="auto"/>
            <w:left w:val="none" w:sz="0" w:space="0" w:color="auto"/>
            <w:bottom w:val="none" w:sz="0" w:space="0" w:color="auto"/>
            <w:right w:val="none" w:sz="0" w:space="0" w:color="auto"/>
          </w:divBdr>
          <w:divsChild>
            <w:div w:id="1529755115">
              <w:marLeft w:val="0"/>
              <w:marRight w:val="0"/>
              <w:marTop w:val="0"/>
              <w:marBottom w:val="0"/>
              <w:divBdr>
                <w:top w:val="none" w:sz="0" w:space="0" w:color="auto"/>
                <w:left w:val="none" w:sz="0" w:space="0" w:color="auto"/>
                <w:bottom w:val="none" w:sz="0" w:space="0" w:color="auto"/>
                <w:right w:val="none" w:sz="0" w:space="0" w:color="auto"/>
              </w:divBdr>
            </w:div>
          </w:divsChild>
        </w:div>
        <w:div w:id="1572736576">
          <w:marLeft w:val="0"/>
          <w:marRight w:val="0"/>
          <w:marTop w:val="0"/>
          <w:marBottom w:val="0"/>
          <w:divBdr>
            <w:top w:val="none" w:sz="0" w:space="0" w:color="auto"/>
            <w:left w:val="none" w:sz="0" w:space="0" w:color="auto"/>
            <w:bottom w:val="none" w:sz="0" w:space="0" w:color="auto"/>
            <w:right w:val="none" w:sz="0" w:space="0" w:color="auto"/>
          </w:divBdr>
          <w:divsChild>
            <w:div w:id="17789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20895345">
      <w:bodyDiv w:val="1"/>
      <w:marLeft w:val="0"/>
      <w:marRight w:val="0"/>
      <w:marTop w:val="0"/>
      <w:marBottom w:val="0"/>
      <w:divBdr>
        <w:top w:val="none" w:sz="0" w:space="0" w:color="auto"/>
        <w:left w:val="none" w:sz="0" w:space="0" w:color="auto"/>
        <w:bottom w:val="none" w:sz="0" w:space="0" w:color="auto"/>
        <w:right w:val="none" w:sz="0" w:space="0" w:color="auto"/>
      </w:divBdr>
      <w:divsChild>
        <w:div w:id="601692181">
          <w:marLeft w:val="0"/>
          <w:marRight w:val="0"/>
          <w:marTop w:val="0"/>
          <w:marBottom w:val="0"/>
          <w:divBdr>
            <w:top w:val="none" w:sz="0" w:space="0" w:color="auto"/>
            <w:left w:val="none" w:sz="0" w:space="0" w:color="auto"/>
            <w:bottom w:val="none" w:sz="0" w:space="0" w:color="auto"/>
            <w:right w:val="none" w:sz="0" w:space="0" w:color="auto"/>
          </w:divBdr>
          <w:divsChild>
            <w:div w:id="502865216">
              <w:marLeft w:val="0"/>
              <w:marRight w:val="0"/>
              <w:marTop w:val="0"/>
              <w:marBottom w:val="0"/>
              <w:divBdr>
                <w:top w:val="none" w:sz="0" w:space="0" w:color="auto"/>
                <w:left w:val="none" w:sz="0" w:space="0" w:color="auto"/>
                <w:bottom w:val="none" w:sz="0" w:space="0" w:color="auto"/>
                <w:right w:val="none" w:sz="0" w:space="0" w:color="auto"/>
              </w:divBdr>
            </w:div>
          </w:divsChild>
        </w:div>
        <w:div w:id="1922595377">
          <w:marLeft w:val="0"/>
          <w:marRight w:val="0"/>
          <w:marTop w:val="0"/>
          <w:marBottom w:val="0"/>
          <w:divBdr>
            <w:top w:val="none" w:sz="0" w:space="0" w:color="auto"/>
            <w:left w:val="none" w:sz="0" w:space="0" w:color="auto"/>
            <w:bottom w:val="none" w:sz="0" w:space="0" w:color="auto"/>
            <w:right w:val="none" w:sz="0" w:space="0" w:color="auto"/>
          </w:divBdr>
          <w:divsChild>
            <w:div w:id="1756397112">
              <w:marLeft w:val="0"/>
              <w:marRight w:val="0"/>
              <w:marTop w:val="0"/>
              <w:marBottom w:val="0"/>
              <w:divBdr>
                <w:top w:val="none" w:sz="0" w:space="0" w:color="auto"/>
                <w:left w:val="none" w:sz="0" w:space="0" w:color="auto"/>
                <w:bottom w:val="none" w:sz="0" w:space="0" w:color="auto"/>
                <w:right w:val="none" w:sz="0" w:space="0" w:color="auto"/>
              </w:divBdr>
              <w:divsChild>
                <w:div w:id="886374830">
                  <w:marLeft w:val="0"/>
                  <w:marRight w:val="0"/>
                  <w:marTop w:val="0"/>
                  <w:marBottom w:val="0"/>
                  <w:divBdr>
                    <w:top w:val="none" w:sz="0" w:space="0" w:color="auto"/>
                    <w:left w:val="none" w:sz="0" w:space="0" w:color="auto"/>
                    <w:bottom w:val="none" w:sz="0" w:space="0" w:color="auto"/>
                    <w:right w:val="none" w:sz="0" w:space="0" w:color="auto"/>
                  </w:divBdr>
                  <w:divsChild>
                    <w:div w:id="50917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77454">
              <w:marLeft w:val="0"/>
              <w:marRight w:val="0"/>
              <w:marTop w:val="0"/>
              <w:marBottom w:val="0"/>
              <w:divBdr>
                <w:top w:val="none" w:sz="0" w:space="0" w:color="auto"/>
                <w:left w:val="none" w:sz="0" w:space="0" w:color="auto"/>
                <w:bottom w:val="none" w:sz="0" w:space="0" w:color="auto"/>
                <w:right w:val="none" w:sz="0" w:space="0" w:color="auto"/>
              </w:divBdr>
              <w:divsChild>
                <w:div w:id="1140684892">
                  <w:marLeft w:val="0"/>
                  <w:marRight w:val="0"/>
                  <w:marTop w:val="0"/>
                  <w:marBottom w:val="0"/>
                  <w:divBdr>
                    <w:top w:val="none" w:sz="0" w:space="0" w:color="auto"/>
                    <w:left w:val="none" w:sz="0" w:space="0" w:color="auto"/>
                    <w:bottom w:val="none" w:sz="0" w:space="0" w:color="auto"/>
                    <w:right w:val="none" w:sz="0" w:space="0" w:color="auto"/>
                  </w:divBdr>
                  <w:divsChild>
                    <w:div w:id="1200900383">
                      <w:marLeft w:val="0"/>
                      <w:marRight w:val="0"/>
                      <w:marTop w:val="0"/>
                      <w:marBottom w:val="0"/>
                      <w:divBdr>
                        <w:top w:val="none" w:sz="0" w:space="0" w:color="auto"/>
                        <w:left w:val="none" w:sz="0" w:space="0" w:color="auto"/>
                        <w:bottom w:val="none" w:sz="0" w:space="0" w:color="auto"/>
                        <w:right w:val="none" w:sz="0" w:space="0" w:color="auto"/>
                      </w:divBdr>
                      <w:divsChild>
                        <w:div w:id="1686858945">
                          <w:marLeft w:val="0"/>
                          <w:marRight w:val="0"/>
                          <w:marTop w:val="0"/>
                          <w:marBottom w:val="0"/>
                          <w:divBdr>
                            <w:top w:val="single" w:sz="12" w:space="0" w:color="B5B5B5"/>
                            <w:left w:val="none" w:sz="0" w:space="0" w:color="auto"/>
                            <w:bottom w:val="none" w:sz="0" w:space="0" w:color="auto"/>
                            <w:right w:val="none" w:sz="0" w:space="0" w:color="auto"/>
                          </w:divBdr>
                          <w:divsChild>
                            <w:div w:id="123892867">
                              <w:marLeft w:val="0"/>
                              <w:marRight w:val="0"/>
                              <w:marTop w:val="0"/>
                              <w:marBottom w:val="0"/>
                              <w:divBdr>
                                <w:top w:val="none" w:sz="0" w:space="0" w:color="auto"/>
                                <w:left w:val="none" w:sz="0" w:space="0" w:color="auto"/>
                                <w:bottom w:val="none" w:sz="0" w:space="0" w:color="auto"/>
                                <w:right w:val="none" w:sz="0" w:space="0" w:color="auto"/>
                              </w:divBdr>
                              <w:divsChild>
                                <w:div w:id="2084525771">
                                  <w:marLeft w:val="0"/>
                                  <w:marRight w:val="0"/>
                                  <w:marTop w:val="0"/>
                                  <w:marBottom w:val="0"/>
                                  <w:divBdr>
                                    <w:top w:val="none" w:sz="0" w:space="0" w:color="auto"/>
                                    <w:left w:val="none" w:sz="0" w:space="0" w:color="auto"/>
                                    <w:bottom w:val="none" w:sz="0" w:space="0" w:color="auto"/>
                                    <w:right w:val="none" w:sz="0" w:space="0" w:color="auto"/>
                                  </w:divBdr>
                                </w:div>
                                <w:div w:id="1171793254">
                                  <w:marLeft w:val="0"/>
                                  <w:marRight w:val="0"/>
                                  <w:marTop w:val="0"/>
                                  <w:marBottom w:val="0"/>
                                  <w:divBdr>
                                    <w:top w:val="none" w:sz="0" w:space="0" w:color="auto"/>
                                    <w:left w:val="none" w:sz="0" w:space="0" w:color="auto"/>
                                    <w:bottom w:val="none" w:sz="0" w:space="0" w:color="auto"/>
                                    <w:right w:val="none" w:sz="0" w:space="0" w:color="auto"/>
                                  </w:divBdr>
                                </w:div>
                                <w:div w:id="13228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029297">
              <w:marLeft w:val="0"/>
              <w:marRight w:val="0"/>
              <w:marTop w:val="0"/>
              <w:marBottom w:val="0"/>
              <w:divBdr>
                <w:top w:val="none" w:sz="0" w:space="0" w:color="auto"/>
                <w:left w:val="none" w:sz="0" w:space="0" w:color="auto"/>
                <w:bottom w:val="none" w:sz="0" w:space="0" w:color="auto"/>
                <w:right w:val="none" w:sz="0" w:space="0" w:color="auto"/>
              </w:divBdr>
            </w:div>
            <w:div w:id="1164080531">
              <w:marLeft w:val="0"/>
              <w:marRight w:val="0"/>
              <w:marTop w:val="0"/>
              <w:marBottom w:val="0"/>
              <w:divBdr>
                <w:top w:val="none" w:sz="0" w:space="0" w:color="auto"/>
                <w:left w:val="none" w:sz="0" w:space="0" w:color="auto"/>
                <w:bottom w:val="none" w:sz="0" w:space="0" w:color="auto"/>
                <w:right w:val="none" w:sz="0" w:space="0" w:color="auto"/>
              </w:divBdr>
            </w:div>
            <w:div w:id="813639303">
              <w:marLeft w:val="0"/>
              <w:marRight w:val="0"/>
              <w:marTop w:val="0"/>
              <w:marBottom w:val="0"/>
              <w:divBdr>
                <w:top w:val="none" w:sz="0" w:space="0" w:color="auto"/>
                <w:left w:val="none" w:sz="0" w:space="0" w:color="auto"/>
                <w:bottom w:val="none" w:sz="0" w:space="0" w:color="auto"/>
                <w:right w:val="none" w:sz="0" w:space="0" w:color="auto"/>
              </w:divBdr>
              <w:divsChild>
                <w:div w:id="2119911053">
                  <w:marLeft w:val="0"/>
                  <w:marRight w:val="0"/>
                  <w:marTop w:val="0"/>
                  <w:marBottom w:val="0"/>
                  <w:divBdr>
                    <w:top w:val="none" w:sz="0" w:space="0" w:color="auto"/>
                    <w:left w:val="none" w:sz="0" w:space="0" w:color="auto"/>
                    <w:bottom w:val="none" w:sz="0" w:space="0" w:color="auto"/>
                    <w:right w:val="none" w:sz="0" w:space="0" w:color="auto"/>
                  </w:divBdr>
                  <w:divsChild>
                    <w:div w:id="1832526507">
                      <w:marLeft w:val="0"/>
                      <w:marRight w:val="0"/>
                      <w:marTop w:val="0"/>
                      <w:marBottom w:val="0"/>
                      <w:divBdr>
                        <w:top w:val="none" w:sz="0" w:space="0" w:color="auto"/>
                        <w:left w:val="none" w:sz="0" w:space="0" w:color="auto"/>
                        <w:bottom w:val="none" w:sz="0" w:space="0" w:color="auto"/>
                        <w:right w:val="none" w:sz="0" w:space="0" w:color="auto"/>
                      </w:divBdr>
                      <w:divsChild>
                        <w:div w:id="995449865">
                          <w:marLeft w:val="0"/>
                          <w:marRight w:val="0"/>
                          <w:marTop w:val="0"/>
                          <w:marBottom w:val="0"/>
                          <w:divBdr>
                            <w:top w:val="single" w:sz="12" w:space="0" w:color="B5B5B5"/>
                            <w:left w:val="none" w:sz="0" w:space="0" w:color="auto"/>
                            <w:bottom w:val="none" w:sz="0" w:space="0" w:color="auto"/>
                            <w:right w:val="none" w:sz="0" w:space="0" w:color="auto"/>
                          </w:divBdr>
                          <w:divsChild>
                            <w:div w:id="792331482">
                              <w:marLeft w:val="0"/>
                              <w:marRight w:val="0"/>
                              <w:marTop w:val="0"/>
                              <w:marBottom w:val="0"/>
                              <w:divBdr>
                                <w:top w:val="none" w:sz="0" w:space="0" w:color="auto"/>
                                <w:left w:val="none" w:sz="0" w:space="0" w:color="auto"/>
                                <w:bottom w:val="none" w:sz="0" w:space="0" w:color="auto"/>
                                <w:right w:val="none" w:sz="0" w:space="0" w:color="auto"/>
                              </w:divBdr>
                              <w:divsChild>
                                <w:div w:id="2125268565">
                                  <w:marLeft w:val="0"/>
                                  <w:marRight w:val="0"/>
                                  <w:marTop w:val="0"/>
                                  <w:marBottom w:val="0"/>
                                  <w:divBdr>
                                    <w:top w:val="none" w:sz="0" w:space="0" w:color="auto"/>
                                    <w:left w:val="none" w:sz="0" w:space="0" w:color="auto"/>
                                    <w:bottom w:val="none" w:sz="0" w:space="0" w:color="auto"/>
                                    <w:right w:val="none" w:sz="0" w:space="0" w:color="auto"/>
                                  </w:divBdr>
                                </w:div>
                                <w:div w:id="170178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7278750">
              <w:marLeft w:val="0"/>
              <w:marRight w:val="0"/>
              <w:marTop w:val="0"/>
              <w:marBottom w:val="0"/>
              <w:divBdr>
                <w:top w:val="none" w:sz="0" w:space="0" w:color="auto"/>
                <w:left w:val="none" w:sz="0" w:space="0" w:color="auto"/>
                <w:bottom w:val="none" w:sz="0" w:space="0" w:color="auto"/>
                <w:right w:val="none" w:sz="0" w:space="0" w:color="auto"/>
              </w:divBdr>
              <w:divsChild>
                <w:div w:id="184488398">
                  <w:marLeft w:val="0"/>
                  <w:marRight w:val="0"/>
                  <w:marTop w:val="0"/>
                  <w:marBottom w:val="0"/>
                  <w:divBdr>
                    <w:top w:val="none" w:sz="0" w:space="0" w:color="auto"/>
                    <w:left w:val="none" w:sz="0" w:space="0" w:color="auto"/>
                    <w:bottom w:val="none" w:sz="0" w:space="0" w:color="auto"/>
                    <w:right w:val="none" w:sz="0" w:space="0" w:color="auto"/>
                  </w:divBdr>
                  <w:divsChild>
                    <w:div w:id="2105762947">
                      <w:marLeft w:val="0"/>
                      <w:marRight w:val="0"/>
                      <w:marTop w:val="0"/>
                      <w:marBottom w:val="0"/>
                      <w:divBdr>
                        <w:top w:val="none" w:sz="0" w:space="0" w:color="auto"/>
                        <w:left w:val="none" w:sz="0" w:space="0" w:color="auto"/>
                        <w:bottom w:val="none" w:sz="0" w:space="0" w:color="auto"/>
                        <w:right w:val="none" w:sz="0" w:space="0" w:color="auto"/>
                      </w:divBdr>
                      <w:divsChild>
                        <w:div w:id="18549934">
                          <w:marLeft w:val="0"/>
                          <w:marRight w:val="0"/>
                          <w:marTop w:val="0"/>
                          <w:marBottom w:val="0"/>
                          <w:divBdr>
                            <w:top w:val="single" w:sz="12" w:space="0" w:color="B5B5B5"/>
                            <w:left w:val="none" w:sz="0" w:space="0" w:color="auto"/>
                            <w:bottom w:val="none" w:sz="0" w:space="0" w:color="auto"/>
                            <w:right w:val="none" w:sz="0" w:space="0" w:color="auto"/>
                          </w:divBdr>
                          <w:divsChild>
                            <w:div w:id="971330709">
                              <w:marLeft w:val="0"/>
                              <w:marRight w:val="0"/>
                              <w:marTop w:val="0"/>
                              <w:marBottom w:val="0"/>
                              <w:divBdr>
                                <w:top w:val="none" w:sz="0" w:space="0" w:color="auto"/>
                                <w:left w:val="none" w:sz="0" w:space="0" w:color="auto"/>
                                <w:bottom w:val="none" w:sz="0" w:space="0" w:color="auto"/>
                                <w:right w:val="none" w:sz="0" w:space="0" w:color="auto"/>
                              </w:divBdr>
                              <w:divsChild>
                                <w:div w:id="418217204">
                                  <w:marLeft w:val="0"/>
                                  <w:marRight w:val="0"/>
                                  <w:marTop w:val="0"/>
                                  <w:marBottom w:val="0"/>
                                  <w:divBdr>
                                    <w:top w:val="none" w:sz="0" w:space="0" w:color="auto"/>
                                    <w:left w:val="none" w:sz="0" w:space="0" w:color="auto"/>
                                    <w:bottom w:val="none" w:sz="0" w:space="0" w:color="auto"/>
                                    <w:right w:val="none" w:sz="0" w:space="0" w:color="auto"/>
                                  </w:divBdr>
                                </w:div>
                                <w:div w:id="14741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39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SHK.0000000000001882"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5977</Words>
  <Characters>34073</Characters>
  <Application>Microsoft Office Word</Application>
  <DocSecurity>8</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2023-02-20T17:21:00Z</dcterms:created>
  <dcterms:modified xsi:type="dcterms:W3CDTF">2023-03-14T16:47:00Z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