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74AD11C9" w:rsidR="000A7622" w:rsidRPr="00C04F25" w:rsidRDefault="003C5E97" w:rsidP="00D14423">
      <w:pPr>
        <w:autoSpaceDE w:val="0"/>
        <w:autoSpaceDN w:val="0"/>
        <w:adjustRightInd w:val="0"/>
        <w:rPr>
          <w:rFonts w:cstheme="minorHAnsi"/>
          <w:b/>
          <w:bCs/>
          <w:i/>
          <w:iCs/>
          <w:sz w:val="32"/>
          <w:szCs w:val="32"/>
        </w:rPr>
      </w:pPr>
      <w:r>
        <w:rPr>
          <w:rFonts w:cstheme="minorHAnsi"/>
          <w:b/>
          <w:bCs/>
          <w:i/>
          <w:iCs/>
          <w:sz w:val="32"/>
          <w:szCs w:val="32"/>
        </w:rPr>
        <w:t xml:space="preserve">Biomedical Engineering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Engineering</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5F0CE1F4" w:rsidR="000A7622" w:rsidRDefault="000A7622" w:rsidP="00D14423">
      <w:pPr>
        <w:rPr>
          <w:rFonts w:cstheme="minorHAnsi"/>
          <w:sz w:val="24"/>
          <w:szCs w:val="24"/>
        </w:rPr>
      </w:pPr>
      <w:r w:rsidRPr="00C04F25">
        <w:rPr>
          <w:rFonts w:cstheme="minorHAnsi"/>
          <w:i/>
          <w:sz w:val="24"/>
          <w:szCs w:val="24"/>
          <w:lang w:val="fr-FR"/>
        </w:rPr>
        <w:t>Journal</w:t>
      </w:r>
      <w:r w:rsidR="00153CB4">
        <w:rPr>
          <w:rFonts w:cstheme="minorHAnsi"/>
          <w:i/>
          <w:sz w:val="24"/>
          <w:szCs w:val="24"/>
          <w:lang w:val="fr-FR"/>
        </w:rPr>
        <w:t xml:space="preserve"> of Computer </w:t>
      </w:r>
      <w:proofErr w:type="spellStart"/>
      <w:r w:rsidR="00153CB4">
        <w:rPr>
          <w:rFonts w:cstheme="minorHAnsi"/>
          <w:i/>
          <w:sz w:val="24"/>
          <w:szCs w:val="24"/>
          <w:lang w:val="fr-FR"/>
        </w:rPr>
        <w:t>Assisted</w:t>
      </w:r>
      <w:proofErr w:type="spellEnd"/>
      <w:r w:rsidR="00153CB4">
        <w:rPr>
          <w:rFonts w:cstheme="minorHAnsi"/>
          <w:i/>
          <w:sz w:val="24"/>
          <w:szCs w:val="24"/>
          <w:lang w:val="fr-FR"/>
        </w:rPr>
        <w:t xml:space="preserve"> </w:t>
      </w:r>
      <w:proofErr w:type="spellStart"/>
      <w:r w:rsidR="00153CB4">
        <w:rPr>
          <w:rFonts w:cstheme="minorHAnsi"/>
          <w:i/>
          <w:sz w:val="24"/>
          <w:szCs w:val="24"/>
          <w:lang w:val="fr-FR"/>
        </w:rPr>
        <w:t>Tomography</w:t>
      </w:r>
      <w:proofErr w:type="spellEnd"/>
      <w:r w:rsidRPr="00C04F25">
        <w:rPr>
          <w:rFonts w:cstheme="minorHAnsi"/>
          <w:sz w:val="24"/>
          <w:szCs w:val="24"/>
          <w:lang w:val="fr-FR"/>
        </w:rPr>
        <w:t xml:space="preserve">, Vol. </w:t>
      </w:r>
      <w:r w:rsidR="00153CB4">
        <w:rPr>
          <w:rFonts w:cstheme="minorHAnsi"/>
          <w:sz w:val="24"/>
          <w:szCs w:val="24"/>
          <w:lang w:val="fr-FR"/>
        </w:rPr>
        <w:t>46</w:t>
      </w:r>
      <w:r w:rsidRPr="00C04F25">
        <w:rPr>
          <w:rFonts w:cstheme="minorHAnsi"/>
          <w:sz w:val="24"/>
          <w:szCs w:val="24"/>
          <w:lang w:val="fr-FR"/>
        </w:rPr>
        <w:t xml:space="preserve">, No. </w:t>
      </w:r>
      <w:r w:rsidR="00153CB4">
        <w:rPr>
          <w:rFonts w:cstheme="minorHAnsi"/>
          <w:sz w:val="24"/>
          <w:szCs w:val="24"/>
          <w:lang w:val="fr-FR"/>
        </w:rPr>
        <w:t>4</w:t>
      </w:r>
      <w:r w:rsidRPr="00C04F25">
        <w:rPr>
          <w:rFonts w:cstheme="minorHAnsi"/>
          <w:sz w:val="24"/>
          <w:szCs w:val="24"/>
          <w:lang w:val="fr-FR"/>
        </w:rPr>
        <w:t xml:space="preserve"> (</w:t>
      </w:r>
      <w:r w:rsidR="00153CB4">
        <w:rPr>
          <w:rFonts w:cstheme="minorHAnsi"/>
          <w:sz w:val="24"/>
          <w:szCs w:val="24"/>
          <w:lang w:val="fr-FR"/>
        </w:rPr>
        <w:t>July/August 2022</w:t>
      </w:r>
      <w:proofErr w:type="gramStart"/>
      <w:r w:rsidRPr="00C04F25">
        <w:rPr>
          <w:rFonts w:cstheme="minorHAnsi"/>
          <w:sz w:val="24"/>
          <w:szCs w:val="24"/>
          <w:lang w:val="fr-FR"/>
        </w:rPr>
        <w:t>):</w:t>
      </w:r>
      <w:proofErr w:type="gramEnd"/>
      <w:r w:rsidRPr="00C04F25">
        <w:rPr>
          <w:rFonts w:cstheme="minorHAnsi"/>
          <w:sz w:val="24"/>
          <w:szCs w:val="24"/>
          <w:lang w:val="fr-FR"/>
        </w:rPr>
        <w:t xml:space="preserve"> </w:t>
      </w:r>
      <w:r w:rsidR="00153CB4">
        <w:rPr>
          <w:rFonts w:cstheme="minorHAnsi"/>
          <w:sz w:val="24"/>
          <w:szCs w:val="24"/>
          <w:lang w:val="fr-FR"/>
        </w:rPr>
        <w:t>576-583</w:t>
      </w:r>
      <w:r w:rsidRPr="00C04F25">
        <w:rPr>
          <w:rFonts w:cstheme="minorHAnsi"/>
          <w:sz w:val="24"/>
          <w:szCs w:val="24"/>
          <w:lang w:val="fr-FR"/>
        </w:rPr>
        <w:t xml:space="preserve">. </w:t>
      </w:r>
      <w:hyperlink r:id="rId9" w:history="1">
        <w:r w:rsidRPr="00C04F25">
          <w:rPr>
            <w:rFonts w:cstheme="minorHAnsi"/>
            <w:color w:val="0563C1" w:themeColor="hyperlink"/>
            <w:sz w:val="24"/>
            <w:szCs w:val="24"/>
            <w:u w:val="single"/>
            <w:lang w:val="fr-FR"/>
          </w:rPr>
          <w:t>DOI</w:t>
        </w:r>
      </w:hyperlink>
      <w:r w:rsidRPr="00C04F25">
        <w:rPr>
          <w:rFonts w:cstheme="minorHAnsi"/>
          <w:sz w:val="24"/>
          <w:szCs w:val="24"/>
          <w:lang w:val="fr-FR"/>
        </w:rPr>
        <w:t>.</w:t>
      </w:r>
      <w:r w:rsidR="00153CB4">
        <w:rPr>
          <w:rFonts w:cstheme="minorHAnsi"/>
          <w:sz w:val="24"/>
          <w:szCs w:val="24"/>
          <w:lang w:val="fr-FR"/>
        </w:rPr>
        <w:t xml:space="preserve"> </w:t>
      </w:r>
      <w:hyperlink r:id="rId10" w:history="1">
        <w:r w:rsidR="00153CB4" w:rsidRPr="00153CB4">
          <w:rPr>
            <w:rStyle w:val="Hyperlink"/>
            <w:rFonts w:cstheme="minorHAnsi"/>
            <w:sz w:val="24"/>
            <w:szCs w:val="24"/>
            <w:lang w:val="fr-FR"/>
          </w:rPr>
          <w:t>PMID</w:t>
        </w:r>
      </w:hyperlink>
      <w:r w:rsidR="00153CB4">
        <w:rPr>
          <w:rFonts w:cstheme="minorHAnsi"/>
          <w:sz w:val="24"/>
          <w:szCs w:val="24"/>
          <w:lang w:val="fr-FR"/>
        </w:rPr>
        <w:t>.</w:t>
      </w:r>
      <w:r w:rsidRPr="00C04F25">
        <w:rPr>
          <w:rFonts w:cstheme="minorHAnsi"/>
          <w:sz w:val="24"/>
          <w:szCs w:val="24"/>
          <w:lang w:val="fr-FR"/>
        </w:rPr>
        <w:t xml:space="preserve"> </w:t>
      </w:r>
      <w:r w:rsidRPr="00C04F25">
        <w:rPr>
          <w:rFonts w:cstheme="minorHAnsi"/>
          <w:sz w:val="24"/>
          <w:szCs w:val="24"/>
        </w:rPr>
        <w:t xml:space="preserve">This article is © </w:t>
      </w:r>
      <w:r w:rsidR="00153CB4">
        <w:rPr>
          <w:rFonts w:cstheme="minorHAnsi"/>
          <w:sz w:val="24"/>
          <w:szCs w:val="24"/>
        </w:rPr>
        <w:t>Lippincott Williams &amp; Wilkins, Inc.</w:t>
      </w:r>
      <w:r w:rsidRPr="00C04F25">
        <w:rPr>
          <w:rFonts w:cstheme="minorHAnsi"/>
          <w:sz w:val="24"/>
          <w:szCs w:val="24"/>
        </w:rPr>
        <w:t xml:space="preserve"> and permission has been granted for this version to appear in </w:t>
      </w:r>
      <w:hyperlink r:id="rId11" w:history="1">
        <w:r w:rsidRPr="00C04F25">
          <w:rPr>
            <w:rFonts w:cstheme="minorHAnsi"/>
            <w:color w:val="0563C1" w:themeColor="hyperlink"/>
            <w:sz w:val="24"/>
            <w:szCs w:val="24"/>
            <w:u w:val="single"/>
          </w:rPr>
          <w:t>e-Publications@Marquette</w:t>
        </w:r>
      </w:hyperlink>
      <w:r w:rsidRPr="00C04F25">
        <w:rPr>
          <w:rFonts w:cstheme="minorHAnsi"/>
          <w:sz w:val="24"/>
          <w:szCs w:val="24"/>
        </w:rPr>
        <w:t xml:space="preserve">. </w:t>
      </w:r>
      <w:r w:rsidR="00153CB4">
        <w:rPr>
          <w:rFonts w:cstheme="minorHAnsi"/>
          <w:sz w:val="24"/>
          <w:szCs w:val="24"/>
        </w:rPr>
        <w:t>Lippincott Williams &amp; Wilkins, Inc.</w:t>
      </w:r>
      <w:r w:rsidR="00153CB4">
        <w:rPr>
          <w:rFonts w:cstheme="minorHAnsi"/>
          <w:sz w:val="24"/>
          <w:szCs w:val="24"/>
        </w:rPr>
        <w:t xml:space="preserve"> </w:t>
      </w:r>
      <w:r w:rsidRPr="00C04F25">
        <w:rPr>
          <w:rFonts w:cstheme="minorHAnsi"/>
          <w:sz w:val="24"/>
          <w:szCs w:val="24"/>
        </w:rPr>
        <w:t xml:space="preserve">does not grant permission for this article to be further copied/distributed or hosted elsewhere without the express permission from </w:t>
      </w:r>
      <w:r w:rsidR="00153CB4">
        <w:rPr>
          <w:rFonts w:cstheme="minorHAnsi"/>
          <w:sz w:val="24"/>
          <w:szCs w:val="24"/>
        </w:rPr>
        <w:t>Lippincott Williams &amp; Wilkins, Inc.</w:t>
      </w:r>
      <w:r w:rsidRPr="00C04F25">
        <w:rPr>
          <w:rFonts w:cstheme="minorHAnsi"/>
          <w:sz w:val="24"/>
          <w:szCs w:val="24"/>
        </w:rPr>
        <w:t xml:space="preserve"> </w:t>
      </w:r>
      <w:bookmarkEnd w:id="1"/>
    </w:p>
    <w:p w14:paraId="0E815921" w14:textId="0B596512" w:rsidR="00C969A6" w:rsidRDefault="00C90D2D" w:rsidP="00C90D2D">
      <w:pPr>
        <w:pStyle w:val="Title"/>
      </w:pPr>
      <w:r>
        <w:t>Reduced Chest Computed Tomography Scan Length for Patients Positive for Coronavirus Disease 2019: Dose Reduction and Impact on Diagnostic Utility</w:t>
      </w:r>
    </w:p>
    <w:p w14:paraId="715B91EE" w14:textId="77777777" w:rsidR="003C5E97" w:rsidRPr="003C5E97" w:rsidRDefault="003C5E97" w:rsidP="003C5E97"/>
    <w:p w14:paraId="7F7344A0" w14:textId="2B51ADDA" w:rsidR="00C90D2D" w:rsidRPr="00E13B53" w:rsidRDefault="000D5304" w:rsidP="00C90D2D">
      <w:pPr>
        <w:pStyle w:val="NoSpacing"/>
        <w:rPr>
          <w:sz w:val="32"/>
          <w:szCs w:val="32"/>
        </w:rPr>
      </w:pPr>
      <w:r w:rsidRPr="00E13B53">
        <w:rPr>
          <w:sz w:val="32"/>
          <w:szCs w:val="32"/>
        </w:rPr>
        <w:t>Sara Principi</w:t>
      </w:r>
    </w:p>
    <w:p w14:paraId="1F68B956" w14:textId="77777777" w:rsidR="00E1642E" w:rsidRDefault="00E1642E" w:rsidP="00C90D2D">
      <w:pPr>
        <w:pStyle w:val="NoSpacing"/>
      </w:pPr>
      <w:r w:rsidRPr="00E1642E">
        <w:t xml:space="preserve">Biomedical Engineering Department, Medical College of </w:t>
      </w:r>
      <w:proofErr w:type="gramStart"/>
      <w:r w:rsidRPr="00E1642E">
        <w:t>Wisconsin</w:t>
      </w:r>
      <w:proofErr w:type="gramEnd"/>
      <w:r w:rsidRPr="00E1642E">
        <w:t xml:space="preserve"> and Marquette University, 1637 W Wisconsin Ave, Milwaukee, WI 53233, USA</w:t>
      </w:r>
    </w:p>
    <w:p w14:paraId="49702B7C" w14:textId="7A335C4C" w:rsidR="000D5304" w:rsidRPr="00E13B53" w:rsidRDefault="000D5304" w:rsidP="00C90D2D">
      <w:pPr>
        <w:pStyle w:val="NoSpacing"/>
        <w:rPr>
          <w:sz w:val="32"/>
          <w:szCs w:val="32"/>
        </w:rPr>
      </w:pPr>
      <w:r w:rsidRPr="00E13B53">
        <w:rPr>
          <w:sz w:val="32"/>
          <w:szCs w:val="32"/>
        </w:rPr>
        <w:t>Stacy O’Connor</w:t>
      </w:r>
    </w:p>
    <w:p w14:paraId="697708FC" w14:textId="77777777" w:rsidR="00E1642E" w:rsidRDefault="00E1642E" w:rsidP="00C90D2D">
      <w:pPr>
        <w:pStyle w:val="NoSpacing"/>
      </w:pPr>
      <w:r w:rsidRPr="00E1642E">
        <w:t>Radiology Department, Medical College of Wisconsin, 9200 W Wisconsin Avenue, Milwaukee, WI 53226, USA</w:t>
      </w:r>
    </w:p>
    <w:p w14:paraId="335DA598" w14:textId="2FDDC262" w:rsidR="000D5304" w:rsidRPr="00E13B53" w:rsidRDefault="000D5304" w:rsidP="00C90D2D">
      <w:pPr>
        <w:pStyle w:val="NoSpacing"/>
        <w:rPr>
          <w:sz w:val="32"/>
          <w:szCs w:val="32"/>
        </w:rPr>
      </w:pPr>
      <w:r w:rsidRPr="00E13B53">
        <w:rPr>
          <w:sz w:val="32"/>
          <w:szCs w:val="32"/>
        </w:rPr>
        <w:t>Luba Frank</w:t>
      </w:r>
    </w:p>
    <w:p w14:paraId="2855A936" w14:textId="77777777" w:rsidR="009C6406" w:rsidRDefault="009C6406" w:rsidP="00C90D2D">
      <w:pPr>
        <w:pStyle w:val="NoSpacing"/>
      </w:pPr>
      <w:r w:rsidRPr="009C6406">
        <w:t>Radiology Department, Medical College of Wisconsin, 9200 W Wisconsin Avenue, Milwaukee, WI 53226, USA</w:t>
      </w:r>
    </w:p>
    <w:p w14:paraId="02736F5A" w14:textId="11BD5AEB" w:rsidR="000D5304" w:rsidRPr="00E13B53" w:rsidRDefault="000D5304" w:rsidP="00C90D2D">
      <w:pPr>
        <w:pStyle w:val="NoSpacing"/>
        <w:rPr>
          <w:sz w:val="32"/>
          <w:szCs w:val="32"/>
        </w:rPr>
      </w:pPr>
      <w:r w:rsidRPr="00E13B53">
        <w:rPr>
          <w:sz w:val="32"/>
          <w:szCs w:val="32"/>
        </w:rPr>
        <w:t>Taly Gilat Schmidt</w:t>
      </w:r>
    </w:p>
    <w:p w14:paraId="1C7546B3" w14:textId="33F8BC97" w:rsidR="000D5304" w:rsidRDefault="009C6406" w:rsidP="00C90D2D">
      <w:pPr>
        <w:pStyle w:val="NoSpacing"/>
      </w:pPr>
      <w:r w:rsidRPr="009C6406">
        <w:t xml:space="preserve">Biomedical Engineering Department, Medical College of </w:t>
      </w:r>
      <w:proofErr w:type="gramStart"/>
      <w:r w:rsidRPr="009C6406">
        <w:t>Wisconsin</w:t>
      </w:r>
      <w:proofErr w:type="gramEnd"/>
      <w:r w:rsidRPr="009C6406">
        <w:t xml:space="preserve"> and Marquette University, 1637 W Wisconsin Ave, Milwaukee, WI 53233, USA</w:t>
      </w:r>
    </w:p>
    <w:p w14:paraId="07A206C4" w14:textId="77777777" w:rsidR="000D5304" w:rsidRPr="000D5304" w:rsidRDefault="000D5304" w:rsidP="0060477F">
      <w:pPr>
        <w:pStyle w:val="Heading1"/>
        <w:rPr>
          <w:lang w:val="en"/>
        </w:rPr>
      </w:pPr>
      <w:r w:rsidRPr="000D5304">
        <w:rPr>
          <w:lang w:val="en"/>
        </w:rPr>
        <w:lastRenderedPageBreak/>
        <w:t>Abstract</w:t>
      </w:r>
    </w:p>
    <w:p w14:paraId="6DEA32BD" w14:textId="77777777" w:rsidR="000D5304" w:rsidRPr="000D5304" w:rsidRDefault="000D5304" w:rsidP="0060477F">
      <w:pPr>
        <w:pStyle w:val="Heading2"/>
        <w:rPr>
          <w:lang w:val="en"/>
        </w:rPr>
      </w:pPr>
      <w:r w:rsidRPr="000D5304">
        <w:rPr>
          <w:lang w:val="en"/>
        </w:rPr>
        <w:t>Objective</w:t>
      </w:r>
    </w:p>
    <w:p w14:paraId="4CA97CF0" w14:textId="77777777" w:rsidR="000D5304" w:rsidRPr="000D5304" w:rsidRDefault="000D5304" w:rsidP="000D5304">
      <w:pPr>
        <w:rPr>
          <w:lang w:val="en"/>
        </w:rPr>
      </w:pPr>
      <w:r w:rsidRPr="000D5304">
        <w:rPr>
          <w:lang w:val="en"/>
        </w:rPr>
        <w:t>This work aims to retrospectively evaluate the potential of dose reduction on chest CT examinations by reducing the longitudinal scan-length for patients positive for COVID-19.</w:t>
      </w:r>
    </w:p>
    <w:p w14:paraId="1D2ADBD5" w14:textId="77777777" w:rsidR="000D5304" w:rsidRPr="000D5304" w:rsidRDefault="000D5304" w:rsidP="0060477F">
      <w:pPr>
        <w:pStyle w:val="Heading2"/>
        <w:rPr>
          <w:lang w:val="en"/>
        </w:rPr>
      </w:pPr>
      <w:r w:rsidRPr="000D5304">
        <w:rPr>
          <w:lang w:val="en"/>
        </w:rPr>
        <w:t>Methods</w:t>
      </w:r>
    </w:p>
    <w:p w14:paraId="1040294A" w14:textId="77777777" w:rsidR="000D5304" w:rsidRPr="000D5304" w:rsidRDefault="000D5304" w:rsidP="000D5304">
      <w:pPr>
        <w:rPr>
          <w:lang w:val="en"/>
        </w:rPr>
      </w:pPr>
      <w:r w:rsidRPr="000D5304">
        <w:rPr>
          <w:lang w:val="en"/>
        </w:rPr>
        <w:t xml:space="preserve">This study used the Personalized Rapid Estimation of Dose </w:t>
      </w:r>
      <w:proofErr w:type="gramStart"/>
      <w:r w:rsidRPr="000D5304">
        <w:rPr>
          <w:lang w:val="en"/>
        </w:rPr>
        <w:t>In</w:t>
      </w:r>
      <w:proofErr w:type="gramEnd"/>
      <w:r w:rsidRPr="000D5304">
        <w:rPr>
          <w:lang w:val="en"/>
        </w:rPr>
        <w:t xml:space="preserve"> CT (PREDICT) tool to estimate patient-specific organ doses from CT image data. PREDICT is a research tool that combines a linear Boltzmann transport equation solver for radiation dose map generation with deep learning algorithms for organ contouring. CT images from 74 subjects in the MIDRC-RICORD dataset (chest CT of adult patients positive for COVID-19) which included expert annotations including “infectious opacities” were analyzed. First, the full z-scan-length of the CT image dataset was evaluated. Next, the z-scan-length was reduced from the left hemidiaphragm to the top of the aortic arch. Generic dose reduction based on dose-length-product (DLP) and patient-specific organ dose reductions were calculated. The percentage of infectious opacities excluded from the reduced z-scan-length was used to quantify the effect on diagnostic utility.</w:t>
      </w:r>
    </w:p>
    <w:p w14:paraId="087CA41F" w14:textId="77777777" w:rsidR="000D5304" w:rsidRPr="000D5304" w:rsidRDefault="000D5304" w:rsidP="0060477F">
      <w:pPr>
        <w:pStyle w:val="Heading2"/>
        <w:rPr>
          <w:lang w:val="en"/>
        </w:rPr>
      </w:pPr>
      <w:r w:rsidRPr="000D5304">
        <w:rPr>
          <w:lang w:val="en"/>
        </w:rPr>
        <w:t>Results</w:t>
      </w:r>
    </w:p>
    <w:p w14:paraId="30B1017E" w14:textId="77777777" w:rsidR="000D5304" w:rsidRPr="000D5304" w:rsidRDefault="000D5304" w:rsidP="000D5304">
      <w:pPr>
        <w:rPr>
          <w:lang w:val="en"/>
        </w:rPr>
      </w:pPr>
      <w:r w:rsidRPr="000D5304">
        <w:rPr>
          <w:lang w:val="en"/>
        </w:rPr>
        <w:t>Generic dose reduction, based on DLP, was 69%. The organ dose reduction ranged from ≈18% (breasts) and ≈64% (bone surface and bone marrow). On average, 12.4% of the infectious opacities were not included in the reduced z-</w:t>
      </w:r>
      <w:proofErr w:type="gramStart"/>
      <w:r w:rsidRPr="000D5304">
        <w:rPr>
          <w:lang w:val="en"/>
        </w:rPr>
        <w:t>coverage,</w:t>
      </w:r>
      <w:proofErr w:type="gramEnd"/>
      <w:r w:rsidRPr="000D5304">
        <w:rPr>
          <w:lang w:val="en"/>
        </w:rPr>
        <w:t xml:space="preserve"> per patient, of which 5.1% were above the top of the arch and 7.5% below the left hemidiaphragm.</w:t>
      </w:r>
    </w:p>
    <w:p w14:paraId="11931C83" w14:textId="77777777" w:rsidR="000D5304" w:rsidRPr="000D5304" w:rsidRDefault="000D5304" w:rsidP="0060477F">
      <w:pPr>
        <w:pStyle w:val="Heading2"/>
        <w:rPr>
          <w:lang w:val="en"/>
        </w:rPr>
      </w:pPr>
      <w:r w:rsidRPr="000D5304">
        <w:rPr>
          <w:lang w:val="en"/>
        </w:rPr>
        <w:t>Conclusions</w:t>
      </w:r>
    </w:p>
    <w:p w14:paraId="53B989FB" w14:textId="77777777" w:rsidR="000D5304" w:rsidRPr="000D5304" w:rsidRDefault="000D5304" w:rsidP="000D5304">
      <w:pPr>
        <w:rPr>
          <w:lang w:val="en"/>
        </w:rPr>
      </w:pPr>
      <w:r w:rsidRPr="000D5304">
        <w:rPr>
          <w:lang w:val="en"/>
        </w:rPr>
        <w:t>Limiting z-scan-length of chest CTs reduced radiation dose without significantly compromising diagnostic utility in COVID-19 patients. PREDICT demonstrated that patient-specific organ dose reductions varied from generic dose reduction based on DLP.</w:t>
      </w:r>
    </w:p>
    <w:p w14:paraId="3ADE7F47" w14:textId="2E738438" w:rsidR="009C6406" w:rsidRDefault="000D5304" w:rsidP="009C6406">
      <w:pPr>
        <w:pStyle w:val="Heading1"/>
        <w:rPr>
          <w:lang w:val="en"/>
        </w:rPr>
      </w:pPr>
      <w:r w:rsidRPr="000D5304">
        <w:rPr>
          <w:lang w:val="en"/>
        </w:rPr>
        <w:t>Keywords</w:t>
      </w:r>
    </w:p>
    <w:p w14:paraId="0FEF4B76" w14:textId="30795C81" w:rsidR="000D5304" w:rsidRPr="000D5304" w:rsidRDefault="000D5304" w:rsidP="000D5304">
      <w:pPr>
        <w:rPr>
          <w:lang w:val="en"/>
        </w:rPr>
      </w:pPr>
      <w:r w:rsidRPr="000D5304">
        <w:rPr>
          <w:lang w:val="en"/>
        </w:rPr>
        <w:t>CT Organ Dose, Deterministic solver, Dose reduction, COVID-19</w:t>
      </w:r>
    </w:p>
    <w:p w14:paraId="1B1E5110" w14:textId="77777777" w:rsidR="000D5304" w:rsidRPr="000D5304" w:rsidRDefault="000D5304" w:rsidP="0060477F">
      <w:pPr>
        <w:pStyle w:val="Heading1"/>
      </w:pPr>
      <w:r w:rsidRPr="000D5304">
        <w:t>1.</w:t>
      </w:r>
      <w:r w:rsidRPr="000D5304">
        <w:t> </w:t>
      </w:r>
      <w:r w:rsidRPr="000D5304">
        <w:t>Introduction</w:t>
      </w:r>
    </w:p>
    <w:p w14:paraId="7518A17C" w14:textId="698D0F60" w:rsidR="000D5304" w:rsidRPr="000D5304" w:rsidRDefault="000D5304" w:rsidP="000D5304">
      <w:r w:rsidRPr="000D5304">
        <w:t>Chest radiography and chest CT scans have been widely used during the Coronavirus disease 2019 (COVID-19) pandemic, particularly in patients with severe disease, complications, or prolonged symptoms</w:t>
      </w:r>
      <w:r w:rsidRPr="00153CB4">
        <w:rPr>
          <w:vertAlign w:val="superscript"/>
        </w:rPr>
        <w:t>1</w:t>
      </w:r>
      <w:r w:rsidRPr="000D5304">
        <w:t xml:space="preserve">. Furthermore, patients with severe </w:t>
      </w:r>
      <w:proofErr w:type="gramStart"/>
      <w:r w:rsidRPr="000D5304">
        <w:t>course</w:t>
      </w:r>
      <w:proofErr w:type="gramEnd"/>
      <w:r w:rsidRPr="000D5304">
        <w:t xml:space="preserve"> of disease may develop premature fibrotic interstitial lung disease (ILD) and require follow up examinations to assess evolution of disease</w:t>
      </w:r>
      <w:r w:rsidRPr="00153CB4">
        <w:rPr>
          <w:vertAlign w:val="superscript"/>
        </w:rPr>
        <w:t>2</w:t>
      </w:r>
      <w:r w:rsidRPr="000D5304">
        <w:t>. Although at the beginning of the pandemic chest CT scans have been used for COVID-19 diagnosis</w:t>
      </w:r>
      <w:r w:rsidRPr="00153CB4">
        <w:rPr>
          <w:vertAlign w:val="superscript"/>
        </w:rPr>
        <w:t>3</w:t>
      </w:r>
      <w:r w:rsidRPr="000D5304">
        <w:t>, the United States Center for Disease Control (CDC) does not recommend the use of chest CT for diagnosis of COVID-19, since imaging findings are non-specific and overlap with other infections such as influenza</w:t>
      </w:r>
      <w:r w:rsidRPr="00153CB4">
        <w:rPr>
          <w:vertAlign w:val="superscript"/>
        </w:rPr>
        <w:t>4</w:t>
      </w:r>
      <w:r w:rsidRPr="000D5304">
        <w:t>. However, chest CT has a relevant role in the assessment for COVID-19 progression and detection of its complications, such as acute respiratory distress syndrome, pulmonary embolism, superimposed pneumonia, or heart failure, and it can be used to assess additional suspected diagnosis other than COVID-19</w:t>
      </w:r>
      <w:r w:rsidRPr="00153CB4">
        <w:rPr>
          <w:vertAlign w:val="superscript"/>
        </w:rPr>
        <w:t>5</w:t>
      </w:r>
      <w:r w:rsidRPr="000D5304">
        <w:t>. Furthermore, several patients are subjected to repeated scans. One study on 782 patients positive for COVID-19 found that about 29% of them had two to eight chest CT examinations in less than 1 month</w:t>
      </w:r>
      <w:r w:rsidRPr="00153CB4">
        <w:rPr>
          <w:vertAlign w:val="superscript"/>
        </w:rPr>
        <w:t>6</w:t>
      </w:r>
      <w:r w:rsidRPr="000D5304">
        <w:t>. With emerging variants and spread of disease through the younger populations, together with the stochastic risk of inducing cancer from CT examinations especially among children</w:t>
      </w:r>
      <w:r w:rsidRPr="00153CB4">
        <w:rPr>
          <w:vertAlign w:val="superscript"/>
        </w:rPr>
        <w:t>7</w:t>
      </w:r>
      <w:r w:rsidRPr="006968E5">
        <w:rPr>
          <w:vertAlign w:val="superscript"/>
        </w:rPr>
        <w:t>–</w:t>
      </w:r>
      <w:r w:rsidRPr="00153CB4">
        <w:rPr>
          <w:vertAlign w:val="superscript"/>
        </w:rPr>
        <w:t>10</w:t>
      </w:r>
      <w:r w:rsidRPr="000D5304">
        <w:t>, efforts for CT dose reduction become essential in the optimization of imaging protocols for enhancement of clinical utility of chest CT in patients with COVID-19 infection.</w:t>
      </w:r>
    </w:p>
    <w:p w14:paraId="4CF8079C" w14:textId="4CEBC08A" w:rsidR="000D5304" w:rsidRPr="000D5304" w:rsidRDefault="000D5304" w:rsidP="000D5304">
      <w:r w:rsidRPr="000D5304">
        <w:lastRenderedPageBreak/>
        <w:t>Studies of other chest conditions have shown that reducing the z-scan-length of a chest CT can significantly reduce radiation dose without reducing diagnostic accuracy</w:t>
      </w:r>
      <w:r w:rsidRPr="00153CB4">
        <w:rPr>
          <w:vertAlign w:val="superscript"/>
        </w:rPr>
        <w:t>11</w:t>
      </w:r>
      <w:r w:rsidRPr="000D5304">
        <w:t xml:space="preserve">. While radiation dose reduction is important, patient-specific organ dose reduction may provide a more accurate risk assessment. This is particularly important for young patients with highly </w:t>
      </w:r>
      <w:proofErr w:type="spellStart"/>
      <w:r w:rsidRPr="000D5304">
        <w:t>radiosentive</w:t>
      </w:r>
      <w:proofErr w:type="spellEnd"/>
      <w:r w:rsidRPr="000D5304">
        <w:t xml:space="preserve"> thymic tissue</w:t>
      </w:r>
      <w:r w:rsidRPr="00153CB4">
        <w:rPr>
          <w:vertAlign w:val="superscript"/>
        </w:rPr>
        <w:t>7</w:t>
      </w:r>
      <w:r w:rsidRPr="000D5304">
        <w:t xml:space="preserve"> and for patients undergoing repeated CT examinations for monitoring progression or resolution of pathology.</w:t>
      </w:r>
    </w:p>
    <w:p w14:paraId="6248C55C" w14:textId="03E2A26C" w:rsidR="000D5304" w:rsidRPr="000D5304" w:rsidRDefault="000D5304" w:rsidP="000D5304">
      <w:r w:rsidRPr="000D5304">
        <w:t>A chest CT extending from the lung apex to the lung base is the most frequently applied protocol found in literature for patients positive for COVID-19</w:t>
      </w:r>
      <w:r w:rsidRPr="00153CB4">
        <w:rPr>
          <w:vertAlign w:val="superscript"/>
        </w:rPr>
        <w:t>3</w:t>
      </w:r>
      <w:r w:rsidRPr="000D5304">
        <w:t>. According to multi-center study, the inferior chest CT scan length covered lung bases in 47% of the scans (370 of 782) and the adrenal glands in 41% of the scans (322 of 782), with no available data for other areas</w:t>
      </w:r>
      <w:r w:rsidRPr="00153CB4">
        <w:rPr>
          <w:vertAlign w:val="superscript"/>
        </w:rPr>
        <w:t>6</w:t>
      </w:r>
      <w:r w:rsidRPr="000D5304">
        <w:t>. In our study we hypothesize that reducing z-axis scan length will reduce the patient-specific organ dose while maintaining diagnostic accuracy. As this project used a dataset annotated for findings of COVID-19, pathology aside from that associated with COVID-19 pneumonia which may be incidentally detected during CT examinations was not evaluated.</w:t>
      </w:r>
    </w:p>
    <w:p w14:paraId="49F983F3" w14:textId="77777777" w:rsidR="000D5304" w:rsidRPr="000D5304" w:rsidRDefault="000D5304" w:rsidP="00D048FE">
      <w:pPr>
        <w:pStyle w:val="Heading1"/>
      </w:pPr>
      <w:r w:rsidRPr="000D5304">
        <w:t>2.</w:t>
      </w:r>
      <w:r w:rsidRPr="000D5304">
        <w:t> </w:t>
      </w:r>
      <w:r w:rsidRPr="000D5304">
        <w:t>Materials and Methods</w:t>
      </w:r>
    </w:p>
    <w:p w14:paraId="0447CEC2" w14:textId="77777777" w:rsidR="000D5304" w:rsidRPr="000D5304" w:rsidRDefault="000D5304" w:rsidP="00D048FE">
      <w:pPr>
        <w:pStyle w:val="Heading2"/>
      </w:pPr>
      <w:r w:rsidRPr="000D5304">
        <w:t>2.1. Chest CT dataset</w:t>
      </w:r>
    </w:p>
    <w:p w14:paraId="51D394E9" w14:textId="2F1E223C" w:rsidR="000D5304" w:rsidRPr="000D5304" w:rsidRDefault="000D5304" w:rsidP="000D5304">
      <w:r w:rsidRPr="000D5304">
        <w:t>The images for 74 patients positive for COVID-19 were taken from a publicly available dataset. The Radiological Society of North America (RSNA) has assembled the RSNA International COVID-19 Open Radiology Database (RICORD)</w:t>
      </w:r>
      <w:r w:rsidRPr="00153CB4">
        <w:rPr>
          <w:vertAlign w:val="superscript"/>
        </w:rPr>
        <w:t>12</w:t>
      </w:r>
      <w:r w:rsidRPr="006968E5">
        <w:rPr>
          <w:vertAlign w:val="superscript"/>
        </w:rPr>
        <w:t>–</w:t>
      </w:r>
      <w:r w:rsidRPr="00153CB4">
        <w:rPr>
          <w:vertAlign w:val="superscript"/>
        </w:rPr>
        <w:t>14</w:t>
      </w:r>
      <w:r w:rsidRPr="000D5304">
        <w:t>. The MIDRC-RICORD-1a (Medical Imaging Data Resource Center – RICORD release 1a) contains 120 chest CT examinations from four international sites from patients 18 years-old or older, all of whom were symptomatic from COVID-19. Two of the four sites were randomly selected, resulting in 75 patients for analysis. Written informed consent from all subjects in this study or waiver by IRB was not needed as imaging examinations and associated clinical information used in this work were de-identified by the contributing sites for inclusion in the RICORD database. One subject with CT images of size of 512 by 535 pixels, instead of usual size of 512 by 512 pixels, was excluded. Our final study cohort consisted of 74 patients (49 males, 25 females). Age was not available for one of the two sites. The average age for the 56 patients at the other site was 55.8 ± 30.3 years.</w:t>
      </w:r>
    </w:p>
    <w:p w14:paraId="3D047D78" w14:textId="77777777" w:rsidR="000D5304" w:rsidRPr="000D5304" w:rsidRDefault="000D5304" w:rsidP="00D048FE">
      <w:pPr>
        <w:pStyle w:val="Heading2"/>
      </w:pPr>
      <w:r w:rsidRPr="000D5304">
        <w:t>2.2. Reduced scan length protocol</w:t>
      </w:r>
    </w:p>
    <w:p w14:paraId="704E41BA" w14:textId="6B13B850" w:rsidR="000D5304" w:rsidRPr="000D5304" w:rsidRDefault="000D5304" w:rsidP="000D5304">
      <w:r w:rsidRPr="000D5304">
        <w:t xml:space="preserve">Reduced z-scan-length from the top of the aortic arch to the left hemidiaphragm was chosen to represent </w:t>
      </w:r>
      <w:proofErr w:type="gramStart"/>
      <w:r w:rsidRPr="000D5304">
        <w:t>the majority of</w:t>
      </w:r>
      <w:proofErr w:type="gramEnd"/>
      <w:r w:rsidRPr="000D5304">
        <w:t xml:space="preserve"> </w:t>
      </w:r>
      <w:proofErr w:type="gramStart"/>
      <w:r w:rsidRPr="000D5304">
        <w:t>the lung</w:t>
      </w:r>
      <w:proofErr w:type="gramEnd"/>
      <w:r w:rsidRPr="000D5304">
        <w:t xml:space="preserve"> parenchyma that has diagnostic relevance for lung-related diagnosis</w:t>
      </w:r>
      <w:r w:rsidRPr="00153CB4">
        <w:rPr>
          <w:vertAlign w:val="superscript"/>
        </w:rPr>
        <w:t>11</w:t>
      </w:r>
      <w:r w:rsidRPr="000D5304">
        <w:t>. Because the scout images were not provided for the analyzed patients, scouts were computationally generated from the CT image data as the antero-posterior projection of the linear attenuation coefficients. A MATLAB routine was employed to record the z-limits by clicking on the scout image of each patient at the top of the aortic arch and left hemidiaphragm (</w:t>
      </w:r>
      <w:r w:rsidRPr="00153CB4">
        <w:t>Figure 1</w:t>
      </w:r>
      <w:r w:rsidRPr="000D5304">
        <w:t>).</w:t>
      </w:r>
    </w:p>
    <w:p w14:paraId="053C744F" w14:textId="4E83ECD8" w:rsidR="000D5304" w:rsidRPr="00153CB4" w:rsidRDefault="000D5304" w:rsidP="000D5304"/>
    <w:p w14:paraId="7B46B85D" w14:textId="42C8D46F" w:rsidR="000D5304" w:rsidRPr="00153CB4" w:rsidRDefault="000D5304" w:rsidP="00D048FE">
      <w:pPr>
        <w:pStyle w:val="NoSpacing"/>
      </w:pPr>
      <w:r w:rsidRPr="00153CB4">
        <w:rPr>
          <w:noProof/>
        </w:rPr>
        <w:lastRenderedPageBreak/>
        <w:drawing>
          <wp:inline distT="0" distB="0" distL="0" distR="0" wp14:anchorId="66BBA311" wp14:editId="52DC3B8F">
            <wp:extent cx="2743200" cy="2414016"/>
            <wp:effectExtent l="0" t="0" r="0" b="5715"/>
            <wp:docPr id="182065449" name="Picture 9" descr="Figure 1. CT image showing scout computationally. More detail below.">
              <a:hlinkClick xmlns:a="http://schemas.openxmlformats.org/drawingml/2006/main" r:id="rId12" tgtFrame="&quot;figur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065449" name="Picture 9" descr="Figure 1. CT image showing scout computationally. More detail below.">
                      <a:hlinkClick r:id="rId12" tgtFrame="&quot;figure&quo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743200" cy="2414016"/>
                    </a:xfrm>
                    <a:prstGeom prst="rect">
                      <a:avLst/>
                    </a:prstGeom>
                    <a:noFill/>
                    <a:ln>
                      <a:noFill/>
                    </a:ln>
                  </pic:spPr>
                </pic:pic>
              </a:graphicData>
            </a:graphic>
          </wp:inline>
        </w:drawing>
      </w:r>
    </w:p>
    <w:p w14:paraId="624925CB" w14:textId="2580853B" w:rsidR="000D5304" w:rsidRPr="000D5304" w:rsidRDefault="000D5304" w:rsidP="00D048FE">
      <w:r w:rsidRPr="00153CB4">
        <w:t>Figure 1.</w:t>
      </w:r>
      <w:r w:rsidR="00D048FE">
        <w:rPr>
          <w:rStyle w:val="Hyperlink"/>
        </w:rPr>
        <w:t xml:space="preserve"> </w:t>
      </w:r>
      <w:r w:rsidRPr="000D5304">
        <w:t>Scout computationally generated from CT images. Line A represents the limit for the reduced z-scan-length at the level of the aortic arch, while line B represents the limit at the level of the left hemidiaphragm.</w:t>
      </w:r>
    </w:p>
    <w:p w14:paraId="2B3BDA67" w14:textId="7F9FB252" w:rsidR="000D5304" w:rsidRDefault="000D5304" w:rsidP="000D5304">
      <w:r w:rsidRPr="000D5304">
        <w:t>For each dataset, the z-scan-length was computed as a product of the slice thickness (3 mm for 56 patients, 1.5 mm for 17 patients, 1 mm for 1 patient, with no overlap or gap between slices) and the number of images per each case (</w:t>
      </w:r>
      <w:r w:rsidRPr="00153CB4">
        <w:t>Table 1</w:t>
      </w:r>
      <w:r w:rsidRPr="000D5304">
        <w:t>, line 2). The number of images from the reduced z-scan-length (</w:t>
      </w:r>
      <w:r w:rsidRPr="00153CB4">
        <w:t>Table 1</w:t>
      </w:r>
      <w:r w:rsidRPr="000D5304">
        <w:t xml:space="preserve">, line 3) was computed according to the selected limits at the top of the aortic arch and left hemidiaphragm. This calculation of the z-scan-length is an underestimate of the actual irradiated </w:t>
      </w:r>
      <w:proofErr w:type="gramStart"/>
      <w:r w:rsidRPr="000D5304">
        <w:t>volume, because</w:t>
      </w:r>
      <w:proofErr w:type="gramEnd"/>
      <w:r w:rsidRPr="000D5304">
        <w:t xml:space="preserve"> it does not account for the overrange, which is the scan length that extends beyond the volume of the reconstructed image that is required for helical scanning. However, this effect is expected to be small when comparing the full and reduced z-scan-length protocols.</w:t>
      </w:r>
    </w:p>
    <w:p w14:paraId="6CE75E62" w14:textId="5F689925" w:rsidR="000D5304" w:rsidRPr="000D5304" w:rsidRDefault="000D5304" w:rsidP="008E05C1">
      <w:pPr>
        <w:pStyle w:val="NoSpacing"/>
      </w:pPr>
      <w:r w:rsidRPr="000D5304">
        <w:t>Table 1:</w:t>
      </w:r>
      <w:r w:rsidR="008E05C1">
        <w:t xml:space="preserve"> </w:t>
      </w:r>
      <w:r w:rsidRPr="000D5304">
        <w:t>Z-scan-length: Median, maximum, minimum, 25</w:t>
      </w:r>
      <w:r w:rsidRPr="000D5304">
        <w:rPr>
          <w:vertAlign w:val="superscript"/>
        </w:rPr>
        <w:t>th</w:t>
      </w:r>
      <w:r w:rsidRPr="000D5304">
        <w:t> percentile (</w:t>
      </w:r>
      <w:proofErr w:type="spellStart"/>
      <w:r w:rsidRPr="000D5304">
        <w:t>pctl</w:t>
      </w:r>
      <w:proofErr w:type="spellEnd"/>
      <w:r w:rsidRPr="000D5304">
        <w:t>), 75</w:t>
      </w:r>
      <w:r w:rsidRPr="000D5304">
        <w:rPr>
          <w:vertAlign w:val="superscript"/>
        </w:rPr>
        <w:t>th</w:t>
      </w:r>
      <w:r w:rsidRPr="000D5304">
        <w:t> percentile, and interquartile range (IQR) for full and reduced z-scan-length exams.</w:t>
      </w:r>
    </w:p>
    <w:tbl>
      <w:tblPr>
        <w:tblStyle w:val="TableGrid"/>
        <w:tblW w:w="0" w:type="auto"/>
        <w:tblLook w:val="04A0" w:firstRow="1" w:lastRow="0" w:firstColumn="1" w:lastColumn="0" w:noHBand="0" w:noVBand="1"/>
      </w:tblPr>
      <w:tblGrid>
        <w:gridCol w:w="2726"/>
        <w:gridCol w:w="918"/>
        <w:gridCol w:w="718"/>
        <w:gridCol w:w="718"/>
        <w:gridCol w:w="953"/>
        <w:gridCol w:w="953"/>
        <w:gridCol w:w="607"/>
      </w:tblGrid>
      <w:tr w:rsidR="000D5304" w:rsidRPr="000D5304" w14:paraId="18464936" w14:textId="77777777" w:rsidTr="008E05C1">
        <w:tc>
          <w:tcPr>
            <w:tcW w:w="0" w:type="auto"/>
            <w:hideMark/>
          </w:tcPr>
          <w:p w14:paraId="031CBD75" w14:textId="77777777" w:rsidR="000D5304" w:rsidRPr="000D5304" w:rsidRDefault="000D5304" w:rsidP="000D5304"/>
        </w:tc>
        <w:tc>
          <w:tcPr>
            <w:tcW w:w="0" w:type="auto"/>
            <w:hideMark/>
          </w:tcPr>
          <w:p w14:paraId="009CDBB1" w14:textId="77777777" w:rsidR="000D5304" w:rsidRPr="000D5304" w:rsidRDefault="000D5304" w:rsidP="000D5304">
            <w:pPr>
              <w:rPr>
                <w:b/>
                <w:bCs/>
              </w:rPr>
            </w:pPr>
            <w:r w:rsidRPr="000D5304">
              <w:rPr>
                <w:b/>
                <w:bCs/>
              </w:rPr>
              <w:t>Median</w:t>
            </w:r>
          </w:p>
        </w:tc>
        <w:tc>
          <w:tcPr>
            <w:tcW w:w="0" w:type="auto"/>
            <w:hideMark/>
          </w:tcPr>
          <w:p w14:paraId="1CA4D2E6" w14:textId="77777777" w:rsidR="000D5304" w:rsidRPr="000D5304" w:rsidRDefault="000D5304" w:rsidP="000D5304">
            <w:pPr>
              <w:rPr>
                <w:b/>
                <w:bCs/>
              </w:rPr>
            </w:pPr>
            <w:r w:rsidRPr="000D5304">
              <w:rPr>
                <w:b/>
                <w:bCs/>
              </w:rPr>
              <w:t>Max</w:t>
            </w:r>
          </w:p>
        </w:tc>
        <w:tc>
          <w:tcPr>
            <w:tcW w:w="0" w:type="auto"/>
            <w:hideMark/>
          </w:tcPr>
          <w:p w14:paraId="7A3B7180" w14:textId="77777777" w:rsidR="000D5304" w:rsidRPr="000D5304" w:rsidRDefault="000D5304" w:rsidP="000D5304">
            <w:pPr>
              <w:rPr>
                <w:b/>
                <w:bCs/>
              </w:rPr>
            </w:pPr>
            <w:r w:rsidRPr="000D5304">
              <w:rPr>
                <w:b/>
                <w:bCs/>
              </w:rPr>
              <w:t>Min</w:t>
            </w:r>
          </w:p>
        </w:tc>
        <w:tc>
          <w:tcPr>
            <w:tcW w:w="0" w:type="auto"/>
            <w:hideMark/>
          </w:tcPr>
          <w:p w14:paraId="557E3226" w14:textId="77777777" w:rsidR="000D5304" w:rsidRPr="000D5304" w:rsidRDefault="000D5304" w:rsidP="000D5304">
            <w:pPr>
              <w:rPr>
                <w:b/>
                <w:bCs/>
              </w:rPr>
            </w:pPr>
            <w:r w:rsidRPr="000D5304">
              <w:rPr>
                <w:b/>
                <w:bCs/>
              </w:rPr>
              <w:t>25</w:t>
            </w:r>
            <w:r w:rsidRPr="000D5304">
              <w:rPr>
                <w:b/>
                <w:bCs/>
                <w:vertAlign w:val="superscript"/>
              </w:rPr>
              <w:t>th</w:t>
            </w:r>
            <w:r w:rsidRPr="000D5304">
              <w:rPr>
                <w:b/>
                <w:bCs/>
              </w:rPr>
              <w:t> </w:t>
            </w:r>
            <w:proofErr w:type="spellStart"/>
            <w:r w:rsidRPr="000D5304">
              <w:rPr>
                <w:b/>
                <w:bCs/>
              </w:rPr>
              <w:t>pctl</w:t>
            </w:r>
            <w:proofErr w:type="spellEnd"/>
          </w:p>
        </w:tc>
        <w:tc>
          <w:tcPr>
            <w:tcW w:w="0" w:type="auto"/>
            <w:hideMark/>
          </w:tcPr>
          <w:p w14:paraId="6556BA96" w14:textId="77777777" w:rsidR="000D5304" w:rsidRPr="000D5304" w:rsidRDefault="000D5304" w:rsidP="000D5304">
            <w:pPr>
              <w:rPr>
                <w:b/>
                <w:bCs/>
              </w:rPr>
            </w:pPr>
            <w:r w:rsidRPr="000D5304">
              <w:rPr>
                <w:b/>
                <w:bCs/>
              </w:rPr>
              <w:t>75</w:t>
            </w:r>
            <w:r w:rsidRPr="000D5304">
              <w:rPr>
                <w:b/>
                <w:bCs/>
                <w:vertAlign w:val="superscript"/>
              </w:rPr>
              <w:t>th</w:t>
            </w:r>
            <w:r w:rsidRPr="000D5304">
              <w:rPr>
                <w:b/>
                <w:bCs/>
              </w:rPr>
              <w:t> </w:t>
            </w:r>
            <w:proofErr w:type="spellStart"/>
            <w:r w:rsidRPr="000D5304">
              <w:rPr>
                <w:b/>
                <w:bCs/>
              </w:rPr>
              <w:t>pctl</w:t>
            </w:r>
            <w:proofErr w:type="spellEnd"/>
          </w:p>
        </w:tc>
        <w:tc>
          <w:tcPr>
            <w:tcW w:w="0" w:type="auto"/>
            <w:hideMark/>
          </w:tcPr>
          <w:p w14:paraId="4B410414" w14:textId="77777777" w:rsidR="000D5304" w:rsidRPr="000D5304" w:rsidRDefault="000D5304" w:rsidP="000D5304">
            <w:pPr>
              <w:rPr>
                <w:b/>
                <w:bCs/>
              </w:rPr>
            </w:pPr>
            <w:r w:rsidRPr="000D5304">
              <w:rPr>
                <w:b/>
                <w:bCs/>
              </w:rPr>
              <w:t>IQR</w:t>
            </w:r>
          </w:p>
        </w:tc>
      </w:tr>
      <w:tr w:rsidR="000D5304" w:rsidRPr="000D5304" w14:paraId="23D45CEB" w14:textId="77777777" w:rsidTr="008E05C1">
        <w:tc>
          <w:tcPr>
            <w:tcW w:w="0" w:type="auto"/>
            <w:hideMark/>
          </w:tcPr>
          <w:p w14:paraId="5B735D34" w14:textId="77777777" w:rsidR="000D5304" w:rsidRPr="000D5304" w:rsidRDefault="000D5304" w:rsidP="000D5304">
            <w:r w:rsidRPr="000D5304">
              <w:rPr>
                <w:b/>
                <w:bCs/>
              </w:rPr>
              <w:t>Full z-scan-length (cm)</w:t>
            </w:r>
          </w:p>
        </w:tc>
        <w:tc>
          <w:tcPr>
            <w:tcW w:w="0" w:type="auto"/>
            <w:hideMark/>
          </w:tcPr>
          <w:p w14:paraId="73CB83C1" w14:textId="77777777" w:rsidR="000D5304" w:rsidRPr="000D5304" w:rsidRDefault="000D5304" w:rsidP="000D5304">
            <w:r w:rsidRPr="000D5304">
              <w:t>32.70</w:t>
            </w:r>
          </w:p>
        </w:tc>
        <w:tc>
          <w:tcPr>
            <w:tcW w:w="0" w:type="auto"/>
            <w:hideMark/>
          </w:tcPr>
          <w:p w14:paraId="618A8A95" w14:textId="77777777" w:rsidR="000D5304" w:rsidRPr="000D5304" w:rsidRDefault="000D5304" w:rsidP="000D5304">
            <w:r w:rsidRPr="000D5304">
              <w:t>44.85</w:t>
            </w:r>
          </w:p>
        </w:tc>
        <w:tc>
          <w:tcPr>
            <w:tcW w:w="0" w:type="auto"/>
            <w:hideMark/>
          </w:tcPr>
          <w:p w14:paraId="1AF35F8E" w14:textId="77777777" w:rsidR="000D5304" w:rsidRPr="000D5304" w:rsidRDefault="000D5304" w:rsidP="000D5304">
            <w:r w:rsidRPr="000D5304">
              <w:t>24.00</w:t>
            </w:r>
          </w:p>
        </w:tc>
        <w:tc>
          <w:tcPr>
            <w:tcW w:w="0" w:type="auto"/>
            <w:hideMark/>
          </w:tcPr>
          <w:p w14:paraId="05A593DF" w14:textId="77777777" w:rsidR="000D5304" w:rsidRPr="000D5304" w:rsidRDefault="000D5304" w:rsidP="000D5304">
            <w:r w:rsidRPr="000D5304">
              <w:t>30.30</w:t>
            </w:r>
          </w:p>
        </w:tc>
        <w:tc>
          <w:tcPr>
            <w:tcW w:w="0" w:type="auto"/>
            <w:hideMark/>
          </w:tcPr>
          <w:p w14:paraId="3C2677DA" w14:textId="77777777" w:rsidR="000D5304" w:rsidRPr="000D5304" w:rsidRDefault="000D5304" w:rsidP="000D5304">
            <w:r w:rsidRPr="000D5304">
              <w:t>34.95</w:t>
            </w:r>
          </w:p>
        </w:tc>
        <w:tc>
          <w:tcPr>
            <w:tcW w:w="0" w:type="auto"/>
            <w:hideMark/>
          </w:tcPr>
          <w:p w14:paraId="2AD0B59F" w14:textId="77777777" w:rsidR="000D5304" w:rsidRPr="000D5304" w:rsidRDefault="000D5304" w:rsidP="000D5304">
            <w:r w:rsidRPr="000D5304">
              <w:t>4.65</w:t>
            </w:r>
          </w:p>
        </w:tc>
      </w:tr>
      <w:tr w:rsidR="000D5304" w:rsidRPr="000D5304" w14:paraId="57DC6AFD" w14:textId="77777777" w:rsidTr="008E05C1">
        <w:tc>
          <w:tcPr>
            <w:tcW w:w="0" w:type="auto"/>
            <w:hideMark/>
          </w:tcPr>
          <w:p w14:paraId="24FD7A24" w14:textId="77777777" w:rsidR="000D5304" w:rsidRPr="000D5304" w:rsidRDefault="000D5304" w:rsidP="000D5304">
            <w:r w:rsidRPr="000D5304">
              <w:rPr>
                <w:b/>
                <w:bCs/>
              </w:rPr>
              <w:t>Reduced z-scan-length (cm)</w:t>
            </w:r>
          </w:p>
        </w:tc>
        <w:tc>
          <w:tcPr>
            <w:tcW w:w="0" w:type="auto"/>
            <w:hideMark/>
          </w:tcPr>
          <w:p w14:paraId="2B437798" w14:textId="77777777" w:rsidR="000D5304" w:rsidRPr="000D5304" w:rsidRDefault="000D5304" w:rsidP="000D5304">
            <w:r w:rsidRPr="000D5304">
              <w:t>15.20</w:t>
            </w:r>
          </w:p>
        </w:tc>
        <w:tc>
          <w:tcPr>
            <w:tcW w:w="0" w:type="auto"/>
            <w:hideMark/>
          </w:tcPr>
          <w:p w14:paraId="564FC4C1" w14:textId="77777777" w:rsidR="000D5304" w:rsidRPr="000D5304" w:rsidRDefault="000D5304" w:rsidP="000D5304">
            <w:r w:rsidRPr="000D5304">
              <w:t>21.15</w:t>
            </w:r>
          </w:p>
        </w:tc>
        <w:tc>
          <w:tcPr>
            <w:tcW w:w="0" w:type="auto"/>
            <w:hideMark/>
          </w:tcPr>
          <w:p w14:paraId="4D3C0557" w14:textId="77777777" w:rsidR="000D5304" w:rsidRPr="000D5304" w:rsidRDefault="000D5304" w:rsidP="000D5304">
            <w:r w:rsidRPr="000D5304">
              <w:t>8.10</w:t>
            </w:r>
          </w:p>
        </w:tc>
        <w:tc>
          <w:tcPr>
            <w:tcW w:w="0" w:type="auto"/>
            <w:hideMark/>
          </w:tcPr>
          <w:p w14:paraId="12A5C3A8" w14:textId="77777777" w:rsidR="000D5304" w:rsidRPr="000D5304" w:rsidRDefault="000D5304" w:rsidP="000D5304">
            <w:r w:rsidRPr="000D5304">
              <w:t>13.80</w:t>
            </w:r>
          </w:p>
        </w:tc>
        <w:tc>
          <w:tcPr>
            <w:tcW w:w="0" w:type="auto"/>
            <w:hideMark/>
          </w:tcPr>
          <w:p w14:paraId="7C4FD0D4" w14:textId="77777777" w:rsidR="000D5304" w:rsidRPr="000D5304" w:rsidRDefault="000D5304" w:rsidP="000D5304">
            <w:r w:rsidRPr="000D5304">
              <w:t>17.40</w:t>
            </w:r>
          </w:p>
        </w:tc>
        <w:tc>
          <w:tcPr>
            <w:tcW w:w="0" w:type="auto"/>
            <w:hideMark/>
          </w:tcPr>
          <w:p w14:paraId="1D0B5C30" w14:textId="77777777" w:rsidR="000D5304" w:rsidRPr="000D5304" w:rsidRDefault="000D5304" w:rsidP="000D5304">
            <w:r w:rsidRPr="000D5304">
              <w:t>3.60</w:t>
            </w:r>
          </w:p>
        </w:tc>
      </w:tr>
    </w:tbl>
    <w:p w14:paraId="46821DD0" w14:textId="77777777" w:rsidR="008E05C1" w:rsidRDefault="008E05C1" w:rsidP="000D5304"/>
    <w:p w14:paraId="51DAC88D" w14:textId="5000B73A" w:rsidR="000D5304" w:rsidRPr="000D5304" w:rsidRDefault="000D5304" w:rsidP="008E05C1">
      <w:pPr>
        <w:pStyle w:val="Heading2"/>
      </w:pPr>
      <w:r w:rsidRPr="000D5304">
        <w:t>2.3. Evaluation of radiation dose</w:t>
      </w:r>
    </w:p>
    <w:p w14:paraId="514CA6BC" w14:textId="77777777" w:rsidR="000D5304" w:rsidRPr="0042636C" w:rsidRDefault="000D5304" w:rsidP="008E05C1">
      <w:pPr>
        <w:pStyle w:val="Heading3"/>
        <w:rPr>
          <w:i/>
          <w:iCs/>
        </w:rPr>
      </w:pPr>
      <w:r w:rsidRPr="0042636C">
        <w:rPr>
          <w:i/>
          <w:iCs/>
        </w:rPr>
        <w:t>2.3.1. Estimates with Dose Length Product </w:t>
      </w:r>
    </w:p>
    <w:p w14:paraId="04A54827" w14:textId="3440F442" w:rsidR="000D5304" w:rsidRPr="000D5304" w:rsidRDefault="000D5304" w:rsidP="000D5304">
      <w:r w:rsidRPr="000D5304">
        <w:t>The dose reduction was first calculated in terms of percent change of Dose Length Product (DLP). The DLP, by definition, depends on both the z-scan-length and Volumetric CT Dose Index (</w:t>
      </w:r>
      <w:proofErr w:type="spellStart"/>
      <w:r w:rsidRPr="000D5304">
        <w:t>CTDI</w:t>
      </w:r>
      <w:r w:rsidRPr="000D5304">
        <w:rPr>
          <w:vertAlign w:val="subscript"/>
        </w:rPr>
        <w:t>vol</w:t>
      </w:r>
      <w:proofErr w:type="spellEnd"/>
      <w:r w:rsidRPr="000D5304">
        <w:t xml:space="preserve">). The </w:t>
      </w:r>
      <w:proofErr w:type="spellStart"/>
      <w:r w:rsidRPr="000D5304">
        <w:t>CTDI</w:t>
      </w:r>
      <w:r w:rsidRPr="000D5304">
        <w:rPr>
          <w:vertAlign w:val="subscript"/>
        </w:rPr>
        <w:t>vol</w:t>
      </w:r>
      <w:proofErr w:type="spellEnd"/>
      <w:r w:rsidRPr="000D5304">
        <w:t xml:space="preserve"> is a measure of the scanner output, and accounts for the photons emitted by the x-ray source, which are proportional to the tube current. When tube current modulation (TCM) is applied, the tube current varies depending on slice position. In this case, the </w:t>
      </w:r>
      <w:proofErr w:type="spellStart"/>
      <w:r w:rsidRPr="000D5304">
        <w:t>CTDI</w:t>
      </w:r>
      <w:r w:rsidRPr="000D5304">
        <w:rPr>
          <w:vertAlign w:val="subscript"/>
        </w:rPr>
        <w:t>vol</w:t>
      </w:r>
      <w:proofErr w:type="spellEnd"/>
      <w:r w:rsidRPr="000D5304">
        <w:t> accounts for the average tube current across the whole scanned volume</w:t>
      </w:r>
      <w:r w:rsidRPr="00153CB4">
        <w:rPr>
          <w:vertAlign w:val="superscript"/>
        </w:rPr>
        <w:t>15</w:t>
      </w:r>
      <w:r w:rsidRPr="000D5304">
        <w:t>. Therefore, the % DLP reduction is calculated as:</w:t>
      </w:r>
    </w:p>
    <w:p w14:paraId="53CDA914" w14:textId="2B1076E7" w:rsidR="000D5304" w:rsidRPr="00BD220D" w:rsidRDefault="002E52EF" w:rsidP="000D5304">
      <w:pPr>
        <w:rPr>
          <w:sz w:val="28"/>
          <w:szCs w:val="28"/>
        </w:rPr>
      </w:pPr>
      <m:oMathPara>
        <m:oMath>
          <m:sSub>
            <m:sSubPr>
              <m:ctrlPr>
                <w:rPr>
                  <w:rFonts w:ascii="Cambria Math" w:hAnsi="Cambria Math"/>
                  <w:iCs/>
                  <w:sz w:val="28"/>
                  <w:szCs w:val="28"/>
                </w:rPr>
              </m:ctrlPr>
            </m:sSubPr>
            <m:e>
              <m:r>
                <m:rPr>
                  <m:sty m:val="p"/>
                </m:rPr>
                <w:rPr>
                  <w:rFonts w:ascii="Cambria Math" w:hAnsi="Cambria Math"/>
                  <w:sz w:val="28"/>
                  <w:szCs w:val="28"/>
                </w:rPr>
                <m:t>DoseReduction</m:t>
              </m:r>
            </m:e>
            <m:sub>
              <m:r>
                <m:rPr>
                  <m:sty m:val="p"/>
                </m:rPr>
                <w:rPr>
                  <w:rFonts w:ascii="Cambria Math" w:hAnsi="Cambria Math"/>
                  <w:sz w:val="28"/>
                  <w:szCs w:val="28"/>
                </w:rPr>
                <m:t>DLP</m:t>
              </m:r>
            </m:sub>
          </m:sSub>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FullScanLength-</m:t>
              </m:r>
              <m:f>
                <m:fPr>
                  <m:ctrlPr>
                    <w:rPr>
                      <w:rFonts w:ascii="Cambria Math" w:hAnsi="Cambria Math"/>
                      <w:i/>
                      <w:sz w:val="28"/>
                      <w:szCs w:val="28"/>
                    </w:rPr>
                  </m:ctrlPr>
                </m:fPr>
                <m:num>
                  <m:r>
                    <w:rPr>
                      <w:rFonts w:ascii="Cambria Math" w:hAnsi="Cambria Math"/>
                      <w:sz w:val="28"/>
                      <w:szCs w:val="28"/>
                    </w:rPr>
                    <m:t>TCMreduced</m:t>
                  </m:r>
                </m:num>
                <m:den>
                  <m:r>
                    <w:rPr>
                      <w:rFonts w:ascii="Cambria Math" w:hAnsi="Cambria Math"/>
                      <w:sz w:val="28"/>
                      <w:szCs w:val="28"/>
                    </w:rPr>
                    <m:t>TCMfull</m:t>
                  </m:r>
                </m:den>
              </m:f>
              <m:r>
                <w:rPr>
                  <w:rFonts w:ascii="Cambria Math" w:hAnsi="Cambria Math"/>
                  <w:sz w:val="28"/>
                  <w:szCs w:val="28"/>
                </w:rPr>
                <m:t>*ReducedScanLength</m:t>
              </m:r>
            </m:num>
            <m:den>
              <m:r>
                <w:rPr>
                  <w:rFonts w:ascii="Cambria Math" w:hAnsi="Cambria Math"/>
                  <w:sz w:val="28"/>
                  <w:szCs w:val="28"/>
                </w:rPr>
                <m:t>FullScanLength</m:t>
              </m:r>
            </m:den>
          </m:f>
          <m:r>
            <w:rPr>
              <w:rFonts w:ascii="Cambria Math" w:hAnsi="Cambria Math"/>
              <w:sz w:val="28"/>
              <w:szCs w:val="28"/>
            </w:rPr>
            <m:t>*100</m:t>
          </m:r>
        </m:oMath>
      </m:oMathPara>
    </w:p>
    <w:p w14:paraId="13DC44DA" w14:textId="77777777" w:rsidR="000D5304" w:rsidRPr="000D5304" w:rsidRDefault="000D5304" w:rsidP="000D5304">
      <w:r w:rsidRPr="000D5304">
        <w:lastRenderedPageBreak/>
        <w:t>Where </w:t>
      </w:r>
      <w:proofErr w:type="spellStart"/>
      <w:r w:rsidRPr="000D5304">
        <w:rPr>
          <w:i/>
          <w:iCs/>
        </w:rPr>
        <w:t>FullScanLength</w:t>
      </w:r>
      <w:proofErr w:type="spellEnd"/>
      <w:r w:rsidRPr="000D5304">
        <w:t> = (</w:t>
      </w:r>
      <w:proofErr w:type="spellStart"/>
      <w:r w:rsidRPr="000D5304">
        <w:rPr>
          <w:i/>
          <w:iCs/>
        </w:rPr>
        <w:t>nSlices</w:t>
      </w:r>
      <w:proofErr w:type="spellEnd"/>
      <w:r w:rsidRPr="000D5304">
        <w:t> − 1) * </w:t>
      </w:r>
      <w:proofErr w:type="spellStart"/>
      <w:r w:rsidRPr="000D5304">
        <w:rPr>
          <w:i/>
          <w:iCs/>
        </w:rPr>
        <w:t>dimZ</w:t>
      </w:r>
      <w:proofErr w:type="spellEnd"/>
      <w:r w:rsidRPr="000D5304">
        <w:t> and </w:t>
      </w:r>
      <w:proofErr w:type="spellStart"/>
      <w:r w:rsidRPr="000D5304">
        <w:rPr>
          <w:i/>
          <w:iCs/>
        </w:rPr>
        <w:t>ReducedScanLength</w:t>
      </w:r>
      <w:proofErr w:type="spellEnd"/>
      <w:r w:rsidRPr="000D5304">
        <w:t> = (</w:t>
      </w:r>
      <w:proofErr w:type="spellStart"/>
      <w:r w:rsidRPr="000D5304">
        <w:rPr>
          <w:i/>
          <w:iCs/>
        </w:rPr>
        <w:t>z</w:t>
      </w:r>
      <w:r w:rsidRPr="000D5304">
        <w:rPr>
          <w:i/>
          <w:iCs/>
          <w:vertAlign w:val="subscript"/>
        </w:rPr>
        <w:t>AorticArch</w:t>
      </w:r>
      <w:proofErr w:type="spellEnd"/>
      <w:r w:rsidRPr="000D5304">
        <w:t> − </w:t>
      </w:r>
      <w:proofErr w:type="spellStart"/>
      <w:r w:rsidRPr="000D5304">
        <w:rPr>
          <w:i/>
          <w:iCs/>
        </w:rPr>
        <w:t>z</w:t>
      </w:r>
      <w:r w:rsidRPr="000D5304">
        <w:rPr>
          <w:i/>
          <w:iCs/>
          <w:vertAlign w:val="subscript"/>
        </w:rPr>
        <w:t>DiaphragmaticDome</w:t>
      </w:r>
      <w:proofErr w:type="spellEnd"/>
      <w:r w:rsidRPr="000D5304">
        <w:t>) * </w:t>
      </w:r>
      <w:proofErr w:type="spellStart"/>
      <w:r w:rsidRPr="000D5304">
        <w:rPr>
          <w:i/>
          <w:iCs/>
        </w:rPr>
        <w:t>dimZ</w:t>
      </w:r>
      <w:proofErr w:type="spellEnd"/>
      <w:r w:rsidRPr="000D5304">
        <w:t>; </w:t>
      </w:r>
      <w:proofErr w:type="spellStart"/>
      <w:r w:rsidRPr="000D5304">
        <w:rPr>
          <w:i/>
          <w:iCs/>
        </w:rPr>
        <w:t>nSlices</w:t>
      </w:r>
      <w:proofErr w:type="spellEnd"/>
      <w:r w:rsidRPr="000D5304">
        <w:t> is the number of image slices, </w:t>
      </w:r>
      <w:proofErr w:type="spellStart"/>
      <w:r w:rsidRPr="000D5304">
        <w:rPr>
          <w:i/>
          <w:iCs/>
        </w:rPr>
        <w:t>dimZ</w:t>
      </w:r>
      <w:proofErr w:type="spellEnd"/>
      <w:r w:rsidRPr="000D5304">
        <w:t> is the slice thickness, </w:t>
      </w:r>
      <w:proofErr w:type="spellStart"/>
      <w:r w:rsidRPr="000D5304">
        <w:rPr>
          <w:i/>
          <w:iCs/>
        </w:rPr>
        <w:t>z</w:t>
      </w:r>
      <w:r w:rsidRPr="000D5304">
        <w:rPr>
          <w:i/>
          <w:iCs/>
          <w:vertAlign w:val="subscript"/>
        </w:rPr>
        <w:t>AorticArch</w:t>
      </w:r>
      <w:proofErr w:type="spellEnd"/>
      <w:r w:rsidRPr="000D5304">
        <w:t> and </w:t>
      </w:r>
      <w:proofErr w:type="spellStart"/>
      <w:r w:rsidRPr="000D5304">
        <w:rPr>
          <w:i/>
          <w:iCs/>
        </w:rPr>
        <w:t>z</w:t>
      </w:r>
      <w:r w:rsidRPr="000D5304">
        <w:rPr>
          <w:i/>
          <w:iCs/>
          <w:vertAlign w:val="subscript"/>
        </w:rPr>
        <w:t>DiaphragmaticDome</w:t>
      </w:r>
      <w:proofErr w:type="spellEnd"/>
      <w:r w:rsidRPr="000D5304">
        <w:t> are the </w:t>
      </w:r>
      <w:r w:rsidRPr="000D5304">
        <w:rPr>
          <w:i/>
          <w:iCs/>
        </w:rPr>
        <w:t>z</w:t>
      </w:r>
      <w:r w:rsidRPr="000D5304">
        <w:t> location of the top of the aortic arch and of the left hemidiaphragm, respectively.</w:t>
      </w:r>
    </w:p>
    <w:p w14:paraId="044A17D8" w14:textId="203805DE" w:rsidR="000D5304" w:rsidRPr="000D5304" w:rsidRDefault="0042636C" w:rsidP="000D5304">
      <m:oMath>
        <m:f>
          <m:fPr>
            <m:ctrlPr>
              <w:rPr>
                <w:rFonts w:ascii="Cambria Math" w:hAnsi="Cambria Math"/>
                <w:i/>
              </w:rPr>
            </m:ctrlPr>
          </m:fPr>
          <m:num>
            <m:r>
              <w:rPr>
                <w:rFonts w:ascii="Cambria Math" w:hAnsi="Cambria Math"/>
              </w:rPr>
              <m:t>TCMreduced</m:t>
            </m:r>
          </m:num>
          <m:den>
            <m:r>
              <w:rPr>
                <w:rFonts w:ascii="Cambria Math" w:hAnsi="Cambria Math"/>
              </w:rPr>
              <m:t>TCMfull</m:t>
            </m:r>
          </m:den>
        </m:f>
      </m:oMath>
      <w:r>
        <w:t xml:space="preserve"> </w:t>
      </w:r>
      <w:r w:rsidR="000D5304" w:rsidRPr="000D5304">
        <w:t>accounts for the different average tube current for the reduced z-scan-length and the full z-scan-length, and both were calculated from the TCM profiles, that were generated by a previously validated custom MATLAB program</w:t>
      </w:r>
      <w:r w:rsidR="000D5304" w:rsidRPr="00153CB4">
        <w:rPr>
          <w:vertAlign w:val="superscript"/>
        </w:rPr>
        <w:t>16</w:t>
      </w:r>
      <w:r w:rsidR="000D5304" w:rsidRPr="000D5304">
        <w:t xml:space="preserve"> (</w:t>
      </w:r>
      <w:proofErr w:type="spellStart"/>
      <w:r w:rsidR="000D5304" w:rsidRPr="000D5304">
        <w:t>SmartmA</w:t>
      </w:r>
      <w:proofErr w:type="spellEnd"/>
      <w:r w:rsidR="000D5304" w:rsidRPr="000D5304">
        <w:t>, GE Healthcare, Chicago IL). The MATLAB routine is a proprietary model that takes as input the noise index and the scout and generates angular and longitudinal TCM profiles based on object attenuation, shape, and the desired noise index.</w:t>
      </w:r>
    </w:p>
    <w:p w14:paraId="2981793C" w14:textId="77777777" w:rsidR="000D5304" w:rsidRPr="000D5304" w:rsidRDefault="000D5304" w:rsidP="000D5304">
      <w:r w:rsidRPr="000D5304">
        <w:t>If the tube current were constant throughout the scan, the dose reduction calculated by means of the DLP would be affected only by the scan length reduction. However, since tube current modulation is applied, the average tube current decreases by avoiding denser structures than lungs, such as shoulders and upper abdomen, and the above considerations are needed.</w:t>
      </w:r>
    </w:p>
    <w:p w14:paraId="6714BC60" w14:textId="77777777" w:rsidR="000D5304" w:rsidRPr="0042636C" w:rsidRDefault="000D5304" w:rsidP="0042636C">
      <w:pPr>
        <w:pStyle w:val="Heading3"/>
        <w:rPr>
          <w:i/>
          <w:iCs/>
        </w:rPr>
      </w:pPr>
      <w:r w:rsidRPr="0042636C">
        <w:rPr>
          <w:i/>
          <w:iCs/>
        </w:rPr>
        <w:t>2.3.2. Estimates with PREDICT </w:t>
      </w:r>
    </w:p>
    <w:p w14:paraId="218B96F4" w14:textId="4F2FAFAB" w:rsidR="000D5304" w:rsidRPr="000D5304" w:rsidRDefault="000D5304" w:rsidP="000D5304">
      <w:r w:rsidRPr="000D5304">
        <w:t xml:space="preserve">Personalized Rapid Estimation of Dose in CT (PREDICT) tool is a fast and patient-specific estimator of computational dose maps and organ doses. It is a research tool developed </w:t>
      </w:r>
      <w:proofErr w:type="gramStart"/>
      <w:r w:rsidRPr="000D5304">
        <w:t>though</w:t>
      </w:r>
      <w:proofErr w:type="gramEnd"/>
      <w:r w:rsidRPr="000D5304">
        <w:t xml:space="preserve"> a collaboration of several academic institutions and Varian Medical Systems and combines a finite element solver for radiation dose maps generation with deep learning algorithms for organ segmentation</w:t>
      </w:r>
      <w:r w:rsidRPr="00153CB4">
        <w:rPr>
          <w:vertAlign w:val="superscript"/>
        </w:rPr>
        <w:t>17–19</w:t>
      </w:r>
      <w:r w:rsidRPr="000D5304">
        <w:t>. Control of the data for this study was held by authors without a conflict of interest. The deep learning segmentation algorithms used by PREDICT have, to date, been trained on pediatric patients through age 16. A study was performed to validate that the deep learning segmentation models used by PREDICT provide sufficient accuracy for the adult subjects in the current study, with esophagus being the most challenging organ to segment. This validation study is described in </w:t>
      </w:r>
      <w:r w:rsidRPr="00153CB4">
        <w:t>Appendix A</w:t>
      </w:r>
      <w:r w:rsidRPr="000D5304">
        <w:t>. PREDICT takes as input the images from the CT examination and scanner-specific specifications, and outputs the radiation dose to several organs.</w:t>
      </w:r>
    </w:p>
    <w:p w14:paraId="032ACD96" w14:textId="16842CAF" w:rsidR="000D5304" w:rsidRPr="000D5304" w:rsidRDefault="000D5304" w:rsidP="000D5304">
      <w:r w:rsidRPr="000D5304">
        <w:t>The organs or tissues considered were lungs, breasts, esophagus, heart, bone marrow, and bone surface. The bowtie filter model, the overrange collimation, the tube current modulation (TCM), and spectral distribution of the x-ray beam, which are required for PREDICT, were not available from the MIDRC-RICORD dataset. The scanner type was not available for some of the patients. Therefore, this study modeled all patients as being scanned on a GE Discovery 750 HD (GE Healthcare) scanner, using a model that was previously validated as part of the PREDICT tool</w:t>
      </w:r>
      <w:r w:rsidRPr="00153CB4">
        <w:rPr>
          <w:vertAlign w:val="superscript"/>
        </w:rPr>
        <w:t>17, 18, 20</w:t>
      </w:r>
      <w:r w:rsidRPr="000D5304">
        <w:t xml:space="preserve">. For all 74 patient cases, a 120 </w:t>
      </w:r>
      <w:proofErr w:type="spellStart"/>
      <w:r w:rsidRPr="000D5304">
        <w:t>kVp</w:t>
      </w:r>
      <w:proofErr w:type="spellEnd"/>
      <w:r w:rsidRPr="000D5304">
        <w:t xml:space="preserve"> beam with large (body) bowtie filter was modeled. PREDICT modeled all patients as scanned helically with a pitch of 0.9844 and nominal collimation of 40 mm.</w:t>
      </w:r>
    </w:p>
    <w:p w14:paraId="362E65B4" w14:textId="1A18EDEF" w:rsidR="000D5304" w:rsidRPr="00153CB4" w:rsidRDefault="000D5304" w:rsidP="000D5304">
      <w:r w:rsidRPr="000D5304">
        <w:t>For the tube current modulation, information on the noise index selected prior to the CT examination was not available. The standard deviation from the CT numbers of a region of surface of 5 cm</w:t>
      </w:r>
      <w:r w:rsidRPr="000D5304">
        <w:rPr>
          <w:vertAlign w:val="superscript"/>
        </w:rPr>
        <w:t>2</w:t>
      </w:r>
      <w:r w:rsidRPr="000D5304">
        <w:t> at the center of the heart was then used to estimate the noise index. The TCM profiles, generated both for the full z-scan-length and for the reduced z-scan-length of the chest protocols, were used to scale the spectral distribution exiting the source for each z-position (</w:t>
      </w:r>
      <w:r w:rsidRPr="00153CB4">
        <w:t>Figure 2</w:t>
      </w:r>
      <w:r w:rsidRPr="000D5304">
        <w:t>).</w:t>
      </w:r>
    </w:p>
    <w:p w14:paraId="2D007C37" w14:textId="43EF6CC8" w:rsidR="000D5304" w:rsidRPr="00153CB4" w:rsidRDefault="000D5304" w:rsidP="0042636C">
      <w:pPr>
        <w:pStyle w:val="NoSpacing"/>
      </w:pPr>
      <w:r w:rsidRPr="00153CB4">
        <w:rPr>
          <w:noProof/>
        </w:rPr>
        <w:lastRenderedPageBreak/>
        <w:drawing>
          <wp:inline distT="0" distB="0" distL="0" distR="0" wp14:anchorId="476BBC09" wp14:editId="280D3A64">
            <wp:extent cx="2743200" cy="2194560"/>
            <wp:effectExtent l="0" t="0" r="0" b="0"/>
            <wp:docPr id="615476801" name="Picture 8">
              <a:hlinkClick xmlns:a="http://schemas.openxmlformats.org/drawingml/2006/main" r:id="rId14" tgtFrame="&quot;figure&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5476801" name="Picture 8">
                      <a:hlinkClick r:id="rId14" tgtFrame="&quot;figure&quot;"/>
                      <a:extLst>
                        <a:ext uri="{C183D7F6-B498-43B3-948B-1728B52AA6E4}">
                          <adec:decorative xmlns:adec="http://schemas.microsoft.com/office/drawing/2017/decorative" val="1"/>
                        </a:ext>
                      </a:extLst>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743200" cy="2194560"/>
                    </a:xfrm>
                    <a:prstGeom prst="rect">
                      <a:avLst/>
                    </a:prstGeom>
                    <a:noFill/>
                    <a:ln>
                      <a:noFill/>
                    </a:ln>
                  </pic:spPr>
                </pic:pic>
              </a:graphicData>
            </a:graphic>
          </wp:inline>
        </w:drawing>
      </w:r>
    </w:p>
    <w:p w14:paraId="7E39630E" w14:textId="6D07E22F" w:rsidR="000D5304" w:rsidRPr="000D5304" w:rsidRDefault="000D5304" w:rsidP="000D5304">
      <w:r w:rsidRPr="00153CB4">
        <w:t>Figure 2.</w:t>
      </w:r>
      <w:r w:rsidR="0042636C">
        <w:rPr>
          <w:rStyle w:val="Hyperlink"/>
        </w:rPr>
        <w:t xml:space="preserve"> </w:t>
      </w:r>
      <w:r w:rsidRPr="000D5304">
        <w:t>Longitudinal (in blue) tube current modulation profile and delimitation lines of the reduced z-scan-length (in green), overlapped to a computationally generated scout image for one of the studied cases.</w:t>
      </w:r>
    </w:p>
    <w:p w14:paraId="7A99FB61" w14:textId="77777777" w:rsidR="000D5304" w:rsidRPr="000D5304" w:rsidRDefault="000D5304" w:rsidP="000D5304">
      <w:r w:rsidRPr="000D5304">
        <w:t>Dose maps and organ doses were estimated for full z-scan-length and reduced z-scan-length using the PREDICT tool. To quantify the dose reduction, the % dose difference for the contoured organs (heart, breasts, lungs, esophagus, bone surface and bone marrow) was computed as:</w:t>
      </w:r>
    </w:p>
    <w:p w14:paraId="004DBCA4" w14:textId="6CF7AA20" w:rsidR="000D5304" w:rsidRPr="00021994" w:rsidRDefault="00021994" w:rsidP="000D5304">
      <w:pPr>
        <w:rPr>
          <w:sz w:val="28"/>
          <w:szCs w:val="28"/>
        </w:rPr>
      </w:pPr>
      <m:oMathPara>
        <m:oMath>
          <m:sSub>
            <m:sSubPr>
              <m:ctrlPr>
                <w:rPr>
                  <w:rFonts w:ascii="Cambria Math" w:hAnsi="Cambria Math"/>
                  <w:iCs/>
                  <w:sz w:val="28"/>
                  <w:szCs w:val="28"/>
                </w:rPr>
              </m:ctrlPr>
            </m:sSubPr>
            <m:e>
              <m:r>
                <m:rPr>
                  <m:sty m:val="p"/>
                </m:rPr>
                <w:rPr>
                  <w:rFonts w:ascii="Cambria Math" w:hAnsi="Cambria Math"/>
                  <w:sz w:val="28"/>
                  <w:szCs w:val="28"/>
                </w:rPr>
                <m:t>OrganDoseReduction</m:t>
              </m:r>
            </m:e>
            <m:sub>
              <m:r>
                <m:rPr>
                  <m:sty m:val="p"/>
                </m:rPr>
                <w:rPr>
                  <w:rFonts w:ascii="Cambria Math" w:hAnsi="Cambria Math"/>
                  <w:sz w:val="28"/>
                  <w:szCs w:val="28"/>
                </w:rPr>
                <m:t>PREDICT</m:t>
              </m:r>
            </m:sub>
          </m:sSub>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OrganDose</m:t>
                  </m:r>
                </m:e>
                <m:sub>
                  <m:r>
                    <w:rPr>
                      <w:rFonts w:ascii="Cambria Math" w:hAnsi="Cambria Math"/>
                      <w:sz w:val="28"/>
                      <w:szCs w:val="28"/>
                    </w:rPr>
                    <m:t>FullScanLength</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OrganDose</m:t>
                  </m:r>
                </m:e>
                <m:sub>
                  <m:r>
                    <w:rPr>
                      <w:rFonts w:ascii="Cambria Math" w:hAnsi="Cambria Math"/>
                      <w:sz w:val="28"/>
                      <w:szCs w:val="28"/>
                    </w:rPr>
                    <m:t>ReducedScanLength</m:t>
                  </m:r>
                </m:sub>
              </m:sSub>
            </m:num>
            <m:den>
              <m:sSub>
                <m:sSubPr>
                  <m:ctrlPr>
                    <w:rPr>
                      <w:rFonts w:ascii="Cambria Math" w:hAnsi="Cambria Math"/>
                      <w:i/>
                      <w:sz w:val="28"/>
                      <w:szCs w:val="28"/>
                    </w:rPr>
                  </m:ctrlPr>
                </m:sSubPr>
                <m:e>
                  <m:r>
                    <w:rPr>
                      <w:rFonts w:ascii="Cambria Math" w:hAnsi="Cambria Math"/>
                      <w:sz w:val="28"/>
                      <w:szCs w:val="28"/>
                    </w:rPr>
                    <m:t>OrganDoseFull</m:t>
                  </m:r>
                </m:e>
                <m:sub>
                  <m:r>
                    <w:rPr>
                      <w:rFonts w:ascii="Cambria Math" w:hAnsi="Cambria Math"/>
                      <w:sz w:val="28"/>
                      <w:szCs w:val="28"/>
                    </w:rPr>
                    <m:t>ScanLength</m:t>
                  </m:r>
                </m:sub>
              </m:sSub>
            </m:den>
          </m:f>
          <m:r>
            <w:rPr>
              <w:rFonts w:ascii="Cambria Math" w:hAnsi="Cambria Math"/>
              <w:sz w:val="28"/>
              <w:szCs w:val="28"/>
            </w:rPr>
            <m:t>*100</m:t>
          </m:r>
        </m:oMath>
      </m:oMathPara>
    </w:p>
    <w:p w14:paraId="414A918E" w14:textId="7FB05BB7" w:rsidR="000D5304" w:rsidRPr="000D5304" w:rsidRDefault="000D5304" w:rsidP="000D5304">
      <w:r w:rsidRPr="000D5304">
        <w:t>Where </w:t>
      </w:r>
      <w:proofErr w:type="spellStart"/>
      <w:r w:rsidRPr="000D5304">
        <w:rPr>
          <w:i/>
          <w:iCs/>
        </w:rPr>
        <w:t>OrganDose</w:t>
      </w:r>
      <w:r w:rsidRPr="000D5304">
        <w:rPr>
          <w:i/>
          <w:iCs/>
          <w:vertAlign w:val="subscript"/>
        </w:rPr>
        <w:t>FullScanLength</w:t>
      </w:r>
      <w:proofErr w:type="spellEnd"/>
      <w:r w:rsidRPr="000D5304">
        <w:t> and </w:t>
      </w:r>
      <w:proofErr w:type="spellStart"/>
      <w:r w:rsidRPr="000D5304">
        <w:rPr>
          <w:i/>
          <w:iCs/>
        </w:rPr>
        <w:t>OrganDose</w:t>
      </w:r>
      <w:r w:rsidRPr="000D5304">
        <w:rPr>
          <w:i/>
          <w:iCs/>
          <w:vertAlign w:val="subscript"/>
        </w:rPr>
        <w:t>ReducedScanLength</w:t>
      </w:r>
      <w:proofErr w:type="spellEnd"/>
      <w:r w:rsidRPr="000D5304">
        <w:t> are the organ dose values for full z-scan-length and reduced z-scan-length using the PREDICT tool, respectively.</w:t>
      </w:r>
    </w:p>
    <w:p w14:paraId="64BED458" w14:textId="77777777" w:rsidR="000D5304" w:rsidRPr="000D5304" w:rsidRDefault="000D5304" w:rsidP="000D5304">
      <w:r w:rsidRPr="000D5304">
        <w:t>A Wilcoxon rank-sum test (Mann-Whitney U test) for all organ doses was performed for the null hypothesis that the organ doses estimated for full z-scan-length and reduced z-scan-length come from distributions with equal medians, where a p-value less than 0.05 is statistically significant.</w:t>
      </w:r>
    </w:p>
    <w:p w14:paraId="07E52171" w14:textId="77777777" w:rsidR="000D5304" w:rsidRPr="000D5304" w:rsidRDefault="000D5304" w:rsidP="00453CAE">
      <w:pPr>
        <w:pStyle w:val="Heading2"/>
      </w:pPr>
      <w:r w:rsidRPr="000D5304">
        <w:t>2.4. Evaluation of diagnostic accuracy</w:t>
      </w:r>
    </w:p>
    <w:p w14:paraId="7C40ADFC" w14:textId="67681971" w:rsidR="000D5304" w:rsidRPr="000D5304" w:rsidRDefault="000D5304" w:rsidP="000D5304">
      <w:r w:rsidRPr="000D5304">
        <w:t xml:space="preserve">The MIDRC-RICORD dataset includes expert annotations as discrete segmented areas labeled as “infectious opacities”. Vertices of each of the identified “infectious opacities” are available in the </w:t>
      </w:r>
      <w:proofErr w:type="spellStart"/>
      <w:r w:rsidRPr="000D5304">
        <w:t>dataframe</w:t>
      </w:r>
      <w:proofErr w:type="spellEnd"/>
      <w:r w:rsidRPr="000D5304">
        <w:t>. We defined polygons from the vertices and reconstructed the opacity contours as binary masks (</w:t>
      </w:r>
      <w:r w:rsidRPr="00153CB4">
        <w:t>Figure 3</w:t>
      </w:r>
      <w:r w:rsidRPr="000D5304">
        <w:t xml:space="preserve">). Binary masks were considered </w:t>
      </w:r>
      <w:proofErr w:type="gramStart"/>
      <w:r w:rsidRPr="000D5304">
        <w:t>as belonging to</w:t>
      </w:r>
      <w:proofErr w:type="gramEnd"/>
      <w:r w:rsidRPr="000D5304">
        <w:t xml:space="preserve"> the same opacity if they were contiguous along the z-axis. For the reduced z-scan-length exams, opacities that were completely outside the limits of the exam were considered excluded from the reduced scan-length.</w:t>
      </w:r>
    </w:p>
    <w:p w14:paraId="585F96C1" w14:textId="2F0C85FC" w:rsidR="000D5304" w:rsidRPr="00153CB4" w:rsidRDefault="000D5304" w:rsidP="009407E2">
      <w:pPr>
        <w:pStyle w:val="NoSpacing"/>
      </w:pPr>
    </w:p>
    <w:p w14:paraId="0CE2283F" w14:textId="1772ED76" w:rsidR="000D5304" w:rsidRPr="00153CB4" w:rsidRDefault="000D5304" w:rsidP="009407E2">
      <w:pPr>
        <w:pStyle w:val="NoSpacing"/>
      </w:pPr>
      <w:r w:rsidRPr="00153CB4">
        <w:rPr>
          <w:noProof/>
        </w:rPr>
        <w:lastRenderedPageBreak/>
        <w:drawing>
          <wp:inline distT="0" distB="0" distL="0" distR="0" wp14:anchorId="0B197E96" wp14:editId="1E85DA02">
            <wp:extent cx="2743200" cy="2962656"/>
            <wp:effectExtent l="0" t="0" r="0" b="9525"/>
            <wp:docPr id="513240346" name="Picture 7">
              <a:hlinkClick xmlns:a="http://schemas.openxmlformats.org/drawingml/2006/main" r:id="rId16" tgtFrame="&quot;tileshopwindow&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3240346" name="Picture 7">
                      <a:hlinkClick r:id="rId16" tgtFrame="&quot;tileshopwindow&quot;"/>
                      <a:extLst>
                        <a:ext uri="{C183D7F6-B498-43B3-948B-1728B52AA6E4}">
                          <adec:decorative xmlns:adec="http://schemas.microsoft.com/office/drawing/2017/decorative" val="1"/>
                        </a:ext>
                      </a:extLst>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743200" cy="2962656"/>
                    </a:xfrm>
                    <a:prstGeom prst="rect">
                      <a:avLst/>
                    </a:prstGeom>
                    <a:noFill/>
                    <a:ln>
                      <a:noFill/>
                    </a:ln>
                  </pic:spPr>
                </pic:pic>
              </a:graphicData>
            </a:graphic>
          </wp:inline>
        </w:drawing>
      </w:r>
    </w:p>
    <w:p w14:paraId="5B2EA505" w14:textId="60F12821" w:rsidR="000D5304" w:rsidRPr="000D5304" w:rsidRDefault="000D5304" w:rsidP="009407E2">
      <w:pPr>
        <w:pStyle w:val="NoSpacing"/>
      </w:pPr>
      <w:r w:rsidRPr="00153CB4">
        <w:rPr>
          <w:noProof/>
        </w:rPr>
        <w:drawing>
          <wp:inline distT="0" distB="0" distL="0" distR="0" wp14:anchorId="6C1A07BF" wp14:editId="100943BD">
            <wp:extent cx="2743200" cy="1892808"/>
            <wp:effectExtent l="0" t="0" r="0" b="0"/>
            <wp:docPr id="1875761660" name="Picture 6">
              <a:hlinkClick xmlns:a="http://schemas.openxmlformats.org/drawingml/2006/main" r:id="rId18" tgtFrame="&quot;tileshopwindow&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5761660" name="Picture 6">
                      <a:hlinkClick r:id="rId18" tgtFrame="&quot;tileshopwindow&quot;"/>
                      <a:extLst>
                        <a:ext uri="{C183D7F6-B498-43B3-948B-1728B52AA6E4}">
                          <adec:decorative xmlns:adec="http://schemas.microsoft.com/office/drawing/2017/decorative" val="1"/>
                        </a:ext>
                      </a:extLst>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743200" cy="1892808"/>
                    </a:xfrm>
                    <a:prstGeom prst="rect">
                      <a:avLst/>
                    </a:prstGeom>
                    <a:noFill/>
                    <a:ln>
                      <a:noFill/>
                    </a:ln>
                  </pic:spPr>
                </pic:pic>
              </a:graphicData>
            </a:graphic>
          </wp:inline>
        </w:drawing>
      </w:r>
    </w:p>
    <w:p w14:paraId="277D8A22" w14:textId="065AB57D" w:rsidR="000D5304" w:rsidRPr="00153CB4" w:rsidRDefault="000D5304" w:rsidP="009407E2">
      <w:pPr>
        <w:pStyle w:val="NoSpacing"/>
      </w:pPr>
    </w:p>
    <w:p w14:paraId="1629019C" w14:textId="348C530C" w:rsidR="000D5304" w:rsidRPr="000D5304" w:rsidRDefault="000D5304" w:rsidP="009407E2">
      <w:pPr>
        <w:pStyle w:val="NoSpacing"/>
      </w:pPr>
      <w:r w:rsidRPr="00153CB4">
        <w:rPr>
          <w:noProof/>
        </w:rPr>
        <w:drawing>
          <wp:inline distT="0" distB="0" distL="0" distR="0" wp14:anchorId="3DA820A0" wp14:editId="4E78684D">
            <wp:extent cx="2743200" cy="1883664"/>
            <wp:effectExtent l="0" t="0" r="0" b="2540"/>
            <wp:docPr id="1007166104" name="Picture 5">
              <a:hlinkClick xmlns:a="http://schemas.openxmlformats.org/drawingml/2006/main" r:id="rId20" tgtFrame="&quot;tileshopwindow&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166104" name="Picture 5">
                      <a:hlinkClick r:id="rId20" tgtFrame="&quot;tileshopwindow&quot;"/>
                      <a:extLst>
                        <a:ext uri="{C183D7F6-B498-43B3-948B-1728B52AA6E4}">
                          <adec:decorative xmlns:adec="http://schemas.microsoft.com/office/drawing/2017/decorative" val="1"/>
                        </a:ext>
                      </a:extLst>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743200" cy="1883664"/>
                    </a:xfrm>
                    <a:prstGeom prst="rect">
                      <a:avLst/>
                    </a:prstGeom>
                    <a:noFill/>
                    <a:ln>
                      <a:noFill/>
                    </a:ln>
                  </pic:spPr>
                </pic:pic>
              </a:graphicData>
            </a:graphic>
          </wp:inline>
        </w:drawing>
      </w:r>
    </w:p>
    <w:p w14:paraId="4155FF76" w14:textId="1311FFBB" w:rsidR="000D5304" w:rsidRDefault="000D5304" w:rsidP="009407E2">
      <w:pPr>
        <w:pStyle w:val="NoSpacing"/>
      </w:pPr>
      <w:r w:rsidRPr="00153CB4">
        <w:t>Figure 3.</w:t>
      </w:r>
      <w:r w:rsidR="009407E2">
        <w:rPr>
          <w:rStyle w:val="Hyperlink"/>
        </w:rPr>
        <w:t xml:space="preserve"> </w:t>
      </w:r>
      <w:r w:rsidRPr="000D5304">
        <w:t>Binary mask example of infectious opacities (a) axial (b) coronal (c) sagittal views of one patient model, with infectious opacities shown in white.</w:t>
      </w:r>
    </w:p>
    <w:p w14:paraId="15FEA20F" w14:textId="77777777" w:rsidR="009407E2" w:rsidRPr="000D5304" w:rsidRDefault="009407E2" w:rsidP="000D5304"/>
    <w:p w14:paraId="1B363646" w14:textId="77777777" w:rsidR="000D5304" w:rsidRPr="000D5304" w:rsidRDefault="000D5304" w:rsidP="000D5304">
      <w:r w:rsidRPr="000D5304">
        <w:t>Impact on diagnostic utility was calculated for each patient </w:t>
      </w:r>
      <w:proofErr w:type="spellStart"/>
      <w:r w:rsidRPr="000D5304">
        <w:rPr>
          <w:i/>
          <w:iCs/>
        </w:rPr>
        <w:t>i</w:t>
      </w:r>
      <w:proofErr w:type="spellEnd"/>
      <w:r w:rsidRPr="000D5304">
        <w:t> as (</w:t>
      </w:r>
      <w:proofErr w:type="spellStart"/>
      <w:r w:rsidRPr="000D5304">
        <w:rPr>
          <w:i/>
          <w:iCs/>
        </w:rPr>
        <w:t>ExcludedOpacities</w:t>
      </w:r>
      <w:r w:rsidRPr="000D5304">
        <w:rPr>
          <w:i/>
          <w:iCs/>
          <w:vertAlign w:val="subscript"/>
        </w:rPr>
        <w:t>i</w:t>
      </w:r>
      <w:proofErr w:type="spellEnd"/>
      <w:r w:rsidRPr="000D5304">
        <w:t> * 100/</w:t>
      </w:r>
      <w:proofErr w:type="spellStart"/>
      <w:r w:rsidRPr="000D5304">
        <w:rPr>
          <w:i/>
          <w:iCs/>
        </w:rPr>
        <w:t>TotalOpacities</w:t>
      </w:r>
      <w:r w:rsidRPr="000D5304">
        <w:rPr>
          <w:i/>
          <w:iCs/>
          <w:vertAlign w:val="subscript"/>
        </w:rPr>
        <w:t>i</w:t>
      </w:r>
      <w:proofErr w:type="spellEnd"/>
      <w:r w:rsidRPr="000D5304">
        <w:t>), and across all studied cases:</w:t>
      </w:r>
    </w:p>
    <w:p w14:paraId="09CCDE32" w14:textId="329483C8" w:rsidR="000D5304" w:rsidRPr="007D7695" w:rsidRDefault="007D7695" w:rsidP="000D5304">
      <w:pPr>
        <w:rPr>
          <w:sz w:val="28"/>
          <w:szCs w:val="28"/>
        </w:rPr>
      </w:pPr>
      <m:oMathPara>
        <m:oMath>
          <m:r>
            <m:rPr>
              <m:sty m:val="p"/>
            </m:rPr>
            <w:rPr>
              <w:rFonts w:ascii="Cambria Math" w:hAnsi="Cambria Math"/>
              <w:sz w:val="28"/>
              <w:szCs w:val="28"/>
            </w:rPr>
            <m:t>ExcludedOpacities</m:t>
          </m:r>
          <m:r>
            <w:rPr>
              <w:rFonts w:ascii="Cambria Math" w:hAnsi="Cambria Math"/>
              <w:sz w:val="28"/>
              <w:szCs w:val="28"/>
            </w:rPr>
            <m:t>(%)=</m:t>
          </m:r>
          <m:f>
            <m:fPr>
              <m:ctrlPr>
                <w:rPr>
                  <w:rFonts w:ascii="Cambria Math" w:hAnsi="Cambria Math"/>
                  <w:i/>
                  <w:sz w:val="28"/>
                  <w:szCs w:val="28"/>
                </w:rPr>
              </m:ctrlPr>
            </m:fPr>
            <m:num>
              <m:nary>
                <m:naryPr>
                  <m:chr m:val="∑"/>
                  <m:limLoc m:val="subSup"/>
                  <m:supHide m:val="1"/>
                  <m:ctrlPr>
                    <w:rPr>
                      <w:rFonts w:ascii="Cambria Math" w:hAnsi="Cambria Math"/>
                      <w:i/>
                      <w:sz w:val="28"/>
                      <w:szCs w:val="28"/>
                    </w:rPr>
                  </m:ctrlPr>
                </m:naryPr>
                <m:sub>
                  <m:r>
                    <w:rPr>
                      <w:rFonts w:ascii="Cambria Math" w:hAnsi="Cambria Math"/>
                      <w:sz w:val="28"/>
                      <w:szCs w:val="28"/>
                    </w:rPr>
                    <m:t>i</m:t>
                  </m:r>
                </m:sub>
                <m:sup/>
                <m:e>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ExcludedOpacities</m:t>
                          </m:r>
                        </m:e>
                        <m:sub>
                          <m:r>
                            <w:rPr>
                              <w:rFonts w:ascii="Cambria Math" w:hAnsi="Cambria Math"/>
                              <w:sz w:val="28"/>
                              <w:szCs w:val="28"/>
                            </w:rPr>
                            <m:t>i</m:t>
                          </m:r>
                        </m:sub>
                      </m:sSub>
                    </m:num>
                    <m:den>
                      <m:sSub>
                        <m:sSubPr>
                          <m:ctrlPr>
                            <w:rPr>
                              <w:rFonts w:ascii="Cambria Math" w:hAnsi="Cambria Math"/>
                              <w:i/>
                              <w:sz w:val="28"/>
                              <w:szCs w:val="28"/>
                            </w:rPr>
                          </m:ctrlPr>
                        </m:sSubPr>
                        <m:e>
                          <m:r>
                            <w:rPr>
                              <w:rFonts w:ascii="Cambria Math" w:hAnsi="Cambria Math"/>
                              <w:sz w:val="28"/>
                              <w:szCs w:val="28"/>
                            </w:rPr>
                            <m:t>TotalOpacities</m:t>
                          </m:r>
                        </m:e>
                        <m:sub>
                          <m:r>
                            <w:rPr>
                              <w:rFonts w:ascii="Cambria Math" w:hAnsi="Cambria Math"/>
                              <w:sz w:val="28"/>
                              <w:szCs w:val="28"/>
                            </w:rPr>
                            <m:t>i</m:t>
                          </m:r>
                        </m:sub>
                      </m:sSub>
                    </m:den>
                  </m:f>
                  <m:r>
                    <w:rPr>
                      <w:rFonts w:ascii="Cambria Math" w:hAnsi="Cambria Math"/>
                      <w:sz w:val="28"/>
                      <w:szCs w:val="28"/>
                    </w:rPr>
                    <m:t>*100</m:t>
                  </m:r>
                </m:e>
              </m:nary>
            </m:num>
            <m:den>
              <m:r>
                <w:rPr>
                  <w:rFonts w:ascii="Cambria Math" w:hAnsi="Cambria Math"/>
                  <w:sz w:val="28"/>
                  <w:szCs w:val="28"/>
                </w:rPr>
                <m:t>#patients</m:t>
              </m:r>
            </m:den>
          </m:f>
        </m:oMath>
      </m:oMathPara>
    </w:p>
    <w:p w14:paraId="0398AABB" w14:textId="77777777" w:rsidR="000D5304" w:rsidRPr="000D5304" w:rsidRDefault="000D5304" w:rsidP="007D7695">
      <w:pPr>
        <w:pStyle w:val="Heading1"/>
      </w:pPr>
      <w:r w:rsidRPr="000D5304">
        <w:lastRenderedPageBreak/>
        <w:t>3.</w:t>
      </w:r>
      <w:r w:rsidRPr="000D5304">
        <w:t> </w:t>
      </w:r>
      <w:r w:rsidRPr="000D5304">
        <w:t>Results</w:t>
      </w:r>
    </w:p>
    <w:p w14:paraId="12DA6F80" w14:textId="77777777" w:rsidR="000D5304" w:rsidRPr="000D5304" w:rsidRDefault="000D5304" w:rsidP="007D7695">
      <w:pPr>
        <w:pStyle w:val="Heading2"/>
      </w:pPr>
      <w:r w:rsidRPr="000D5304">
        <w:t>3.1. Dose reduction</w:t>
      </w:r>
    </w:p>
    <w:p w14:paraId="60F43161" w14:textId="7090E3F5" w:rsidR="000D5304" w:rsidRPr="000D5304" w:rsidRDefault="000D5304" w:rsidP="000D5304">
      <w:r w:rsidRPr="00153CB4">
        <w:t>Table 2</w:t>
      </w:r>
      <w:r w:rsidRPr="000D5304">
        <w:t> shows the dose reduction from reduced z-scan-length exams, as calculated by DLP and by organ specific dose reduction. Median dose reduction by DLP was 68% while median organ dose reduction varied between 17.9% (breasts) and 63.4% – 64.8% (bone marrow - bone surface).</w:t>
      </w:r>
    </w:p>
    <w:p w14:paraId="7C00DC68" w14:textId="27AB32DF" w:rsidR="000D5304" w:rsidRPr="000D5304" w:rsidRDefault="000D5304" w:rsidP="007D7695">
      <w:pPr>
        <w:pStyle w:val="NoSpacing"/>
      </w:pPr>
      <w:r w:rsidRPr="000D5304">
        <w:t>Table 2:</w:t>
      </w:r>
      <w:r w:rsidR="007D7695">
        <w:t xml:space="preserve"> </w:t>
      </w:r>
      <w:r w:rsidRPr="000D5304">
        <w:t xml:space="preserve">Dose reduction from reduced z-scan-length exams compared to standard exam. Statistically significant decreases in dose reduction are indicated by bold and italic fonts. </w:t>
      </w:r>
      <w:proofErr w:type="spellStart"/>
      <w:r w:rsidRPr="000D5304">
        <w:t>Pctl</w:t>
      </w:r>
      <w:proofErr w:type="spellEnd"/>
      <w:r w:rsidRPr="000D5304">
        <w:t>=percentile.</w:t>
      </w:r>
    </w:p>
    <w:tbl>
      <w:tblPr>
        <w:tblStyle w:val="TableGrid"/>
        <w:tblW w:w="0" w:type="auto"/>
        <w:tblLook w:val="04A0" w:firstRow="1" w:lastRow="0" w:firstColumn="1" w:lastColumn="0" w:noHBand="0" w:noVBand="1"/>
      </w:tblPr>
      <w:tblGrid>
        <w:gridCol w:w="3679"/>
        <w:gridCol w:w="918"/>
        <w:gridCol w:w="618"/>
        <w:gridCol w:w="607"/>
        <w:gridCol w:w="953"/>
        <w:gridCol w:w="953"/>
        <w:gridCol w:w="1007"/>
      </w:tblGrid>
      <w:tr w:rsidR="007D7695" w:rsidRPr="000D5304" w14:paraId="571BC316" w14:textId="77777777" w:rsidTr="007D7695">
        <w:tc>
          <w:tcPr>
            <w:tcW w:w="0" w:type="auto"/>
            <w:hideMark/>
          </w:tcPr>
          <w:p w14:paraId="7FF02321" w14:textId="77777777" w:rsidR="007D7695" w:rsidRPr="000D5304" w:rsidRDefault="007D7695" w:rsidP="000D5304">
            <w:r w:rsidRPr="000D5304">
              <w:rPr>
                <w:b/>
                <w:bCs/>
              </w:rPr>
              <w:t>Dose reduction percentages</w:t>
            </w:r>
          </w:p>
        </w:tc>
        <w:tc>
          <w:tcPr>
            <w:tcW w:w="0" w:type="auto"/>
          </w:tcPr>
          <w:p w14:paraId="3A809722" w14:textId="77777777" w:rsidR="007D7695" w:rsidRPr="000D5304" w:rsidRDefault="007D7695" w:rsidP="000D5304"/>
        </w:tc>
        <w:tc>
          <w:tcPr>
            <w:tcW w:w="0" w:type="auto"/>
          </w:tcPr>
          <w:p w14:paraId="7232CDCA" w14:textId="77777777" w:rsidR="007D7695" w:rsidRPr="000D5304" w:rsidRDefault="007D7695" w:rsidP="000D5304"/>
        </w:tc>
        <w:tc>
          <w:tcPr>
            <w:tcW w:w="0" w:type="auto"/>
          </w:tcPr>
          <w:p w14:paraId="220DA171" w14:textId="77777777" w:rsidR="007D7695" w:rsidRPr="000D5304" w:rsidRDefault="007D7695" w:rsidP="000D5304"/>
        </w:tc>
        <w:tc>
          <w:tcPr>
            <w:tcW w:w="0" w:type="auto"/>
          </w:tcPr>
          <w:p w14:paraId="02B53FCE" w14:textId="77777777" w:rsidR="007D7695" w:rsidRPr="000D5304" w:rsidRDefault="007D7695" w:rsidP="000D5304"/>
        </w:tc>
        <w:tc>
          <w:tcPr>
            <w:tcW w:w="0" w:type="auto"/>
          </w:tcPr>
          <w:p w14:paraId="7FF7249E" w14:textId="41F22D00" w:rsidR="007D7695" w:rsidRPr="000D5304" w:rsidRDefault="007D7695" w:rsidP="000D5304"/>
        </w:tc>
        <w:tc>
          <w:tcPr>
            <w:tcW w:w="0" w:type="auto"/>
          </w:tcPr>
          <w:p w14:paraId="48148AC0" w14:textId="5E15A88D" w:rsidR="007D7695" w:rsidRPr="000D5304" w:rsidRDefault="007D7695" w:rsidP="000D5304"/>
        </w:tc>
      </w:tr>
      <w:tr w:rsidR="007D7695" w:rsidRPr="000D5304" w14:paraId="38B54D3F" w14:textId="77777777" w:rsidTr="007D7695">
        <w:tc>
          <w:tcPr>
            <w:tcW w:w="0" w:type="auto"/>
            <w:hideMark/>
          </w:tcPr>
          <w:p w14:paraId="7EE36FAA" w14:textId="0F3EBCDA" w:rsidR="007D7695" w:rsidRPr="000D5304" w:rsidRDefault="007D7695" w:rsidP="000D5304">
            <w:r w:rsidRPr="000D5304">
              <w:rPr>
                <w:b/>
                <w:bCs/>
              </w:rPr>
              <w:t>Percentage dose reduction by DLP (%)</w:t>
            </w:r>
          </w:p>
        </w:tc>
        <w:tc>
          <w:tcPr>
            <w:tcW w:w="0" w:type="auto"/>
          </w:tcPr>
          <w:p w14:paraId="763FD86C" w14:textId="77777777" w:rsidR="007D7695" w:rsidRPr="000D5304" w:rsidRDefault="007D7695" w:rsidP="000D5304"/>
        </w:tc>
        <w:tc>
          <w:tcPr>
            <w:tcW w:w="0" w:type="auto"/>
          </w:tcPr>
          <w:p w14:paraId="0A5E9741" w14:textId="77777777" w:rsidR="007D7695" w:rsidRPr="000D5304" w:rsidRDefault="007D7695" w:rsidP="000D5304"/>
        </w:tc>
        <w:tc>
          <w:tcPr>
            <w:tcW w:w="0" w:type="auto"/>
          </w:tcPr>
          <w:p w14:paraId="69DD615E" w14:textId="77777777" w:rsidR="007D7695" w:rsidRPr="000D5304" w:rsidRDefault="007D7695" w:rsidP="000D5304"/>
        </w:tc>
        <w:tc>
          <w:tcPr>
            <w:tcW w:w="0" w:type="auto"/>
          </w:tcPr>
          <w:p w14:paraId="4025BF6B" w14:textId="77777777" w:rsidR="007D7695" w:rsidRPr="000D5304" w:rsidRDefault="007D7695" w:rsidP="000D5304"/>
        </w:tc>
        <w:tc>
          <w:tcPr>
            <w:tcW w:w="0" w:type="auto"/>
          </w:tcPr>
          <w:p w14:paraId="6CED3B4C" w14:textId="42011F97" w:rsidR="007D7695" w:rsidRPr="000D5304" w:rsidRDefault="007D7695" w:rsidP="000D5304"/>
        </w:tc>
        <w:tc>
          <w:tcPr>
            <w:tcW w:w="0" w:type="auto"/>
          </w:tcPr>
          <w:p w14:paraId="5F180CF0" w14:textId="4E808833" w:rsidR="007D7695" w:rsidRPr="000D5304" w:rsidRDefault="007D7695" w:rsidP="000D5304"/>
        </w:tc>
      </w:tr>
      <w:tr w:rsidR="000D5304" w:rsidRPr="000D5304" w14:paraId="65BF4B18" w14:textId="77777777" w:rsidTr="007D7695">
        <w:tc>
          <w:tcPr>
            <w:tcW w:w="0" w:type="auto"/>
            <w:hideMark/>
          </w:tcPr>
          <w:p w14:paraId="1E613F9B" w14:textId="77777777" w:rsidR="000D5304" w:rsidRPr="000D5304" w:rsidRDefault="000D5304" w:rsidP="000D5304"/>
        </w:tc>
        <w:tc>
          <w:tcPr>
            <w:tcW w:w="0" w:type="auto"/>
            <w:hideMark/>
          </w:tcPr>
          <w:p w14:paraId="13D1EF5C" w14:textId="77777777" w:rsidR="000D5304" w:rsidRPr="000D5304" w:rsidRDefault="000D5304" w:rsidP="000D5304">
            <w:r w:rsidRPr="000D5304">
              <w:rPr>
                <w:b/>
                <w:bCs/>
              </w:rPr>
              <w:t>Median</w:t>
            </w:r>
          </w:p>
        </w:tc>
        <w:tc>
          <w:tcPr>
            <w:tcW w:w="0" w:type="auto"/>
            <w:hideMark/>
          </w:tcPr>
          <w:p w14:paraId="77D84BEC" w14:textId="77777777" w:rsidR="000D5304" w:rsidRPr="000D5304" w:rsidRDefault="000D5304" w:rsidP="000D5304">
            <w:r w:rsidRPr="000D5304">
              <w:rPr>
                <w:b/>
                <w:bCs/>
              </w:rPr>
              <w:t>Max</w:t>
            </w:r>
          </w:p>
        </w:tc>
        <w:tc>
          <w:tcPr>
            <w:tcW w:w="0" w:type="auto"/>
            <w:hideMark/>
          </w:tcPr>
          <w:p w14:paraId="3FE5A315" w14:textId="77777777" w:rsidR="000D5304" w:rsidRPr="000D5304" w:rsidRDefault="000D5304" w:rsidP="000D5304">
            <w:r w:rsidRPr="000D5304">
              <w:rPr>
                <w:b/>
                <w:bCs/>
              </w:rPr>
              <w:t>Min</w:t>
            </w:r>
          </w:p>
        </w:tc>
        <w:tc>
          <w:tcPr>
            <w:tcW w:w="0" w:type="auto"/>
            <w:hideMark/>
          </w:tcPr>
          <w:p w14:paraId="67AE2A54" w14:textId="77777777" w:rsidR="000D5304" w:rsidRPr="000D5304" w:rsidRDefault="000D5304" w:rsidP="000D5304">
            <w:r w:rsidRPr="000D5304">
              <w:rPr>
                <w:b/>
                <w:bCs/>
              </w:rPr>
              <w:t>25</w:t>
            </w:r>
            <w:r w:rsidRPr="000D5304">
              <w:rPr>
                <w:b/>
                <w:bCs/>
                <w:vertAlign w:val="superscript"/>
              </w:rPr>
              <w:t>th</w:t>
            </w:r>
            <w:r w:rsidRPr="000D5304">
              <w:rPr>
                <w:b/>
                <w:bCs/>
              </w:rPr>
              <w:t> </w:t>
            </w:r>
            <w:proofErr w:type="spellStart"/>
            <w:r w:rsidRPr="000D5304">
              <w:rPr>
                <w:b/>
                <w:bCs/>
              </w:rPr>
              <w:t>pctl</w:t>
            </w:r>
            <w:proofErr w:type="spellEnd"/>
          </w:p>
        </w:tc>
        <w:tc>
          <w:tcPr>
            <w:tcW w:w="0" w:type="auto"/>
            <w:hideMark/>
          </w:tcPr>
          <w:p w14:paraId="1F9AC038" w14:textId="77777777" w:rsidR="000D5304" w:rsidRPr="000D5304" w:rsidRDefault="000D5304" w:rsidP="000D5304">
            <w:r w:rsidRPr="000D5304">
              <w:rPr>
                <w:b/>
                <w:bCs/>
              </w:rPr>
              <w:t>75</w:t>
            </w:r>
            <w:r w:rsidRPr="000D5304">
              <w:rPr>
                <w:b/>
                <w:bCs/>
                <w:vertAlign w:val="superscript"/>
              </w:rPr>
              <w:t>th</w:t>
            </w:r>
            <w:r w:rsidRPr="000D5304">
              <w:rPr>
                <w:b/>
                <w:bCs/>
              </w:rPr>
              <w:t> </w:t>
            </w:r>
            <w:proofErr w:type="spellStart"/>
            <w:r w:rsidRPr="000D5304">
              <w:rPr>
                <w:b/>
                <w:bCs/>
              </w:rPr>
              <w:t>pctl</w:t>
            </w:r>
            <w:proofErr w:type="spellEnd"/>
          </w:p>
        </w:tc>
        <w:tc>
          <w:tcPr>
            <w:tcW w:w="0" w:type="auto"/>
            <w:hideMark/>
          </w:tcPr>
          <w:p w14:paraId="0ECCE6CF" w14:textId="77777777" w:rsidR="000D5304" w:rsidRPr="000D5304" w:rsidRDefault="000D5304" w:rsidP="000D5304">
            <w:r w:rsidRPr="000D5304">
              <w:rPr>
                <w:b/>
                <w:bCs/>
              </w:rPr>
              <w:t>IQR</w:t>
            </w:r>
            <w:r w:rsidRPr="000D5304">
              <w:br/>
            </w:r>
            <w:r w:rsidRPr="000D5304">
              <w:rPr>
                <w:b/>
                <w:bCs/>
                <w:i/>
                <w:iCs/>
              </w:rPr>
              <w:t>p-value</w:t>
            </w:r>
          </w:p>
        </w:tc>
      </w:tr>
      <w:tr w:rsidR="000D5304" w:rsidRPr="000D5304" w14:paraId="7826FCAA" w14:textId="77777777" w:rsidTr="007D7695">
        <w:tc>
          <w:tcPr>
            <w:tcW w:w="0" w:type="auto"/>
            <w:hideMark/>
          </w:tcPr>
          <w:p w14:paraId="76B0C4E3" w14:textId="77777777" w:rsidR="000D5304" w:rsidRPr="000D5304" w:rsidRDefault="000D5304" w:rsidP="000D5304">
            <w:r w:rsidRPr="000D5304">
              <w:t>DLP</w:t>
            </w:r>
          </w:p>
        </w:tc>
        <w:tc>
          <w:tcPr>
            <w:tcW w:w="0" w:type="auto"/>
            <w:hideMark/>
          </w:tcPr>
          <w:p w14:paraId="767E2B41" w14:textId="77777777" w:rsidR="000D5304" w:rsidRPr="000D5304" w:rsidRDefault="000D5304" w:rsidP="000D5304">
            <w:r w:rsidRPr="000D5304">
              <w:t>68.0</w:t>
            </w:r>
          </w:p>
        </w:tc>
        <w:tc>
          <w:tcPr>
            <w:tcW w:w="0" w:type="auto"/>
            <w:hideMark/>
          </w:tcPr>
          <w:p w14:paraId="614E40F1" w14:textId="77777777" w:rsidR="000D5304" w:rsidRPr="000D5304" w:rsidRDefault="000D5304" w:rsidP="000D5304">
            <w:r w:rsidRPr="000D5304">
              <w:t>92.3</w:t>
            </w:r>
          </w:p>
        </w:tc>
        <w:tc>
          <w:tcPr>
            <w:tcW w:w="0" w:type="auto"/>
            <w:hideMark/>
          </w:tcPr>
          <w:p w14:paraId="121E3FC9" w14:textId="77777777" w:rsidR="000D5304" w:rsidRPr="000D5304" w:rsidRDefault="000D5304" w:rsidP="000D5304">
            <w:r w:rsidRPr="000D5304">
              <w:t>42.9</w:t>
            </w:r>
          </w:p>
        </w:tc>
        <w:tc>
          <w:tcPr>
            <w:tcW w:w="0" w:type="auto"/>
            <w:hideMark/>
          </w:tcPr>
          <w:p w14:paraId="2D81BA84" w14:textId="77777777" w:rsidR="000D5304" w:rsidRPr="000D5304" w:rsidRDefault="000D5304" w:rsidP="000D5304">
            <w:r w:rsidRPr="000D5304">
              <w:t>61.8</w:t>
            </w:r>
          </w:p>
        </w:tc>
        <w:tc>
          <w:tcPr>
            <w:tcW w:w="0" w:type="auto"/>
            <w:hideMark/>
          </w:tcPr>
          <w:p w14:paraId="64DD3224" w14:textId="77777777" w:rsidR="000D5304" w:rsidRPr="000D5304" w:rsidRDefault="000D5304" w:rsidP="000D5304">
            <w:r w:rsidRPr="000D5304">
              <w:t>75.9</w:t>
            </w:r>
          </w:p>
        </w:tc>
        <w:tc>
          <w:tcPr>
            <w:tcW w:w="0" w:type="auto"/>
            <w:hideMark/>
          </w:tcPr>
          <w:p w14:paraId="14D98744" w14:textId="77777777" w:rsidR="000D5304" w:rsidRPr="000D5304" w:rsidRDefault="000D5304" w:rsidP="000D5304">
            <w:r w:rsidRPr="000D5304">
              <w:t>14.1</w:t>
            </w:r>
            <w:r w:rsidRPr="000D5304">
              <w:br/>
            </w:r>
            <w:r w:rsidRPr="000D5304">
              <w:rPr>
                <w:i/>
                <w:iCs/>
              </w:rPr>
              <w:t>&lt;0.001</w:t>
            </w:r>
          </w:p>
        </w:tc>
      </w:tr>
      <w:tr w:rsidR="000D5304" w:rsidRPr="000D5304" w14:paraId="28CF1446" w14:textId="77777777" w:rsidTr="007D7695">
        <w:tc>
          <w:tcPr>
            <w:tcW w:w="0" w:type="auto"/>
            <w:hideMark/>
          </w:tcPr>
          <w:p w14:paraId="0AB7F21C" w14:textId="77777777" w:rsidR="000D5304" w:rsidRPr="000D5304" w:rsidRDefault="000D5304" w:rsidP="000D5304">
            <w:proofErr w:type="spellStart"/>
            <w:r w:rsidRPr="000D5304">
              <w:t>CTDI</w:t>
            </w:r>
            <w:r w:rsidRPr="000D5304">
              <w:rPr>
                <w:vertAlign w:val="subscript"/>
              </w:rPr>
              <w:t>vol</w:t>
            </w:r>
            <w:proofErr w:type="spellEnd"/>
          </w:p>
        </w:tc>
        <w:tc>
          <w:tcPr>
            <w:tcW w:w="0" w:type="auto"/>
            <w:hideMark/>
          </w:tcPr>
          <w:p w14:paraId="4DCFC276" w14:textId="77777777" w:rsidR="000D5304" w:rsidRPr="000D5304" w:rsidRDefault="000D5304" w:rsidP="000D5304">
            <w:r w:rsidRPr="000D5304">
              <w:t>36.1</w:t>
            </w:r>
          </w:p>
        </w:tc>
        <w:tc>
          <w:tcPr>
            <w:tcW w:w="0" w:type="auto"/>
            <w:hideMark/>
          </w:tcPr>
          <w:p w14:paraId="3663FBBD" w14:textId="77777777" w:rsidR="000D5304" w:rsidRPr="000D5304" w:rsidRDefault="000D5304" w:rsidP="000D5304">
            <w:r w:rsidRPr="000D5304">
              <w:t>82.3</w:t>
            </w:r>
          </w:p>
        </w:tc>
        <w:tc>
          <w:tcPr>
            <w:tcW w:w="0" w:type="auto"/>
            <w:hideMark/>
          </w:tcPr>
          <w:p w14:paraId="34BD5774" w14:textId="77777777" w:rsidR="000D5304" w:rsidRPr="000D5304" w:rsidRDefault="000D5304" w:rsidP="000D5304">
            <w:r w:rsidRPr="000D5304">
              <w:t>6.7</w:t>
            </w:r>
          </w:p>
        </w:tc>
        <w:tc>
          <w:tcPr>
            <w:tcW w:w="0" w:type="auto"/>
            <w:hideMark/>
          </w:tcPr>
          <w:p w14:paraId="5ED0D627" w14:textId="77777777" w:rsidR="000D5304" w:rsidRPr="000D5304" w:rsidRDefault="000D5304" w:rsidP="000D5304">
            <w:r w:rsidRPr="000D5304">
              <w:t>23.8</w:t>
            </w:r>
          </w:p>
        </w:tc>
        <w:tc>
          <w:tcPr>
            <w:tcW w:w="0" w:type="auto"/>
            <w:hideMark/>
          </w:tcPr>
          <w:p w14:paraId="0CB48E48" w14:textId="77777777" w:rsidR="000D5304" w:rsidRPr="000D5304" w:rsidRDefault="000D5304" w:rsidP="000D5304">
            <w:r w:rsidRPr="000D5304">
              <w:t>50.0</w:t>
            </w:r>
          </w:p>
        </w:tc>
        <w:tc>
          <w:tcPr>
            <w:tcW w:w="0" w:type="auto"/>
            <w:hideMark/>
          </w:tcPr>
          <w:p w14:paraId="05C31A28" w14:textId="77777777" w:rsidR="000D5304" w:rsidRPr="000D5304" w:rsidRDefault="000D5304" w:rsidP="000D5304">
            <w:r w:rsidRPr="000D5304">
              <w:t>26.2</w:t>
            </w:r>
            <w:r w:rsidRPr="000D5304">
              <w:br/>
            </w:r>
            <w:r w:rsidRPr="000D5304">
              <w:rPr>
                <w:b/>
                <w:bCs/>
                <w:i/>
                <w:iCs/>
              </w:rPr>
              <w:t>&lt;0.001</w:t>
            </w:r>
          </w:p>
        </w:tc>
      </w:tr>
      <w:tr w:rsidR="000D5304" w:rsidRPr="000D5304" w14:paraId="252F9824" w14:textId="77777777" w:rsidTr="007D7695">
        <w:tc>
          <w:tcPr>
            <w:tcW w:w="0" w:type="auto"/>
            <w:hideMark/>
          </w:tcPr>
          <w:p w14:paraId="2B498D8F" w14:textId="77777777" w:rsidR="000D5304" w:rsidRPr="000D5304" w:rsidRDefault="000D5304" w:rsidP="000D5304">
            <w:r w:rsidRPr="000D5304">
              <w:t>z-scan-length</w:t>
            </w:r>
          </w:p>
        </w:tc>
        <w:tc>
          <w:tcPr>
            <w:tcW w:w="0" w:type="auto"/>
            <w:hideMark/>
          </w:tcPr>
          <w:p w14:paraId="3FC86F68" w14:textId="77777777" w:rsidR="000D5304" w:rsidRPr="000D5304" w:rsidRDefault="000D5304" w:rsidP="000D5304">
            <w:r w:rsidRPr="000D5304">
              <w:t>51.8</w:t>
            </w:r>
          </w:p>
        </w:tc>
        <w:tc>
          <w:tcPr>
            <w:tcW w:w="0" w:type="auto"/>
            <w:hideMark/>
          </w:tcPr>
          <w:p w14:paraId="0766B510" w14:textId="77777777" w:rsidR="000D5304" w:rsidRPr="000D5304" w:rsidRDefault="000D5304" w:rsidP="000D5304">
            <w:r w:rsidRPr="000D5304">
              <w:t>73.0</w:t>
            </w:r>
          </w:p>
        </w:tc>
        <w:tc>
          <w:tcPr>
            <w:tcW w:w="0" w:type="auto"/>
            <w:hideMark/>
          </w:tcPr>
          <w:p w14:paraId="0A3CD6D8" w14:textId="77777777" w:rsidR="000D5304" w:rsidRPr="000D5304" w:rsidRDefault="000D5304" w:rsidP="000D5304">
            <w:r w:rsidRPr="000D5304">
              <w:t>37.6</w:t>
            </w:r>
          </w:p>
        </w:tc>
        <w:tc>
          <w:tcPr>
            <w:tcW w:w="0" w:type="auto"/>
            <w:hideMark/>
          </w:tcPr>
          <w:p w14:paraId="5B0AE081" w14:textId="77777777" w:rsidR="000D5304" w:rsidRPr="000D5304" w:rsidRDefault="000D5304" w:rsidP="000D5304">
            <w:r w:rsidRPr="000D5304">
              <w:t>47.4</w:t>
            </w:r>
          </w:p>
        </w:tc>
        <w:tc>
          <w:tcPr>
            <w:tcW w:w="0" w:type="auto"/>
            <w:hideMark/>
          </w:tcPr>
          <w:p w14:paraId="4B538C01" w14:textId="77777777" w:rsidR="000D5304" w:rsidRPr="000D5304" w:rsidRDefault="000D5304" w:rsidP="000D5304">
            <w:r w:rsidRPr="000D5304">
              <w:t>56.9</w:t>
            </w:r>
          </w:p>
        </w:tc>
        <w:tc>
          <w:tcPr>
            <w:tcW w:w="0" w:type="auto"/>
            <w:hideMark/>
          </w:tcPr>
          <w:p w14:paraId="5F2EE5B7" w14:textId="77777777" w:rsidR="000D5304" w:rsidRPr="000D5304" w:rsidRDefault="000D5304" w:rsidP="000D5304">
            <w:r w:rsidRPr="000D5304">
              <w:t>9.6</w:t>
            </w:r>
            <w:r w:rsidRPr="000D5304">
              <w:br/>
            </w:r>
            <w:r w:rsidRPr="000D5304">
              <w:rPr>
                <w:b/>
                <w:bCs/>
                <w:i/>
                <w:iCs/>
              </w:rPr>
              <w:t>&lt;0.001</w:t>
            </w:r>
          </w:p>
        </w:tc>
      </w:tr>
      <w:tr w:rsidR="007D7695" w:rsidRPr="000D5304" w14:paraId="1B387482" w14:textId="77777777" w:rsidTr="007D7695">
        <w:tc>
          <w:tcPr>
            <w:tcW w:w="0" w:type="auto"/>
          </w:tcPr>
          <w:p w14:paraId="4B59E9FE" w14:textId="3938516B" w:rsidR="007D7695" w:rsidRPr="000D5304" w:rsidRDefault="007D7695" w:rsidP="000D5304">
            <w:r w:rsidRPr="007D7695">
              <w:rPr>
                <w:b/>
                <w:bCs/>
              </w:rPr>
              <w:t>Organ percentage dose reduction (%)</w:t>
            </w:r>
          </w:p>
        </w:tc>
        <w:tc>
          <w:tcPr>
            <w:tcW w:w="0" w:type="auto"/>
          </w:tcPr>
          <w:p w14:paraId="537297F4" w14:textId="77777777" w:rsidR="007D7695" w:rsidRPr="000D5304" w:rsidRDefault="007D7695" w:rsidP="000D5304"/>
        </w:tc>
        <w:tc>
          <w:tcPr>
            <w:tcW w:w="0" w:type="auto"/>
          </w:tcPr>
          <w:p w14:paraId="6E3C4DF2" w14:textId="77777777" w:rsidR="007D7695" w:rsidRPr="000D5304" w:rsidRDefault="007D7695" w:rsidP="000D5304"/>
        </w:tc>
        <w:tc>
          <w:tcPr>
            <w:tcW w:w="0" w:type="auto"/>
          </w:tcPr>
          <w:p w14:paraId="1A8722BF" w14:textId="77777777" w:rsidR="007D7695" w:rsidRPr="000D5304" w:rsidRDefault="007D7695" w:rsidP="000D5304"/>
        </w:tc>
        <w:tc>
          <w:tcPr>
            <w:tcW w:w="0" w:type="auto"/>
          </w:tcPr>
          <w:p w14:paraId="4D4CA72B" w14:textId="77777777" w:rsidR="007D7695" w:rsidRPr="000D5304" w:rsidRDefault="007D7695" w:rsidP="000D5304"/>
        </w:tc>
        <w:tc>
          <w:tcPr>
            <w:tcW w:w="0" w:type="auto"/>
          </w:tcPr>
          <w:p w14:paraId="10B5F5CA" w14:textId="77777777" w:rsidR="007D7695" w:rsidRPr="000D5304" w:rsidRDefault="007D7695" w:rsidP="000D5304"/>
        </w:tc>
        <w:tc>
          <w:tcPr>
            <w:tcW w:w="0" w:type="auto"/>
          </w:tcPr>
          <w:p w14:paraId="2FA2FFB4" w14:textId="77777777" w:rsidR="007D7695" w:rsidRPr="000D5304" w:rsidRDefault="007D7695" w:rsidP="000D5304"/>
        </w:tc>
      </w:tr>
      <w:tr w:rsidR="000D5304" w:rsidRPr="000D5304" w14:paraId="7C4E9D23" w14:textId="77777777" w:rsidTr="007D7695">
        <w:tc>
          <w:tcPr>
            <w:tcW w:w="0" w:type="auto"/>
            <w:hideMark/>
          </w:tcPr>
          <w:p w14:paraId="7A79D903" w14:textId="77777777" w:rsidR="000D5304" w:rsidRPr="000D5304" w:rsidRDefault="000D5304" w:rsidP="000D5304"/>
        </w:tc>
        <w:tc>
          <w:tcPr>
            <w:tcW w:w="0" w:type="auto"/>
            <w:hideMark/>
          </w:tcPr>
          <w:p w14:paraId="2F873244" w14:textId="77777777" w:rsidR="000D5304" w:rsidRPr="000D5304" w:rsidRDefault="000D5304" w:rsidP="000D5304">
            <w:r w:rsidRPr="000D5304">
              <w:rPr>
                <w:b/>
                <w:bCs/>
              </w:rPr>
              <w:t>Median</w:t>
            </w:r>
          </w:p>
        </w:tc>
        <w:tc>
          <w:tcPr>
            <w:tcW w:w="0" w:type="auto"/>
            <w:hideMark/>
          </w:tcPr>
          <w:p w14:paraId="70A01D03" w14:textId="77777777" w:rsidR="000D5304" w:rsidRPr="000D5304" w:rsidRDefault="000D5304" w:rsidP="000D5304">
            <w:r w:rsidRPr="000D5304">
              <w:rPr>
                <w:b/>
                <w:bCs/>
              </w:rPr>
              <w:t>Max</w:t>
            </w:r>
          </w:p>
        </w:tc>
        <w:tc>
          <w:tcPr>
            <w:tcW w:w="0" w:type="auto"/>
            <w:hideMark/>
          </w:tcPr>
          <w:p w14:paraId="4985F2C7" w14:textId="77777777" w:rsidR="000D5304" w:rsidRPr="000D5304" w:rsidRDefault="000D5304" w:rsidP="000D5304">
            <w:r w:rsidRPr="000D5304">
              <w:rPr>
                <w:b/>
                <w:bCs/>
              </w:rPr>
              <w:t>Min</w:t>
            </w:r>
          </w:p>
        </w:tc>
        <w:tc>
          <w:tcPr>
            <w:tcW w:w="0" w:type="auto"/>
            <w:hideMark/>
          </w:tcPr>
          <w:p w14:paraId="32BF8B58" w14:textId="77777777" w:rsidR="000D5304" w:rsidRPr="000D5304" w:rsidRDefault="000D5304" w:rsidP="000D5304">
            <w:r w:rsidRPr="000D5304">
              <w:rPr>
                <w:b/>
                <w:bCs/>
              </w:rPr>
              <w:t>25</w:t>
            </w:r>
            <w:r w:rsidRPr="000D5304">
              <w:rPr>
                <w:b/>
                <w:bCs/>
                <w:vertAlign w:val="superscript"/>
              </w:rPr>
              <w:t>th</w:t>
            </w:r>
            <w:r w:rsidRPr="000D5304">
              <w:rPr>
                <w:b/>
                <w:bCs/>
              </w:rPr>
              <w:t> </w:t>
            </w:r>
            <w:proofErr w:type="spellStart"/>
            <w:r w:rsidRPr="000D5304">
              <w:rPr>
                <w:b/>
                <w:bCs/>
              </w:rPr>
              <w:t>pctl</w:t>
            </w:r>
            <w:proofErr w:type="spellEnd"/>
          </w:p>
        </w:tc>
        <w:tc>
          <w:tcPr>
            <w:tcW w:w="0" w:type="auto"/>
            <w:hideMark/>
          </w:tcPr>
          <w:p w14:paraId="79517AA5" w14:textId="77777777" w:rsidR="000D5304" w:rsidRPr="000D5304" w:rsidRDefault="000D5304" w:rsidP="000D5304">
            <w:r w:rsidRPr="000D5304">
              <w:rPr>
                <w:b/>
                <w:bCs/>
              </w:rPr>
              <w:t>75</w:t>
            </w:r>
            <w:r w:rsidRPr="000D5304">
              <w:rPr>
                <w:b/>
                <w:bCs/>
                <w:vertAlign w:val="superscript"/>
              </w:rPr>
              <w:t>th</w:t>
            </w:r>
            <w:r w:rsidRPr="000D5304">
              <w:rPr>
                <w:b/>
                <w:bCs/>
              </w:rPr>
              <w:t> </w:t>
            </w:r>
            <w:proofErr w:type="spellStart"/>
            <w:r w:rsidRPr="000D5304">
              <w:rPr>
                <w:b/>
                <w:bCs/>
              </w:rPr>
              <w:t>pctl</w:t>
            </w:r>
            <w:proofErr w:type="spellEnd"/>
          </w:p>
        </w:tc>
        <w:tc>
          <w:tcPr>
            <w:tcW w:w="0" w:type="auto"/>
            <w:hideMark/>
          </w:tcPr>
          <w:p w14:paraId="45DAF750" w14:textId="77777777" w:rsidR="000D5304" w:rsidRPr="000D5304" w:rsidRDefault="000D5304" w:rsidP="000D5304">
            <w:r w:rsidRPr="000D5304">
              <w:rPr>
                <w:b/>
                <w:bCs/>
              </w:rPr>
              <w:t>IQR</w:t>
            </w:r>
            <w:r w:rsidRPr="000D5304">
              <w:br/>
            </w:r>
            <w:r w:rsidRPr="000D5304">
              <w:rPr>
                <w:b/>
                <w:bCs/>
                <w:i/>
                <w:iCs/>
              </w:rPr>
              <w:t>p-value</w:t>
            </w:r>
          </w:p>
        </w:tc>
      </w:tr>
      <w:tr w:rsidR="000D5304" w:rsidRPr="000D5304" w14:paraId="0AE10270" w14:textId="77777777" w:rsidTr="007D7695">
        <w:tc>
          <w:tcPr>
            <w:tcW w:w="0" w:type="auto"/>
            <w:hideMark/>
          </w:tcPr>
          <w:p w14:paraId="6EEF4930" w14:textId="77777777" w:rsidR="000D5304" w:rsidRPr="000D5304" w:rsidRDefault="000D5304" w:rsidP="000D5304">
            <w:r w:rsidRPr="000D5304">
              <w:t>Lungs</w:t>
            </w:r>
          </w:p>
        </w:tc>
        <w:tc>
          <w:tcPr>
            <w:tcW w:w="0" w:type="auto"/>
            <w:hideMark/>
          </w:tcPr>
          <w:p w14:paraId="6CD7B1D8" w14:textId="77777777" w:rsidR="000D5304" w:rsidRPr="000D5304" w:rsidRDefault="000D5304" w:rsidP="000D5304">
            <w:r w:rsidRPr="000D5304">
              <w:t>40.7</w:t>
            </w:r>
          </w:p>
        </w:tc>
        <w:tc>
          <w:tcPr>
            <w:tcW w:w="0" w:type="auto"/>
            <w:hideMark/>
          </w:tcPr>
          <w:p w14:paraId="29CE8B9A" w14:textId="77777777" w:rsidR="000D5304" w:rsidRPr="000D5304" w:rsidRDefault="000D5304" w:rsidP="000D5304">
            <w:r w:rsidRPr="000D5304">
              <w:t>72.2</w:t>
            </w:r>
          </w:p>
        </w:tc>
        <w:tc>
          <w:tcPr>
            <w:tcW w:w="0" w:type="auto"/>
            <w:hideMark/>
          </w:tcPr>
          <w:p w14:paraId="73CE6E94" w14:textId="77777777" w:rsidR="000D5304" w:rsidRPr="000D5304" w:rsidRDefault="000D5304" w:rsidP="000D5304">
            <w:r w:rsidRPr="000D5304">
              <w:t>25.4</w:t>
            </w:r>
          </w:p>
        </w:tc>
        <w:tc>
          <w:tcPr>
            <w:tcW w:w="0" w:type="auto"/>
            <w:hideMark/>
          </w:tcPr>
          <w:p w14:paraId="51752996" w14:textId="77777777" w:rsidR="000D5304" w:rsidRPr="000D5304" w:rsidRDefault="000D5304" w:rsidP="000D5304">
            <w:r w:rsidRPr="000D5304">
              <w:t>34.9</w:t>
            </w:r>
          </w:p>
        </w:tc>
        <w:tc>
          <w:tcPr>
            <w:tcW w:w="0" w:type="auto"/>
            <w:hideMark/>
          </w:tcPr>
          <w:p w14:paraId="16C94938" w14:textId="77777777" w:rsidR="000D5304" w:rsidRPr="000D5304" w:rsidRDefault="000D5304" w:rsidP="000D5304">
            <w:r w:rsidRPr="000D5304">
              <w:t>46.8</w:t>
            </w:r>
          </w:p>
        </w:tc>
        <w:tc>
          <w:tcPr>
            <w:tcW w:w="0" w:type="auto"/>
            <w:hideMark/>
          </w:tcPr>
          <w:p w14:paraId="430AA822" w14:textId="77777777" w:rsidR="000D5304" w:rsidRPr="000D5304" w:rsidRDefault="000D5304" w:rsidP="000D5304">
            <w:r w:rsidRPr="000D5304">
              <w:t>11.9</w:t>
            </w:r>
            <w:r w:rsidRPr="000D5304">
              <w:br/>
            </w:r>
            <w:r w:rsidRPr="000D5304">
              <w:rPr>
                <w:b/>
                <w:bCs/>
                <w:i/>
                <w:iCs/>
              </w:rPr>
              <w:t>&lt;0.001</w:t>
            </w:r>
          </w:p>
        </w:tc>
      </w:tr>
      <w:tr w:rsidR="000D5304" w:rsidRPr="000D5304" w14:paraId="499C4D47" w14:textId="77777777" w:rsidTr="007D7695">
        <w:tc>
          <w:tcPr>
            <w:tcW w:w="0" w:type="auto"/>
            <w:hideMark/>
          </w:tcPr>
          <w:p w14:paraId="75272D3E" w14:textId="77777777" w:rsidR="000D5304" w:rsidRPr="000D5304" w:rsidRDefault="000D5304" w:rsidP="000D5304">
            <w:r w:rsidRPr="000D5304">
              <w:t>Breast</w:t>
            </w:r>
          </w:p>
        </w:tc>
        <w:tc>
          <w:tcPr>
            <w:tcW w:w="0" w:type="auto"/>
            <w:hideMark/>
          </w:tcPr>
          <w:p w14:paraId="7AFFAA51" w14:textId="77777777" w:rsidR="000D5304" w:rsidRPr="000D5304" w:rsidRDefault="000D5304" w:rsidP="000D5304">
            <w:r w:rsidRPr="000D5304">
              <w:t>17.9</w:t>
            </w:r>
          </w:p>
        </w:tc>
        <w:tc>
          <w:tcPr>
            <w:tcW w:w="0" w:type="auto"/>
            <w:hideMark/>
          </w:tcPr>
          <w:p w14:paraId="3D35DCF0" w14:textId="77777777" w:rsidR="000D5304" w:rsidRPr="000D5304" w:rsidRDefault="000D5304" w:rsidP="000D5304">
            <w:r w:rsidRPr="000D5304">
              <w:t>65.7</w:t>
            </w:r>
          </w:p>
        </w:tc>
        <w:tc>
          <w:tcPr>
            <w:tcW w:w="0" w:type="auto"/>
            <w:hideMark/>
          </w:tcPr>
          <w:p w14:paraId="5669B23C" w14:textId="77777777" w:rsidR="000D5304" w:rsidRPr="000D5304" w:rsidRDefault="000D5304" w:rsidP="000D5304">
            <w:r w:rsidRPr="000D5304">
              <w:t>0.24</w:t>
            </w:r>
          </w:p>
        </w:tc>
        <w:tc>
          <w:tcPr>
            <w:tcW w:w="0" w:type="auto"/>
            <w:hideMark/>
          </w:tcPr>
          <w:p w14:paraId="2FE799D7" w14:textId="77777777" w:rsidR="000D5304" w:rsidRPr="000D5304" w:rsidRDefault="000D5304" w:rsidP="000D5304">
            <w:r w:rsidRPr="000D5304">
              <w:t>13.4</w:t>
            </w:r>
          </w:p>
        </w:tc>
        <w:tc>
          <w:tcPr>
            <w:tcW w:w="0" w:type="auto"/>
            <w:hideMark/>
          </w:tcPr>
          <w:p w14:paraId="6305921D" w14:textId="77777777" w:rsidR="000D5304" w:rsidRPr="000D5304" w:rsidRDefault="000D5304" w:rsidP="000D5304">
            <w:r w:rsidRPr="000D5304">
              <w:t>27.9</w:t>
            </w:r>
          </w:p>
        </w:tc>
        <w:tc>
          <w:tcPr>
            <w:tcW w:w="0" w:type="auto"/>
            <w:hideMark/>
          </w:tcPr>
          <w:p w14:paraId="67C34789" w14:textId="77777777" w:rsidR="000D5304" w:rsidRPr="000D5304" w:rsidRDefault="000D5304" w:rsidP="000D5304">
            <w:r w:rsidRPr="000D5304">
              <w:t>14.4</w:t>
            </w:r>
            <w:r w:rsidRPr="000D5304">
              <w:br/>
            </w:r>
            <w:r w:rsidRPr="000D5304">
              <w:rPr>
                <w:b/>
                <w:bCs/>
                <w:i/>
                <w:iCs/>
              </w:rPr>
              <w:t>1.09E-02</w:t>
            </w:r>
          </w:p>
        </w:tc>
      </w:tr>
      <w:tr w:rsidR="000D5304" w:rsidRPr="000D5304" w14:paraId="66ABE254" w14:textId="77777777" w:rsidTr="007D7695">
        <w:tc>
          <w:tcPr>
            <w:tcW w:w="0" w:type="auto"/>
            <w:hideMark/>
          </w:tcPr>
          <w:p w14:paraId="0C4D75F6" w14:textId="77777777" w:rsidR="000D5304" w:rsidRPr="000D5304" w:rsidRDefault="000D5304" w:rsidP="000D5304">
            <w:r w:rsidRPr="000D5304">
              <w:t>Esophagus</w:t>
            </w:r>
          </w:p>
        </w:tc>
        <w:tc>
          <w:tcPr>
            <w:tcW w:w="0" w:type="auto"/>
            <w:hideMark/>
          </w:tcPr>
          <w:p w14:paraId="12B317B1" w14:textId="77777777" w:rsidR="000D5304" w:rsidRPr="000D5304" w:rsidRDefault="000D5304" w:rsidP="000D5304">
            <w:r w:rsidRPr="000D5304">
              <w:t>55.9</w:t>
            </w:r>
          </w:p>
        </w:tc>
        <w:tc>
          <w:tcPr>
            <w:tcW w:w="0" w:type="auto"/>
            <w:hideMark/>
          </w:tcPr>
          <w:p w14:paraId="7BA0930D" w14:textId="77777777" w:rsidR="000D5304" w:rsidRPr="000D5304" w:rsidRDefault="000D5304" w:rsidP="000D5304">
            <w:r w:rsidRPr="000D5304">
              <w:t>89.3</w:t>
            </w:r>
          </w:p>
        </w:tc>
        <w:tc>
          <w:tcPr>
            <w:tcW w:w="0" w:type="auto"/>
            <w:hideMark/>
          </w:tcPr>
          <w:p w14:paraId="5A364AF0" w14:textId="77777777" w:rsidR="000D5304" w:rsidRPr="000D5304" w:rsidRDefault="000D5304" w:rsidP="000D5304">
            <w:r w:rsidRPr="000D5304">
              <w:t>18.0</w:t>
            </w:r>
          </w:p>
        </w:tc>
        <w:tc>
          <w:tcPr>
            <w:tcW w:w="0" w:type="auto"/>
            <w:hideMark/>
          </w:tcPr>
          <w:p w14:paraId="6FE5C4B5" w14:textId="77777777" w:rsidR="000D5304" w:rsidRPr="000D5304" w:rsidRDefault="000D5304" w:rsidP="000D5304">
            <w:r w:rsidRPr="000D5304">
              <w:t>46.7</w:t>
            </w:r>
          </w:p>
        </w:tc>
        <w:tc>
          <w:tcPr>
            <w:tcW w:w="0" w:type="auto"/>
            <w:hideMark/>
          </w:tcPr>
          <w:p w14:paraId="5CB846B1" w14:textId="77777777" w:rsidR="000D5304" w:rsidRPr="000D5304" w:rsidRDefault="000D5304" w:rsidP="000D5304">
            <w:r w:rsidRPr="000D5304">
              <w:t>62.1</w:t>
            </w:r>
          </w:p>
        </w:tc>
        <w:tc>
          <w:tcPr>
            <w:tcW w:w="0" w:type="auto"/>
            <w:hideMark/>
          </w:tcPr>
          <w:p w14:paraId="247CE6B8" w14:textId="77777777" w:rsidR="000D5304" w:rsidRPr="000D5304" w:rsidRDefault="000D5304" w:rsidP="000D5304">
            <w:r w:rsidRPr="000D5304">
              <w:t>15.4</w:t>
            </w:r>
            <w:r w:rsidRPr="000D5304">
              <w:br/>
            </w:r>
            <w:r w:rsidRPr="000D5304">
              <w:rPr>
                <w:b/>
                <w:bCs/>
                <w:i/>
                <w:iCs/>
              </w:rPr>
              <w:t>&lt;0.001</w:t>
            </w:r>
          </w:p>
        </w:tc>
      </w:tr>
      <w:tr w:rsidR="000D5304" w:rsidRPr="000D5304" w14:paraId="059E5831" w14:textId="77777777" w:rsidTr="007D7695">
        <w:tc>
          <w:tcPr>
            <w:tcW w:w="0" w:type="auto"/>
            <w:hideMark/>
          </w:tcPr>
          <w:p w14:paraId="6B16A746" w14:textId="77777777" w:rsidR="000D5304" w:rsidRPr="000D5304" w:rsidRDefault="000D5304" w:rsidP="000D5304">
            <w:r w:rsidRPr="000D5304">
              <w:t>Heart</w:t>
            </w:r>
          </w:p>
        </w:tc>
        <w:tc>
          <w:tcPr>
            <w:tcW w:w="0" w:type="auto"/>
            <w:hideMark/>
          </w:tcPr>
          <w:p w14:paraId="5F1C24CF" w14:textId="77777777" w:rsidR="000D5304" w:rsidRPr="000D5304" w:rsidRDefault="000D5304" w:rsidP="000D5304">
            <w:r w:rsidRPr="000D5304">
              <w:t>33.7</w:t>
            </w:r>
          </w:p>
        </w:tc>
        <w:tc>
          <w:tcPr>
            <w:tcW w:w="0" w:type="auto"/>
            <w:hideMark/>
          </w:tcPr>
          <w:p w14:paraId="55BD071E" w14:textId="77777777" w:rsidR="000D5304" w:rsidRPr="000D5304" w:rsidRDefault="000D5304" w:rsidP="000D5304">
            <w:r w:rsidRPr="000D5304">
              <w:t>73.5</w:t>
            </w:r>
          </w:p>
        </w:tc>
        <w:tc>
          <w:tcPr>
            <w:tcW w:w="0" w:type="auto"/>
            <w:hideMark/>
          </w:tcPr>
          <w:p w14:paraId="4FC6F5A5" w14:textId="77777777" w:rsidR="000D5304" w:rsidRPr="000D5304" w:rsidRDefault="000D5304" w:rsidP="000D5304">
            <w:r w:rsidRPr="000D5304">
              <w:t>17.5</w:t>
            </w:r>
          </w:p>
        </w:tc>
        <w:tc>
          <w:tcPr>
            <w:tcW w:w="0" w:type="auto"/>
            <w:hideMark/>
          </w:tcPr>
          <w:p w14:paraId="1ECA9C6D" w14:textId="77777777" w:rsidR="000D5304" w:rsidRPr="000D5304" w:rsidRDefault="000D5304" w:rsidP="000D5304">
            <w:r w:rsidRPr="000D5304">
              <w:t>27.4</w:t>
            </w:r>
          </w:p>
        </w:tc>
        <w:tc>
          <w:tcPr>
            <w:tcW w:w="0" w:type="auto"/>
            <w:hideMark/>
          </w:tcPr>
          <w:p w14:paraId="5DDFC123" w14:textId="77777777" w:rsidR="000D5304" w:rsidRPr="000D5304" w:rsidRDefault="000D5304" w:rsidP="000D5304">
            <w:r w:rsidRPr="000D5304">
              <w:t>41.3</w:t>
            </w:r>
          </w:p>
        </w:tc>
        <w:tc>
          <w:tcPr>
            <w:tcW w:w="0" w:type="auto"/>
            <w:hideMark/>
          </w:tcPr>
          <w:p w14:paraId="6C0136C0" w14:textId="77777777" w:rsidR="000D5304" w:rsidRPr="000D5304" w:rsidRDefault="000D5304" w:rsidP="000D5304">
            <w:r w:rsidRPr="000D5304">
              <w:t>14.0</w:t>
            </w:r>
            <w:r w:rsidRPr="000D5304">
              <w:br/>
            </w:r>
            <w:r w:rsidRPr="000D5304">
              <w:rPr>
                <w:b/>
                <w:bCs/>
                <w:i/>
                <w:iCs/>
              </w:rPr>
              <w:t>&lt;0.001</w:t>
            </w:r>
          </w:p>
        </w:tc>
      </w:tr>
      <w:tr w:rsidR="000D5304" w:rsidRPr="000D5304" w14:paraId="0BFDAC36" w14:textId="77777777" w:rsidTr="007D7695">
        <w:tc>
          <w:tcPr>
            <w:tcW w:w="0" w:type="auto"/>
            <w:hideMark/>
          </w:tcPr>
          <w:p w14:paraId="26AA0DC5" w14:textId="77777777" w:rsidR="000D5304" w:rsidRPr="000D5304" w:rsidRDefault="000D5304" w:rsidP="000D5304">
            <w:r w:rsidRPr="000D5304">
              <w:t>Bone marrow</w:t>
            </w:r>
          </w:p>
        </w:tc>
        <w:tc>
          <w:tcPr>
            <w:tcW w:w="0" w:type="auto"/>
            <w:hideMark/>
          </w:tcPr>
          <w:p w14:paraId="64DEFA5B" w14:textId="77777777" w:rsidR="000D5304" w:rsidRPr="000D5304" w:rsidRDefault="000D5304" w:rsidP="000D5304">
            <w:r w:rsidRPr="000D5304">
              <w:t>63.4</w:t>
            </w:r>
          </w:p>
        </w:tc>
        <w:tc>
          <w:tcPr>
            <w:tcW w:w="0" w:type="auto"/>
            <w:hideMark/>
          </w:tcPr>
          <w:p w14:paraId="59377350" w14:textId="77777777" w:rsidR="000D5304" w:rsidRPr="000D5304" w:rsidRDefault="000D5304" w:rsidP="000D5304">
            <w:r w:rsidRPr="000D5304">
              <w:t>82.5</w:t>
            </w:r>
          </w:p>
        </w:tc>
        <w:tc>
          <w:tcPr>
            <w:tcW w:w="0" w:type="auto"/>
            <w:hideMark/>
          </w:tcPr>
          <w:p w14:paraId="3F4FA060" w14:textId="77777777" w:rsidR="000D5304" w:rsidRPr="000D5304" w:rsidRDefault="000D5304" w:rsidP="000D5304">
            <w:r w:rsidRPr="000D5304">
              <w:t>44.6</w:t>
            </w:r>
          </w:p>
        </w:tc>
        <w:tc>
          <w:tcPr>
            <w:tcW w:w="0" w:type="auto"/>
            <w:hideMark/>
          </w:tcPr>
          <w:p w14:paraId="6CC85452" w14:textId="77777777" w:rsidR="000D5304" w:rsidRPr="000D5304" w:rsidRDefault="000D5304" w:rsidP="000D5304">
            <w:r w:rsidRPr="000D5304">
              <w:t>55.7</w:t>
            </w:r>
          </w:p>
        </w:tc>
        <w:tc>
          <w:tcPr>
            <w:tcW w:w="0" w:type="auto"/>
            <w:hideMark/>
          </w:tcPr>
          <w:p w14:paraId="5C57B8A3" w14:textId="77777777" w:rsidR="000D5304" w:rsidRPr="000D5304" w:rsidRDefault="000D5304" w:rsidP="000D5304">
            <w:r w:rsidRPr="000D5304">
              <w:t>69.6</w:t>
            </w:r>
          </w:p>
        </w:tc>
        <w:tc>
          <w:tcPr>
            <w:tcW w:w="0" w:type="auto"/>
            <w:hideMark/>
          </w:tcPr>
          <w:p w14:paraId="2C531FF4" w14:textId="77777777" w:rsidR="000D5304" w:rsidRPr="000D5304" w:rsidRDefault="000D5304" w:rsidP="000D5304">
            <w:r w:rsidRPr="000D5304">
              <w:t>13.9</w:t>
            </w:r>
            <w:r w:rsidRPr="000D5304">
              <w:br/>
            </w:r>
            <w:r w:rsidRPr="000D5304">
              <w:rPr>
                <w:b/>
                <w:bCs/>
                <w:i/>
                <w:iCs/>
              </w:rPr>
              <w:t>&lt;0.001</w:t>
            </w:r>
          </w:p>
        </w:tc>
      </w:tr>
      <w:tr w:rsidR="000D5304" w:rsidRPr="000D5304" w14:paraId="07D2CE1C" w14:textId="77777777" w:rsidTr="007D7695">
        <w:tc>
          <w:tcPr>
            <w:tcW w:w="0" w:type="auto"/>
            <w:hideMark/>
          </w:tcPr>
          <w:p w14:paraId="1DC43B8E" w14:textId="77777777" w:rsidR="000D5304" w:rsidRPr="000D5304" w:rsidRDefault="000D5304" w:rsidP="000D5304">
            <w:r w:rsidRPr="000D5304">
              <w:t>Bone surface</w:t>
            </w:r>
          </w:p>
        </w:tc>
        <w:tc>
          <w:tcPr>
            <w:tcW w:w="0" w:type="auto"/>
            <w:hideMark/>
          </w:tcPr>
          <w:p w14:paraId="0C2D894F" w14:textId="77777777" w:rsidR="000D5304" w:rsidRPr="000D5304" w:rsidRDefault="000D5304" w:rsidP="000D5304">
            <w:r w:rsidRPr="000D5304">
              <w:t>64.8</w:t>
            </w:r>
          </w:p>
        </w:tc>
        <w:tc>
          <w:tcPr>
            <w:tcW w:w="0" w:type="auto"/>
            <w:hideMark/>
          </w:tcPr>
          <w:p w14:paraId="49F9638E" w14:textId="77777777" w:rsidR="000D5304" w:rsidRPr="000D5304" w:rsidRDefault="000D5304" w:rsidP="000D5304">
            <w:r w:rsidRPr="000D5304">
              <w:t>85.4</w:t>
            </w:r>
          </w:p>
        </w:tc>
        <w:tc>
          <w:tcPr>
            <w:tcW w:w="0" w:type="auto"/>
            <w:hideMark/>
          </w:tcPr>
          <w:p w14:paraId="7F6D1FD7" w14:textId="77777777" w:rsidR="000D5304" w:rsidRPr="000D5304" w:rsidRDefault="000D5304" w:rsidP="000D5304">
            <w:r w:rsidRPr="000D5304">
              <w:t>40.0</w:t>
            </w:r>
          </w:p>
        </w:tc>
        <w:tc>
          <w:tcPr>
            <w:tcW w:w="0" w:type="auto"/>
            <w:hideMark/>
          </w:tcPr>
          <w:p w14:paraId="186B7278" w14:textId="77777777" w:rsidR="000D5304" w:rsidRPr="000D5304" w:rsidRDefault="000D5304" w:rsidP="000D5304">
            <w:r w:rsidRPr="000D5304">
              <w:t>58.7</w:t>
            </w:r>
          </w:p>
        </w:tc>
        <w:tc>
          <w:tcPr>
            <w:tcW w:w="0" w:type="auto"/>
            <w:hideMark/>
          </w:tcPr>
          <w:p w14:paraId="6D1326B4" w14:textId="77777777" w:rsidR="000D5304" w:rsidRPr="000D5304" w:rsidRDefault="000D5304" w:rsidP="000D5304">
            <w:r w:rsidRPr="000D5304">
              <w:t>72.0</w:t>
            </w:r>
          </w:p>
        </w:tc>
        <w:tc>
          <w:tcPr>
            <w:tcW w:w="0" w:type="auto"/>
            <w:hideMark/>
          </w:tcPr>
          <w:p w14:paraId="12C0C1AD" w14:textId="77777777" w:rsidR="000D5304" w:rsidRPr="000D5304" w:rsidRDefault="000D5304" w:rsidP="000D5304">
            <w:r w:rsidRPr="000D5304">
              <w:t>13.3</w:t>
            </w:r>
            <w:r w:rsidRPr="000D5304">
              <w:br/>
            </w:r>
            <w:r w:rsidRPr="000D5304">
              <w:rPr>
                <w:b/>
                <w:bCs/>
                <w:i/>
                <w:iCs/>
              </w:rPr>
              <w:t>&lt;0.001</w:t>
            </w:r>
          </w:p>
        </w:tc>
      </w:tr>
    </w:tbl>
    <w:p w14:paraId="007F0BB6" w14:textId="77777777" w:rsidR="007D7695" w:rsidRDefault="007D7695" w:rsidP="000D5304"/>
    <w:p w14:paraId="7362F3A3" w14:textId="05975BF9" w:rsidR="000D5304" w:rsidRPr="00153CB4" w:rsidRDefault="000D5304" w:rsidP="00D25032">
      <w:r w:rsidRPr="00153CB4">
        <w:t>Figures 4</w:t>
      </w:r>
      <w:r w:rsidRPr="000D5304">
        <w:t> shows the dose maps for both the full scan and the reduced scan. </w:t>
      </w:r>
      <w:r w:rsidRPr="00153CB4">
        <w:t>Figure 5</w:t>
      </w:r>
      <w:r w:rsidRPr="000D5304">
        <w:t> plots the dose reduction factors for the six contoured organs and tissues across all cases.</w:t>
      </w:r>
    </w:p>
    <w:p w14:paraId="3629B71E" w14:textId="1612CA9D" w:rsidR="000D5304" w:rsidRPr="00153CB4" w:rsidRDefault="000D5304" w:rsidP="0061774C">
      <w:pPr>
        <w:pStyle w:val="NoSpacing"/>
      </w:pPr>
      <w:r w:rsidRPr="00153CB4">
        <w:rPr>
          <w:noProof/>
        </w:rPr>
        <w:drawing>
          <wp:inline distT="0" distB="0" distL="0" distR="0" wp14:anchorId="75F865E0" wp14:editId="7C46261D">
            <wp:extent cx="2743200" cy="1133856"/>
            <wp:effectExtent l="0" t="0" r="0" b="9525"/>
            <wp:docPr id="933384991" name="Picture 4">
              <a:hlinkClick xmlns:a="http://schemas.openxmlformats.org/drawingml/2006/main" r:id="rId22" tgtFrame="&quot;figure&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3384991" name="Picture 4">
                      <a:hlinkClick r:id="rId22" tgtFrame="&quot;figure&quot;"/>
                      <a:extLst>
                        <a:ext uri="{C183D7F6-B498-43B3-948B-1728B52AA6E4}">
                          <adec:decorative xmlns:adec="http://schemas.microsoft.com/office/drawing/2017/decorative" val="1"/>
                        </a:ext>
                      </a:extLst>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743200" cy="1133856"/>
                    </a:xfrm>
                    <a:prstGeom prst="rect">
                      <a:avLst/>
                    </a:prstGeom>
                    <a:noFill/>
                    <a:ln>
                      <a:noFill/>
                    </a:ln>
                  </pic:spPr>
                </pic:pic>
              </a:graphicData>
            </a:graphic>
          </wp:inline>
        </w:drawing>
      </w:r>
    </w:p>
    <w:p w14:paraId="5CC80048" w14:textId="4A0974E6" w:rsidR="000D5304" w:rsidRPr="00153CB4" w:rsidRDefault="000D5304" w:rsidP="0061774C">
      <w:pPr>
        <w:pStyle w:val="NoSpacing"/>
      </w:pPr>
      <w:r w:rsidRPr="00153CB4">
        <w:t>Figure 4.</w:t>
      </w:r>
      <w:r w:rsidR="0061774C">
        <w:rPr>
          <w:rStyle w:val="Hyperlink"/>
        </w:rPr>
        <w:t xml:space="preserve"> </w:t>
      </w:r>
      <w:r w:rsidRPr="000D5304">
        <w:t>Energy deposition maps (window 0, 0.1 eV/photon for (a) the original scan with full z-scan-length, (b) the reduced z-scan-length. eV = Electron Volt.</w:t>
      </w:r>
    </w:p>
    <w:p w14:paraId="7FBFA3D8" w14:textId="66E8E26A" w:rsidR="000D5304" w:rsidRPr="00153CB4" w:rsidRDefault="000D5304" w:rsidP="0061774C">
      <w:pPr>
        <w:pStyle w:val="NoSpacing"/>
      </w:pPr>
      <w:r w:rsidRPr="00153CB4">
        <w:rPr>
          <w:noProof/>
        </w:rPr>
        <w:lastRenderedPageBreak/>
        <w:drawing>
          <wp:inline distT="0" distB="0" distL="0" distR="0" wp14:anchorId="556934B7" wp14:editId="2A312611">
            <wp:extent cx="2743200" cy="2167128"/>
            <wp:effectExtent l="0" t="0" r="0" b="5080"/>
            <wp:docPr id="1207096360" name="Picture 3">
              <a:hlinkClick xmlns:a="http://schemas.openxmlformats.org/drawingml/2006/main" r:id="rId24" tgtFrame="&quot;figure&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7096360" name="Picture 3">
                      <a:hlinkClick r:id="rId24" tgtFrame="&quot;figure&quot;"/>
                      <a:extLst>
                        <a:ext uri="{C183D7F6-B498-43B3-948B-1728B52AA6E4}">
                          <adec:decorative xmlns:adec="http://schemas.microsoft.com/office/drawing/2017/decorative" val="1"/>
                        </a:ext>
                      </a:extLst>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743200" cy="2167128"/>
                    </a:xfrm>
                    <a:prstGeom prst="rect">
                      <a:avLst/>
                    </a:prstGeom>
                    <a:noFill/>
                    <a:ln>
                      <a:noFill/>
                    </a:ln>
                  </pic:spPr>
                </pic:pic>
              </a:graphicData>
            </a:graphic>
          </wp:inline>
        </w:drawing>
      </w:r>
    </w:p>
    <w:p w14:paraId="259F0740" w14:textId="150F64A0" w:rsidR="000D5304" w:rsidRDefault="000D5304" w:rsidP="0061774C">
      <w:pPr>
        <w:pStyle w:val="NoSpacing"/>
      </w:pPr>
      <w:r w:rsidRPr="00153CB4">
        <w:t>Figure 5.</w:t>
      </w:r>
      <w:r w:rsidR="0061774C">
        <w:rPr>
          <w:rStyle w:val="Hyperlink"/>
        </w:rPr>
        <w:t xml:space="preserve"> </w:t>
      </w:r>
      <w:r w:rsidRPr="000D5304">
        <w:t>Plot of the dose reduction factors for the six contoured organs and tissues across all studied cases. The red lines indicate the median value.</w:t>
      </w:r>
    </w:p>
    <w:p w14:paraId="1156457C" w14:textId="77777777" w:rsidR="0061774C" w:rsidRPr="000D5304" w:rsidRDefault="0061774C" w:rsidP="000D5304"/>
    <w:p w14:paraId="60E5FC03" w14:textId="3AE37028" w:rsidR="000D5304" w:rsidRPr="000D5304" w:rsidRDefault="000D5304" w:rsidP="000D5304">
      <w:r w:rsidRPr="00153CB4">
        <w:t>Figure 4</w:t>
      </w:r>
      <w:r w:rsidRPr="000D5304">
        <w:t xml:space="preserve">. Dose maps (window 0, 5 </w:t>
      </w:r>
      <w:proofErr w:type="spellStart"/>
      <w:r w:rsidRPr="000D5304">
        <w:t>mGy</w:t>
      </w:r>
      <w:proofErr w:type="spellEnd"/>
      <w:r w:rsidRPr="000D5304">
        <w:t xml:space="preserve">) for a patient helically scanned with (a) the original full z-scan-length, (b) the reduced z-scan-length. The dose map values in units of </w:t>
      </w:r>
      <w:proofErr w:type="spellStart"/>
      <w:r w:rsidRPr="000D5304">
        <w:t>mGy</w:t>
      </w:r>
      <w:proofErr w:type="spellEnd"/>
      <w:r w:rsidRPr="000D5304">
        <w:t xml:space="preserve"> were obtained by scaling the simulation output (in units of </w:t>
      </w:r>
      <w:proofErr w:type="spellStart"/>
      <w:r w:rsidRPr="000D5304">
        <w:t>mGy</w:t>
      </w:r>
      <w:proofErr w:type="spellEnd"/>
      <w:r w:rsidRPr="000D5304">
        <w:t xml:space="preserve"> per photon) using a conversion factor based on the </w:t>
      </w:r>
      <w:proofErr w:type="spellStart"/>
      <w:r w:rsidRPr="000D5304">
        <w:t>CTDI</w:t>
      </w:r>
      <w:r w:rsidRPr="000D5304">
        <w:rPr>
          <w:vertAlign w:val="subscript"/>
        </w:rPr>
        <w:t>vol</w:t>
      </w:r>
      <w:proofErr w:type="spellEnd"/>
      <w:r w:rsidRPr="000D5304">
        <w:t> provided in the DICOM header, according to the method used in Principi et al.</w:t>
      </w:r>
      <w:r w:rsidRPr="00153CB4">
        <w:rPr>
          <w:vertAlign w:val="superscript"/>
        </w:rPr>
        <w:t xml:space="preserve">18, </w:t>
      </w:r>
      <w:proofErr w:type="gramStart"/>
      <w:r w:rsidRPr="00153CB4">
        <w:rPr>
          <w:vertAlign w:val="superscript"/>
        </w:rPr>
        <w:t>20</w:t>
      </w:r>
      <w:proofErr w:type="gramEnd"/>
    </w:p>
    <w:p w14:paraId="7201F027" w14:textId="77777777" w:rsidR="000D5304" w:rsidRPr="000D5304" w:rsidRDefault="000D5304" w:rsidP="00D25032">
      <w:pPr>
        <w:pStyle w:val="Heading2"/>
      </w:pPr>
      <w:r w:rsidRPr="000D5304">
        <w:t>3.2. Diagnostic Accuracy</w:t>
      </w:r>
    </w:p>
    <w:p w14:paraId="4F670C0B" w14:textId="0F7E728B" w:rsidR="000D5304" w:rsidRPr="000D5304" w:rsidRDefault="000D5304" w:rsidP="000D5304">
      <w:r w:rsidRPr="000D5304">
        <w:t>An average of 26.7 total unique opacities were contoured per patient for the full z-scan-range, of which 3.5 were excluded from the shortened z-scan-length. On average, reduced z-coverage resulted in missing 12.4% of infectious opacities per patient, of which 5.1% (1.5 per patient) were above the top of the arch and 7.5% (2 per patient) below the left hemidiaphragm. Due to extensive involvement of the areas of the lungs where the opacities were included, the diagnostic value of the examination was not significantly decreased, although we did not evaluate if any pathology or clinically concerning findings other than pneumonia were missed on the shorter z-axis scans. An example is given in </w:t>
      </w:r>
      <w:r w:rsidRPr="00153CB4">
        <w:t>Figure 6</w:t>
      </w:r>
      <w:r w:rsidRPr="000D5304">
        <w:t xml:space="preserve">, where the distribution of the identified opacities is shown for one of the cases with </w:t>
      </w:r>
      <w:proofErr w:type="gramStart"/>
      <w:r w:rsidRPr="000D5304">
        <w:t>higher</w:t>
      </w:r>
      <w:proofErr w:type="gramEnd"/>
      <w:r w:rsidRPr="000D5304">
        <w:t xml:space="preserve"> percentage of excluded opacities. In this patient, 46 opacities were detected, of which 4 were excluded from the reduced z-coverage because </w:t>
      </w:r>
      <w:proofErr w:type="gramStart"/>
      <w:r w:rsidRPr="000D5304">
        <w:t>above</w:t>
      </w:r>
      <w:proofErr w:type="gramEnd"/>
      <w:r w:rsidRPr="000D5304">
        <w:t xml:space="preserve"> the top of the aortic arch, and 7 were excluded because below the left hemidiaphragm. The opacities excluded from the reduced z-scan-length are above and below the dotted blue and red lines, respectively.</w:t>
      </w:r>
    </w:p>
    <w:p w14:paraId="3F45CFD9" w14:textId="758218B2" w:rsidR="000D5304" w:rsidRPr="00153CB4" w:rsidRDefault="000D5304" w:rsidP="00D25032">
      <w:pPr>
        <w:pStyle w:val="NoSpacing"/>
      </w:pPr>
    </w:p>
    <w:p w14:paraId="7443871A" w14:textId="1642DB77" w:rsidR="000D5304" w:rsidRPr="00153CB4" w:rsidRDefault="000D5304" w:rsidP="00D25032">
      <w:pPr>
        <w:pStyle w:val="NoSpacing"/>
      </w:pPr>
      <w:r w:rsidRPr="00153CB4">
        <w:rPr>
          <w:noProof/>
        </w:rPr>
        <w:drawing>
          <wp:inline distT="0" distB="0" distL="0" distR="0" wp14:anchorId="40183183" wp14:editId="3A8E13A5">
            <wp:extent cx="2743200" cy="2468880"/>
            <wp:effectExtent l="0" t="0" r="0" b="7620"/>
            <wp:docPr id="183396670" name="Picture 2">
              <a:hlinkClick xmlns:a="http://schemas.openxmlformats.org/drawingml/2006/main" r:id="rId26" tgtFrame="&quot;figure&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396670" name="Picture 2">
                      <a:hlinkClick r:id="rId26" tgtFrame="&quot;figure&quot;"/>
                      <a:extLst>
                        <a:ext uri="{C183D7F6-B498-43B3-948B-1728B52AA6E4}">
                          <adec:decorative xmlns:adec="http://schemas.microsoft.com/office/drawing/2017/decorative" val="1"/>
                        </a:ext>
                      </a:extLst>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743200" cy="2468880"/>
                    </a:xfrm>
                    <a:prstGeom prst="rect">
                      <a:avLst/>
                    </a:prstGeom>
                    <a:noFill/>
                    <a:ln>
                      <a:noFill/>
                    </a:ln>
                  </pic:spPr>
                </pic:pic>
              </a:graphicData>
            </a:graphic>
          </wp:inline>
        </w:drawing>
      </w:r>
    </w:p>
    <w:p w14:paraId="350C273E" w14:textId="1DBCF7FB" w:rsidR="000D5304" w:rsidRDefault="000D5304" w:rsidP="00D25032">
      <w:pPr>
        <w:pStyle w:val="NoSpacing"/>
      </w:pPr>
      <w:r w:rsidRPr="00153CB4">
        <w:lastRenderedPageBreak/>
        <w:t>Figure 6.</w:t>
      </w:r>
      <w:r w:rsidR="00D25032">
        <w:rPr>
          <w:rStyle w:val="Hyperlink"/>
        </w:rPr>
        <w:t xml:space="preserve"> </w:t>
      </w:r>
      <w:r w:rsidRPr="000D5304">
        <w:t>Distribution of the infectious opacities in a patient where 11 out of 46 (24%) opacities were not included in the limited z-coverage. The opacities excluded from the reduced z-scan-length are identified by the red squares.</w:t>
      </w:r>
    </w:p>
    <w:p w14:paraId="161CB9AE" w14:textId="77777777" w:rsidR="00D25032" w:rsidRPr="000D5304" w:rsidRDefault="00D25032" w:rsidP="000D5304"/>
    <w:p w14:paraId="2E4A3AFC" w14:textId="77777777" w:rsidR="000D5304" w:rsidRPr="000D5304" w:rsidRDefault="000D5304" w:rsidP="000D5304">
      <w:r w:rsidRPr="000D5304">
        <w:t>In 28% (21/74) of cases no opacity was excluded, neither above the top of the aortic arch nor below the left hemidiaphragm.</w:t>
      </w:r>
    </w:p>
    <w:p w14:paraId="675703A2" w14:textId="77777777" w:rsidR="000D5304" w:rsidRPr="000D5304" w:rsidRDefault="000D5304" w:rsidP="00D25032">
      <w:pPr>
        <w:pStyle w:val="Heading1"/>
      </w:pPr>
      <w:r w:rsidRPr="000D5304">
        <w:t>4.</w:t>
      </w:r>
      <w:r w:rsidRPr="000D5304">
        <w:t> </w:t>
      </w:r>
      <w:r w:rsidRPr="000D5304">
        <w:t>Discussion</w:t>
      </w:r>
    </w:p>
    <w:p w14:paraId="10333958" w14:textId="416DD905" w:rsidR="000D5304" w:rsidRPr="000D5304" w:rsidRDefault="000D5304" w:rsidP="000D5304">
      <w:r w:rsidRPr="000D5304">
        <w:t>This work demonstrates that a reduction in z-scan-length can significantly decrease radiation dose without a significant reduction in diagnostic accuracy in adult patients positive for COVID-19. Furthermore, the reduction is not evenly distributed, with a wide range of dose reduction amongst thoracic organs and tissues. To our knowledge, this is the first study to evaluate this potential dose reduction in COVID-19 patients. The widespread use of automatic exposure control, part of tube current modulation, has made z-scan-length decrease a prime target for dose reduction in chest CT. This is because the tube current used in the lung region is lower than the tube current used in the more highly attenuating regions of the shoulders and upper abdomen (</w:t>
      </w:r>
      <w:r w:rsidRPr="00153CB4">
        <w:t>Figure 4</w:t>
      </w:r>
      <w:r w:rsidRPr="000D5304">
        <w:t xml:space="preserve">). Limiting the exam to the region between the top of the aortic arch and the left hemidiaphragm excluded the denser body regions, resulting in an average </w:t>
      </w:r>
      <w:proofErr w:type="spellStart"/>
      <w:r w:rsidRPr="000D5304">
        <w:t>CTDI</w:t>
      </w:r>
      <w:r w:rsidRPr="000D5304">
        <w:rPr>
          <w:vertAlign w:val="subscript"/>
        </w:rPr>
        <w:t>vol</w:t>
      </w:r>
      <w:proofErr w:type="spellEnd"/>
      <w:r w:rsidRPr="000D5304">
        <w:t xml:space="preserve"> reduction of 37% (median ≈ 36%). When combined with a z-scan reduction of 52%, this reduced DLP by an average of 69% (median ≈ 68%). The median reduced scan-length of 15.2 cm in our work </w:t>
      </w:r>
      <w:proofErr w:type="gramStart"/>
      <w:r w:rsidRPr="000D5304">
        <w:t>is in agreement</w:t>
      </w:r>
      <w:proofErr w:type="gramEnd"/>
      <w:r w:rsidRPr="000D5304">
        <w:t xml:space="preserve"> with the reduced z-scan-length of 15 cm from Shahir et al. study on reduced scan length for when using CT to detect pulmonary emboli in pregnant patients</w:t>
      </w:r>
      <w:r w:rsidRPr="00153CB4">
        <w:rPr>
          <w:vertAlign w:val="superscript"/>
        </w:rPr>
        <w:t>11</w:t>
      </w:r>
      <w:r w:rsidRPr="000D5304">
        <w:t xml:space="preserve">. However, the mean length of the original scan in their study was 26 cm (scan length reduced by a mean of 42.6%), and the dose was reduced on average by 70% (calculated as DLP reduction). A similar dose reduction factor was found in </w:t>
      </w:r>
      <w:proofErr w:type="spellStart"/>
      <w:r w:rsidRPr="000D5304">
        <w:t>Litmanovich</w:t>
      </w:r>
      <w:proofErr w:type="spellEnd"/>
      <w:r w:rsidRPr="000D5304">
        <w:t xml:space="preserve"> et al. work</w:t>
      </w:r>
      <w:r w:rsidRPr="00153CB4">
        <w:rPr>
          <w:vertAlign w:val="superscript"/>
        </w:rPr>
        <w:t>21</w:t>
      </w:r>
      <w:r w:rsidRPr="000D5304">
        <w:t>, with a calculated dose reduction of 75% obtained again from DLP values in 26 pregnant patients who underwent CT Pulmonary Angiogram with a reduced scan range.</w:t>
      </w:r>
    </w:p>
    <w:p w14:paraId="182B9021" w14:textId="63A45D18" w:rsidR="000D5304" w:rsidRPr="000D5304" w:rsidRDefault="000D5304" w:rsidP="000D5304">
      <w:r w:rsidRPr="000D5304">
        <w:t>Due to differences in radiation sensitivity, the impact of radiation dose reduction on organs and tissues throughout the thorax will vary and thus radiation dose reduction should be evaluated on a tissue-by-tissue basis. Therefore, we estimated patient-specific organ dose by employing PREDICT. The average organ dose reduction varied between 17.9% (breasts) and 63.4% – 64.8% (bone marrow and bone surface), showing that reduced z-axis scan length impacts some organs more than others. This result highlights the fact that dose reduction based merely on the metric of DLP does not reflect the change of dose reduction across different organs and may overestimate the overall dose reduction. Also, our study demonstrated that reducing the scan length does not have a significant impact on diagnostic accuracy in COVID-19 patients. In fact, of the 27 infectious opacities found per patient on average for the full z-scan-range, only 3.5 were not included due to the reduced longitudinal exposure, on average. In Shahir et al. study on reduced scan length for pulmonary embolism</w:t>
      </w:r>
      <w:r w:rsidRPr="00153CB4">
        <w:rPr>
          <w:vertAlign w:val="superscript"/>
        </w:rPr>
        <w:t>11</w:t>
      </w:r>
      <w:r w:rsidRPr="000D5304">
        <w:t>, no decrease in the diagnostic accuracy was observed, in fact no pertinent findings were missed (out of 60 across all cases), while four incidental findings were missed (of which three were thyroid nodules). While our method does exclude a small fraction of infectious opacities, the clinical significance is likely negligible given the typical diffuse distribution of COVID-19 pneumonia. On the other hand, the effect on diagnostic accuracy relative to findings not pertinent to the COVID-19 disease is beyond the scope of this study and was not evaluated.</w:t>
      </w:r>
    </w:p>
    <w:p w14:paraId="5A450D71" w14:textId="72DD8303" w:rsidR="000D5304" w:rsidRPr="000D5304" w:rsidRDefault="000D5304" w:rsidP="000D5304">
      <w:r w:rsidRPr="000D5304">
        <w:t xml:space="preserve">Several papers have discussed the peripheral distribution of opacities within axial images of </w:t>
      </w:r>
      <w:proofErr w:type="gramStart"/>
      <w:r w:rsidRPr="000D5304">
        <w:t>the lung</w:t>
      </w:r>
      <w:r w:rsidRPr="00153CB4">
        <w:rPr>
          <w:vertAlign w:val="superscript"/>
        </w:rPr>
        <w:t>22</w:t>
      </w:r>
      <w:proofErr w:type="gramEnd"/>
      <w:r w:rsidRPr="00153CB4">
        <w:rPr>
          <w:vertAlign w:val="superscript"/>
        </w:rPr>
        <w:t>, 23</w:t>
      </w:r>
      <w:r w:rsidRPr="000D5304">
        <w:t xml:space="preserve">, but there is little information about the longitudinal distribution. The results of this study demonstrate that opacities due to COVID-19 distribute across the longitudinal extent of the lung. This longitudinal distribution makes COVID-19 a good candidate for z-scan length reduction because, with an average of 88% of opacities located between the aortic arch and left hemidiaphragm, diagnostic utility can be maintained with the reduced scan </w:t>
      </w:r>
      <w:r w:rsidRPr="000D5304">
        <w:lastRenderedPageBreak/>
        <w:t>length. This makes this technique useful in CT examinations assessing the severity of disease or monitoring the progression or resolution of disease in COVID-19 patients, as the distribution of their disease can be predicted. On the other hand, radiologists should be parsimonious in the usage of this technique, as other disease processes may not be as longitudinally distributed and diagnostic accuracy could suffer.</w:t>
      </w:r>
    </w:p>
    <w:p w14:paraId="26217E85" w14:textId="77777777" w:rsidR="000D5304" w:rsidRPr="000D5304" w:rsidRDefault="000D5304" w:rsidP="000D5304">
      <w:r w:rsidRPr="000D5304">
        <w:t xml:space="preserve">One limitation of this work is that portions of organs that extend beyond the chest volume, such as bone surface and bone marrow, were not accounted in the dose computation. Therefore, the organ dose is calculated only in respect to the volume of the organ, </w:t>
      </w:r>
      <w:proofErr w:type="gramStart"/>
      <w:r w:rsidRPr="000D5304">
        <w:t>i.e.</w:t>
      </w:r>
      <w:proofErr w:type="gramEnd"/>
      <w:r w:rsidRPr="000D5304">
        <w:t xml:space="preserve"> bone, that is within the scan length, even though it extends beyond the scanned image. Then, if the whole volume of bone and bone marrow were included in the calculations, the dose reduction for these tissues would be lower. Also, this study modeled all patients as being helically scanned on a GE Discovery 750 HD (GE Healthcare) scanner. As the objective of this work is not to provide the best estimate of dose for a specific scanner, but to quantify the relative dose reduction retrospectively, we considered that the use of our validated scanner model (GE Discovery 750HD) was adequate for the purpose of the study. Furthermore, contours for the adult organs in our study were generated by a deep learning algorithm trained on pediatric images. Due to the recent spike of COVID-19 infections among the younger population, an additional study using PREDICT for dose reduction quantification and protocol optimization for children and young adults would be particularly beneficial. Unfortunately, no </w:t>
      </w:r>
      <w:proofErr w:type="gramStart"/>
      <w:r w:rsidRPr="000D5304">
        <w:t>dataset</w:t>
      </w:r>
      <w:proofErr w:type="gramEnd"/>
      <w:r w:rsidRPr="000D5304">
        <w:t xml:space="preserve"> of patients positive for COVID-19 under 18 years of age is currently publicly available.</w:t>
      </w:r>
    </w:p>
    <w:p w14:paraId="6DFF7F51" w14:textId="21F23D18" w:rsidR="000D5304" w:rsidRPr="000D5304" w:rsidRDefault="000D5304" w:rsidP="000D5304">
      <w:r w:rsidRPr="000D5304">
        <w:t xml:space="preserve">As </w:t>
      </w:r>
      <w:proofErr w:type="gramStart"/>
      <w:r w:rsidRPr="000D5304">
        <w:t>known</w:t>
      </w:r>
      <w:proofErr w:type="gramEnd"/>
      <w:r w:rsidRPr="000D5304">
        <w:t>, radiation-induced cancer is a risk of stochastic nature. Risk models predict that approximately one in 100 individuals would be expected to develop cancer from a dose of 100 mSv, while approximately 42 of the 100 individuals would be expected to develop cancer from other causes</w:t>
      </w:r>
      <w:r w:rsidRPr="00153CB4">
        <w:rPr>
          <w:vertAlign w:val="superscript"/>
        </w:rPr>
        <w:t>24</w:t>
      </w:r>
      <w:r w:rsidRPr="000D5304">
        <w:t xml:space="preserve">. However, the fact that there is no threshold above which cancers are induced makes it difficult to evaluate cancer risk due to exposure to ionizing radiation in humans and what are the effects of a dose saving of approximately 50% in terms of cancer incidences/death. A study </w:t>
      </w:r>
      <w:proofErr w:type="gramStart"/>
      <w:r w:rsidRPr="000D5304">
        <w:t>at</w:t>
      </w:r>
      <w:proofErr w:type="gramEnd"/>
      <w:r w:rsidRPr="000D5304">
        <w:t xml:space="preserve"> this regard is presented in </w:t>
      </w:r>
      <w:r w:rsidRPr="00153CB4">
        <w:t>Appendix B</w:t>
      </w:r>
      <w:r w:rsidRPr="000D5304">
        <w:t>. Also, although reduction of radiation to thyroid is important especially for the younger population, the thyroid is not currently included in our training model, therefore contours and consequently absorbed dose were not available for this organ in the current study.</w:t>
      </w:r>
    </w:p>
    <w:p w14:paraId="7DC43FCE" w14:textId="4DDD4DA4" w:rsidR="000D5304" w:rsidRPr="000D5304" w:rsidRDefault="000D5304" w:rsidP="000D5304">
      <w:r w:rsidRPr="000D5304">
        <w:t>An additional limitation is that no information was available on the severity of the disease for each patient. However, the MIDRC-RICORD dataset Release 1c (MIDRC-RICORD-1c)</w:t>
      </w:r>
      <w:r w:rsidRPr="00153CB4">
        <w:rPr>
          <w:vertAlign w:val="superscript"/>
        </w:rPr>
        <w:t>25</w:t>
      </w:r>
      <w:r w:rsidRPr="000D5304">
        <w:t xml:space="preserve"> that includes 998 Chest x-ray (CXR) examinations from 361 patients positive for COVID-19 classified mild, moderate, and severe cases according to the following criteria:</w:t>
      </w:r>
    </w:p>
    <w:p w14:paraId="6CD0CBED" w14:textId="77777777" w:rsidR="000D5304" w:rsidRPr="000D5304" w:rsidRDefault="000D5304" w:rsidP="000D5304">
      <w:r w:rsidRPr="000D5304">
        <w:t>Mild- Opacities in 1–2 lung zones</w:t>
      </w:r>
    </w:p>
    <w:p w14:paraId="212C3A50" w14:textId="77777777" w:rsidR="000D5304" w:rsidRPr="000D5304" w:rsidRDefault="000D5304" w:rsidP="000D5304">
      <w:r w:rsidRPr="000D5304">
        <w:t>Moderate- Opacities in 3–4 lung zones</w:t>
      </w:r>
    </w:p>
    <w:p w14:paraId="38C5C23D" w14:textId="77777777" w:rsidR="000D5304" w:rsidRPr="000D5304" w:rsidRDefault="000D5304" w:rsidP="000D5304">
      <w:r w:rsidRPr="000D5304">
        <w:t>Severe - Opacities in 5–6 lung zones</w:t>
      </w:r>
    </w:p>
    <w:p w14:paraId="15B97A53" w14:textId="77777777" w:rsidR="000D5304" w:rsidRPr="000D5304" w:rsidRDefault="000D5304" w:rsidP="000D5304">
      <w:r w:rsidRPr="000D5304">
        <w:t xml:space="preserve">Where the lungs are divided on frontal chest x-ray into 3 zones per lung (6 zones total), of which the upper zone extends from the apices to the superior hilum, the mid zone spans between the superior and inferior hilar margins, and the lower zone extends from the inferior hilar margins to the costophrenic sulci. In our study, 52 cases out of the 73 studied patients have opacities distributed across six lung </w:t>
      </w:r>
      <w:proofErr w:type="gramStart"/>
      <w:r w:rsidRPr="000D5304">
        <w:t>zones, and</w:t>
      </w:r>
      <w:proofErr w:type="gramEnd"/>
      <w:r w:rsidRPr="000D5304">
        <w:t xml:space="preserve"> can be considered severe cases of COVID-19 pneumonia, whilst the other patients are moderate cases, according to the mentioned criteria. It is worth noting that since CT is more sensitive to subtle findings than CXR, the classification criteria provided here is likely overestimating the severity of disease in our cohort.</w:t>
      </w:r>
    </w:p>
    <w:p w14:paraId="079685AB" w14:textId="77777777" w:rsidR="000D5304" w:rsidRPr="000D5304" w:rsidRDefault="000D5304" w:rsidP="000D5304">
      <w:r w:rsidRPr="000D5304">
        <w:t xml:space="preserve">In conclusion, limiting z-scan-length of chest CTs reduced radiation dose without compromising diagnostic utility in COVID-19 positive patients, as approximately 90% of the infectious opacities are still detected despite the </w:t>
      </w:r>
      <w:r w:rsidRPr="000D5304">
        <w:lastRenderedPageBreak/>
        <w:t>reduced scanned volume. The results from this study could be extrapolated to chest CT examinations for conditions beyond COVID-19 pneumonia that have similar longitudinal distribution throughout the lungs or have a central distribution of pathology.</w:t>
      </w:r>
    </w:p>
    <w:p w14:paraId="76CA49E2" w14:textId="10A0D89A" w:rsidR="000D5304" w:rsidRPr="000D5304" w:rsidRDefault="000D5304" w:rsidP="00D25032">
      <w:pPr>
        <w:pStyle w:val="Heading1"/>
      </w:pPr>
      <w:r w:rsidRPr="000D5304">
        <w:t>Conflicts of Interest and Source of Funding</w:t>
      </w:r>
    </w:p>
    <w:p w14:paraId="49815B23" w14:textId="77777777" w:rsidR="000D5304" w:rsidRPr="000D5304" w:rsidRDefault="000D5304" w:rsidP="000D5304">
      <w:r w:rsidRPr="000D5304">
        <w:t>This work was supported by NIH U01EB023822. The content is solely the responsibility of the authors and does not necessarily represent the official views of the National Institutes of Health. The authors also declare that the PREDICT tool was developed via collaboration with Varian Medical Systems.</w:t>
      </w:r>
    </w:p>
    <w:p w14:paraId="02922742" w14:textId="77777777" w:rsidR="000D5304" w:rsidRPr="000D5304" w:rsidRDefault="000D5304" w:rsidP="000D5304">
      <w:r w:rsidRPr="000D5304">
        <w:t xml:space="preserve">Authors S. Principi, T. G. Schmidt, and S. D. O’Connor collaborate through the NIH grant U01 EB023822 with Varian Medical Systems on the development and validation of the PREDICT tool. No authors receive research funding from Varian Medical Systems. The core algorithms of the PREDICT tool were developed by Varian Medical Systems and were validated as part of the PREDICT tool by authors S. Principi and T. G. Schmidt as well as other </w:t>
      </w:r>
      <w:proofErr w:type="gramStart"/>
      <w:r w:rsidRPr="000D5304">
        <w:t>multi institutional</w:t>
      </w:r>
      <w:proofErr w:type="gramEnd"/>
      <w:r w:rsidRPr="000D5304">
        <w:t xml:space="preserve"> collaborators. The PREDICT tool is not commercially available and was developed as a research tool. Varian Medical Systems was not involved in the research of this COVID study.</w:t>
      </w:r>
    </w:p>
    <w:p w14:paraId="51A1C9CE" w14:textId="77777777" w:rsidR="000D5304" w:rsidRPr="000D5304" w:rsidRDefault="000D5304" w:rsidP="00D25032">
      <w:pPr>
        <w:pStyle w:val="Heading1"/>
      </w:pPr>
      <w:r w:rsidRPr="000D5304">
        <w:t>Appendix A</w:t>
      </w:r>
    </w:p>
    <w:p w14:paraId="46C7C791" w14:textId="63E9DE79" w:rsidR="000D5304" w:rsidRPr="000D5304" w:rsidRDefault="000D5304" w:rsidP="000D5304">
      <w:r w:rsidRPr="000D5304">
        <w:t>The deep learning algorithm used in the PREDICT tool was trained and validated on a pediatric dataset (average age of 7 ± 4.5 years)</w:t>
      </w:r>
      <w:r w:rsidRPr="00153CB4">
        <w:rPr>
          <w:vertAlign w:val="superscript"/>
        </w:rPr>
        <w:t>19</w:t>
      </w:r>
      <w:r w:rsidRPr="000D5304">
        <w:t>, therefore its performance on adult patients was preliminary tested in this study. At this regard, reference ground truth contours for adult patients for heart, lungs, and esophagus from the “Lung CT Segmentation Challenge 2017” available in The Cancer Imaging Archive (TCIA) were employed</w:t>
      </w:r>
      <w:r w:rsidRPr="00153CB4">
        <w:rPr>
          <w:vertAlign w:val="superscript"/>
        </w:rPr>
        <w:t>26, 27</w:t>
      </w:r>
      <w:r w:rsidRPr="000D5304">
        <w:t xml:space="preserve">. The test, performed on 24-patient dataset, showed that the average dice scores were 0.87 and 0.96 for heart and lungs respectively which considered good segmentation performance. A significantly lower average dice score of 0.38 was obtained for the esophagus. </w:t>
      </w:r>
      <w:proofErr w:type="gramStart"/>
      <w:r w:rsidRPr="000D5304">
        <w:t>In order to</w:t>
      </w:r>
      <w:proofErr w:type="gramEnd"/>
      <w:r w:rsidRPr="000D5304">
        <w:t xml:space="preserve"> further investigate the appropriateness of the PREDICT tool for the adult subjects in the current study, we evaluated the </w:t>
      </w:r>
      <w:proofErr w:type="gramStart"/>
      <w:r w:rsidRPr="000D5304">
        <w:t>percent</w:t>
      </w:r>
      <w:proofErr w:type="gramEnd"/>
      <w:r w:rsidRPr="000D5304">
        <w:t xml:space="preserve"> dose error from using deep learning contours and ground truth contours. Despite its low dice coefficient, the dose error in the esophagus due to segmentation error was ≈2%, calculated for the case with dice score equal to the first quartile (≈0.22). These results suggest that the segmentation algorithm used by the PREDICT tool has sufficient accuracy for low organ dose error for the adult subjects in this study, when considering lungs, heart, and esophagus. However, due to a lack of ground truth contours for breast tissue, we do not know if the performance of PREDICT deep learning contouring for breast segmentation in adults is good. The PREDICT tool can be further improved for adults in the future by retraining the deep learning segmentation algorithms with adult subjects.</w:t>
      </w:r>
    </w:p>
    <w:p w14:paraId="2112CC47" w14:textId="77777777" w:rsidR="000D5304" w:rsidRPr="000D5304" w:rsidRDefault="000D5304" w:rsidP="00D25032">
      <w:pPr>
        <w:pStyle w:val="Heading1"/>
      </w:pPr>
      <w:r w:rsidRPr="000D5304">
        <w:t>Appendix B</w:t>
      </w:r>
    </w:p>
    <w:p w14:paraId="693372D1" w14:textId="0585893E" w:rsidR="000D5304" w:rsidRPr="000D5304" w:rsidRDefault="000D5304" w:rsidP="000D5304">
      <w:r w:rsidRPr="000D5304">
        <w:t>The BEIR (Biological Effects of Ionizing Radiations) VII committee</w:t>
      </w:r>
      <w:r w:rsidRPr="00153CB4">
        <w:rPr>
          <w:vertAlign w:val="superscript"/>
        </w:rPr>
        <w:t>24</w:t>
      </w:r>
      <w:r w:rsidRPr="000D5304">
        <w:t xml:space="preserve"> developed models based on epidemiologic data, </w:t>
      </w:r>
      <w:proofErr w:type="gramStart"/>
      <w:r w:rsidRPr="000D5304">
        <w:t>i.e.</w:t>
      </w:r>
      <w:proofErr w:type="gramEnd"/>
      <w:r w:rsidRPr="000D5304">
        <w:t xml:space="preserve"> from atomic bomb survivors, for estimating the risk that an individual exposed to radiation will develop cancer. The BIER lifetime risk model predicts that approximately one individual in 100 persons would be expected to develop cancer from a dose of 100 mSv, while approximately 42 of the 100 individuals would be expected to develop cancer from other causes.</w:t>
      </w:r>
    </w:p>
    <w:p w14:paraId="75C8B083" w14:textId="7905E6D1" w:rsidR="000D5304" w:rsidRPr="000D5304" w:rsidRDefault="000D5304" w:rsidP="000D5304">
      <w:r w:rsidRPr="000D5304">
        <w:t>In our study, the risk in terms of death due to radiation-induced cancer was evaluated with the tool PCXMC</w:t>
      </w:r>
      <w:r w:rsidRPr="00153CB4">
        <w:rPr>
          <w:vertAlign w:val="superscript"/>
        </w:rPr>
        <w:t>28</w:t>
      </w:r>
      <w:r w:rsidRPr="000D5304">
        <w:t>. PCXMC adopts the mathematical risk models developed by the BEIR committee, that accounts for sex and age at the exposure. PCXMC takes as input the dose to several organs (such as lungs, colon, liver), age, gender and ethnicity of the patient, and outputs the risk of exposure-induced cancer death (REID).</w:t>
      </w:r>
    </w:p>
    <w:p w14:paraId="2F2883B5" w14:textId="05530209" w:rsidR="000D5304" w:rsidRPr="000D5304" w:rsidRDefault="000D5304" w:rsidP="000D5304">
      <w:r w:rsidRPr="000D5304">
        <w:t xml:space="preserve">Because we do not have estimates of the dose </w:t>
      </w:r>
      <w:proofErr w:type="gramStart"/>
      <w:r w:rsidRPr="000D5304">
        <w:t>to</w:t>
      </w:r>
      <w:proofErr w:type="gramEnd"/>
      <w:r w:rsidRPr="000D5304">
        <w:t xml:space="preserve"> all required organs, we extrapolated them using data from the literature for chest CT</w:t>
      </w:r>
      <w:r w:rsidRPr="00153CB4">
        <w:rPr>
          <w:vertAlign w:val="superscript"/>
        </w:rPr>
        <w:t>29, 30</w:t>
      </w:r>
      <w:r w:rsidRPr="000D5304">
        <w:t xml:space="preserve">. </w:t>
      </w:r>
      <w:proofErr w:type="gramStart"/>
      <w:r w:rsidRPr="000D5304">
        <w:t>In order to</w:t>
      </w:r>
      <w:proofErr w:type="gramEnd"/>
      <w:r w:rsidRPr="000D5304">
        <w:t xml:space="preserve"> quantify the risk saving when reducing the z-scan-length, we applied our </w:t>
      </w:r>
      <w:r w:rsidRPr="000D5304">
        <w:lastRenderedPageBreak/>
        <w:t>dose reduction factor, obtained through organ-based calculation, to each organ dose, and we repeated the simulation with PCXMC. The results are shown in </w:t>
      </w:r>
      <w:r w:rsidRPr="00153CB4">
        <w:t>Figure B.7</w:t>
      </w:r>
      <w:r w:rsidRPr="000D5304">
        <w:t>.</w:t>
      </w:r>
    </w:p>
    <w:p w14:paraId="405182CE" w14:textId="77777777" w:rsidR="000D5304" w:rsidRPr="000D5304" w:rsidRDefault="000D5304" w:rsidP="000D5304">
      <w:r w:rsidRPr="000D5304">
        <w:t xml:space="preserve">The results show that females are more radiosensitive than males, and that the older the patient the more radioresistant he/she is. In terms of benefit from the reduced scan length, we observe that the REID is approximately 50% lower when reducing the z-scan-length. However, among all cases the maximum REID is 0.104% (10-year-old female, full scan length), which is well below the cancer mortality rate for other causes not related to radiation exposure, that is 22.2% and 18.5% for male and female, respectively. It is worth mentioning that the REID would be further increased if repeated scans </w:t>
      </w:r>
      <w:proofErr w:type="gramStart"/>
      <w:r w:rsidRPr="000D5304">
        <w:t>are</w:t>
      </w:r>
      <w:proofErr w:type="gramEnd"/>
      <w:r w:rsidRPr="000D5304">
        <w:t xml:space="preserve"> required.</w:t>
      </w:r>
    </w:p>
    <w:p w14:paraId="121400B1" w14:textId="77777777" w:rsidR="000D5304" w:rsidRPr="000D5304" w:rsidRDefault="000D5304" w:rsidP="00D25032">
      <w:pPr>
        <w:pStyle w:val="NoSpacing"/>
      </w:pPr>
      <w:r w:rsidRPr="000D5304">
        <w:t>Figure B.7.</w:t>
      </w:r>
    </w:p>
    <w:p w14:paraId="246B3056" w14:textId="5E50D1A8" w:rsidR="000D5304" w:rsidRPr="000D5304" w:rsidRDefault="000D5304" w:rsidP="000D5304">
      <w:r w:rsidRPr="000D5304">
        <w:rPr>
          <w:noProof/>
        </w:rPr>
        <w:drawing>
          <wp:inline distT="0" distB="0" distL="0" distR="0" wp14:anchorId="7B30510B" wp14:editId="779486FE">
            <wp:extent cx="2743200" cy="1554480"/>
            <wp:effectExtent l="0" t="0" r="0" b="7620"/>
            <wp:docPr id="182973413"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973413" name="Picture 1">
                      <a:extLst>
                        <a:ext uri="{C183D7F6-B498-43B3-948B-1728B52AA6E4}">
                          <adec:decorative xmlns:adec="http://schemas.microsoft.com/office/drawing/2017/decorative" val="1"/>
                        </a:ext>
                      </a:extLst>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743200" cy="1554480"/>
                    </a:xfrm>
                    <a:prstGeom prst="rect">
                      <a:avLst/>
                    </a:prstGeom>
                    <a:noFill/>
                    <a:ln>
                      <a:noFill/>
                    </a:ln>
                  </pic:spPr>
                </pic:pic>
              </a:graphicData>
            </a:graphic>
          </wp:inline>
        </w:drawing>
      </w:r>
    </w:p>
    <w:p w14:paraId="3F2A2943" w14:textId="77777777" w:rsidR="000D5304" w:rsidRPr="000D5304" w:rsidRDefault="000D5304" w:rsidP="000D5304">
      <w:r w:rsidRPr="000D5304">
        <w:t xml:space="preserve">Plot of risk of exposure-induced cancer death (REID %) as a function of age, </w:t>
      </w:r>
      <w:proofErr w:type="gramStart"/>
      <w:r w:rsidRPr="000D5304">
        <w:t>gender</w:t>
      </w:r>
      <w:proofErr w:type="gramEnd"/>
      <w:r w:rsidRPr="000D5304">
        <w:t xml:space="preserve"> and scan length.</w:t>
      </w:r>
    </w:p>
    <w:p w14:paraId="24DE5AF1" w14:textId="77777777" w:rsidR="000D5304" w:rsidRPr="000D5304" w:rsidRDefault="000D5304" w:rsidP="00D25032">
      <w:pPr>
        <w:pStyle w:val="Heading1"/>
      </w:pPr>
      <w:r w:rsidRPr="000D5304">
        <w:t>References</w:t>
      </w:r>
    </w:p>
    <w:p w14:paraId="01538AAC" w14:textId="557FD4AD" w:rsidR="000D5304" w:rsidRPr="000D5304" w:rsidRDefault="000D5304" w:rsidP="00D25032">
      <w:pPr>
        <w:pStyle w:val="NoSpacing"/>
        <w:ind w:left="720" w:hanging="720"/>
      </w:pPr>
      <w:r w:rsidRPr="000D5304">
        <w:t xml:space="preserve">1 Rubin GD, Ryerson CJ, </w:t>
      </w:r>
      <w:proofErr w:type="spellStart"/>
      <w:r w:rsidRPr="000D5304">
        <w:t>Haramati</w:t>
      </w:r>
      <w:proofErr w:type="spellEnd"/>
      <w:r w:rsidRPr="000D5304">
        <w:t xml:space="preserve"> LB, et al. “The Role of Chest Imaging in Patient Management During the COVID-19 Pandemic: A Multinational Consensus Statement </w:t>
      </w:r>
      <w:proofErr w:type="gramStart"/>
      <w:r w:rsidRPr="000D5304">
        <w:t>From</w:t>
      </w:r>
      <w:proofErr w:type="gramEnd"/>
      <w:r w:rsidRPr="000D5304">
        <w:t xml:space="preserve"> the Fleischner Society. </w:t>
      </w:r>
      <w:r w:rsidRPr="000D5304">
        <w:rPr>
          <w:i/>
          <w:iCs/>
        </w:rPr>
        <w:t>Chest</w:t>
      </w:r>
      <w:r w:rsidRPr="000D5304">
        <w:t xml:space="preserve">. 2020;158(1):106–116. </w:t>
      </w:r>
      <w:proofErr w:type="spellStart"/>
      <w:r w:rsidRPr="000D5304">
        <w:t>doi</w:t>
      </w:r>
      <w:proofErr w:type="spellEnd"/>
      <w:r w:rsidRPr="000D5304">
        <w:t>: 10.1016/j.chest.2020.04.003.” </w:t>
      </w:r>
    </w:p>
    <w:p w14:paraId="7CFBA805" w14:textId="240EC36C" w:rsidR="000D5304" w:rsidRPr="000D5304" w:rsidRDefault="000D5304" w:rsidP="00D25032">
      <w:pPr>
        <w:pStyle w:val="NoSpacing"/>
        <w:ind w:left="720" w:hanging="720"/>
      </w:pPr>
      <w:r w:rsidRPr="000D5304">
        <w:t>2 Cottin V et al., “Presentation, diagnosis and clinical course of the spectrum of progressive-fibrosing interstitial lung diseases,” </w:t>
      </w:r>
      <w:r w:rsidRPr="000D5304">
        <w:rPr>
          <w:i/>
          <w:iCs/>
        </w:rPr>
        <w:t>Eur. Respir. Rev</w:t>
      </w:r>
      <w:r w:rsidRPr="000D5304">
        <w:t xml:space="preserve">, vol. 27, no. 150, 2018, </w:t>
      </w:r>
      <w:proofErr w:type="spellStart"/>
      <w:r w:rsidRPr="000D5304">
        <w:t>doi</w:t>
      </w:r>
      <w:proofErr w:type="spellEnd"/>
      <w:r w:rsidRPr="000D5304">
        <w:t>: 10.1183/16000617.0076-2018. </w:t>
      </w:r>
    </w:p>
    <w:p w14:paraId="5D69C938" w14:textId="656BC027" w:rsidR="000D5304" w:rsidRPr="000D5304" w:rsidRDefault="000D5304" w:rsidP="00D25032">
      <w:pPr>
        <w:pStyle w:val="NoSpacing"/>
        <w:ind w:left="720" w:hanging="720"/>
      </w:pPr>
      <w:r w:rsidRPr="000D5304">
        <w:t xml:space="preserve">3 Kalra MK, </w:t>
      </w:r>
      <w:proofErr w:type="spellStart"/>
      <w:r w:rsidRPr="000D5304">
        <w:t>Homayounieh</w:t>
      </w:r>
      <w:proofErr w:type="spellEnd"/>
      <w:r w:rsidRPr="000D5304">
        <w:t xml:space="preserve"> F, Arru C, Holmberg O, and </w:t>
      </w:r>
      <w:proofErr w:type="spellStart"/>
      <w:r w:rsidRPr="000D5304">
        <w:t>Vassileva</w:t>
      </w:r>
      <w:proofErr w:type="spellEnd"/>
      <w:r w:rsidRPr="000D5304">
        <w:t xml:space="preserve"> J, “Chest CT practice and protocols for COVID-19 from radiation dose management perspective,” </w:t>
      </w:r>
      <w:r w:rsidRPr="000D5304">
        <w:rPr>
          <w:i/>
          <w:iCs/>
        </w:rPr>
        <w:t xml:space="preserve">Eur. </w:t>
      </w:r>
      <w:proofErr w:type="spellStart"/>
      <w:r w:rsidRPr="000D5304">
        <w:rPr>
          <w:i/>
          <w:iCs/>
        </w:rPr>
        <w:t>Radiol</w:t>
      </w:r>
      <w:proofErr w:type="spellEnd"/>
      <w:r w:rsidRPr="000D5304">
        <w:t xml:space="preserve">, vol. 30, no. 12, pp. 6554–6560, 2020, </w:t>
      </w:r>
      <w:proofErr w:type="spellStart"/>
      <w:r w:rsidRPr="000D5304">
        <w:t>doi</w:t>
      </w:r>
      <w:proofErr w:type="spellEnd"/>
      <w:r w:rsidRPr="000D5304">
        <w:t>: 10.1007/s00330-020-07034-x</w:t>
      </w:r>
      <w:r w:rsidR="00D25032">
        <w:t>.</w:t>
      </w:r>
    </w:p>
    <w:p w14:paraId="3E594309" w14:textId="71B781AA" w:rsidR="000D5304" w:rsidRPr="000D5304" w:rsidRDefault="000D5304" w:rsidP="00D25032">
      <w:pPr>
        <w:pStyle w:val="NoSpacing"/>
        <w:ind w:left="720" w:hanging="720"/>
      </w:pPr>
      <w:r w:rsidRPr="000D5304">
        <w:t>4 “Centers for Disease Control and Prevention. </w:t>
      </w:r>
      <w:r w:rsidRPr="000D5304">
        <w:rPr>
          <w:i/>
          <w:iCs/>
        </w:rPr>
        <w:t>Interim clinical guidance for management of patients with confirmed coronavirus disease (COVID-19)</w:t>
      </w:r>
      <w:r w:rsidRPr="000D5304">
        <w:t>. CDC Web site. </w:t>
      </w:r>
      <w:r w:rsidRPr="00D25032">
        <w:t>https://www.cdc.gov/coronavirus/2019-ncov/hcp/clinical-guidance-managementpatients.html</w:t>
      </w:r>
      <w:r w:rsidRPr="000D5304">
        <w:t>. Updated.”. </w:t>
      </w:r>
    </w:p>
    <w:p w14:paraId="016D7402" w14:textId="27F64D5F" w:rsidR="000D5304" w:rsidRPr="000D5304" w:rsidRDefault="000D5304" w:rsidP="00D25032">
      <w:pPr>
        <w:pStyle w:val="NoSpacing"/>
        <w:ind w:left="720" w:hanging="720"/>
      </w:pPr>
      <w:r w:rsidRPr="000D5304">
        <w:t>5 Kwee TC and Kwee RM, “Chest CT in COVID-19: What the Radiologist Needs to Know,” </w:t>
      </w:r>
      <w:proofErr w:type="spellStart"/>
      <w:r w:rsidRPr="000D5304">
        <w:rPr>
          <w:i/>
          <w:iCs/>
        </w:rPr>
        <w:t>RadioGraphics</w:t>
      </w:r>
      <w:proofErr w:type="spellEnd"/>
      <w:r w:rsidRPr="000D5304">
        <w:t>, 2020</w:t>
      </w:r>
      <w:r w:rsidR="00D25032">
        <w:t>.</w:t>
      </w:r>
    </w:p>
    <w:p w14:paraId="5F082BFE" w14:textId="2F02FDAB" w:rsidR="000D5304" w:rsidRPr="000D5304" w:rsidRDefault="000D5304" w:rsidP="00D25032">
      <w:pPr>
        <w:pStyle w:val="NoSpacing"/>
        <w:ind w:left="720" w:hanging="720"/>
      </w:pPr>
      <w:r w:rsidRPr="000D5304">
        <w:t>6 </w:t>
      </w:r>
      <w:proofErr w:type="spellStart"/>
      <w:r w:rsidRPr="000D5304">
        <w:t>Homayounieh</w:t>
      </w:r>
      <w:proofErr w:type="spellEnd"/>
      <w:r w:rsidRPr="000D5304">
        <w:t xml:space="preserve"> F et al., “Variations in CT utilization, protocols, and radiation doses in COVID-19 pneumonia: Results from 28 countries in the IAEA study,” </w:t>
      </w:r>
      <w:r w:rsidRPr="000D5304">
        <w:rPr>
          <w:i/>
          <w:iCs/>
        </w:rPr>
        <w:t>Radiology</w:t>
      </w:r>
      <w:r w:rsidRPr="000D5304">
        <w:t xml:space="preserve">, vol. 298, no. 3, pp. E141–E151, 2021, </w:t>
      </w:r>
      <w:proofErr w:type="spellStart"/>
      <w:r w:rsidRPr="000D5304">
        <w:t>doi</w:t>
      </w:r>
      <w:proofErr w:type="spellEnd"/>
      <w:r w:rsidRPr="000D5304">
        <w:t>: 10.1148/radiol.2020203453. </w:t>
      </w:r>
    </w:p>
    <w:p w14:paraId="578CA31D" w14:textId="20CA5FE4" w:rsidR="000D5304" w:rsidRPr="000D5304" w:rsidRDefault="000D5304" w:rsidP="00D25032">
      <w:pPr>
        <w:pStyle w:val="NoSpacing"/>
        <w:ind w:left="720" w:hanging="720"/>
      </w:pPr>
      <w:r w:rsidRPr="000D5304">
        <w:t>7 Brenner DJ, Elliston CD, Hall EJ, and Berdon WE, “Estimated Risks of Radiation-,” </w:t>
      </w:r>
      <w:r w:rsidRPr="000D5304">
        <w:rPr>
          <w:i/>
          <w:iCs/>
        </w:rPr>
        <w:t>Am. Roentgen Ray Soc</w:t>
      </w:r>
      <w:r w:rsidRPr="000D5304">
        <w:t xml:space="preserve">, vol. 176, no. February, pp. 289–296, 2001. </w:t>
      </w:r>
    </w:p>
    <w:p w14:paraId="495A6DCB" w14:textId="0ECD6E58" w:rsidR="000D5304" w:rsidRPr="000D5304" w:rsidRDefault="000D5304" w:rsidP="00D25032">
      <w:pPr>
        <w:pStyle w:val="NoSpacing"/>
        <w:ind w:left="720" w:hanging="720"/>
      </w:pPr>
      <w:r w:rsidRPr="000D5304">
        <w:t>8 Brody AS et al., “Radiation risk to children from computed tomography,” </w:t>
      </w:r>
      <w:r w:rsidRPr="000D5304">
        <w:rPr>
          <w:i/>
          <w:iCs/>
        </w:rPr>
        <w:t>Pediatrics</w:t>
      </w:r>
      <w:r w:rsidRPr="000D5304">
        <w:t xml:space="preserve">, vol. 120, no. 3, pp. 677–682, 2007, </w:t>
      </w:r>
      <w:proofErr w:type="spellStart"/>
      <w:r w:rsidRPr="000D5304">
        <w:t>doi</w:t>
      </w:r>
      <w:proofErr w:type="spellEnd"/>
      <w:r w:rsidRPr="000D5304">
        <w:t xml:space="preserve">: 10.1542/peds.2007-1910. </w:t>
      </w:r>
    </w:p>
    <w:p w14:paraId="2D32F1EB" w14:textId="7A0EE880" w:rsidR="000D5304" w:rsidRPr="000D5304" w:rsidRDefault="000D5304" w:rsidP="00D25032">
      <w:pPr>
        <w:pStyle w:val="NoSpacing"/>
        <w:ind w:left="720" w:hanging="720"/>
      </w:pPr>
      <w:r w:rsidRPr="000D5304">
        <w:t xml:space="preserve">9 Einstein AJ, </w:t>
      </w:r>
      <w:proofErr w:type="spellStart"/>
      <w:r w:rsidRPr="000D5304">
        <w:t>Henzlova</w:t>
      </w:r>
      <w:proofErr w:type="spellEnd"/>
      <w:r w:rsidRPr="000D5304">
        <w:t xml:space="preserve"> MJ, and Rajagopalan S, “Estimating risk of cancer associated with radiation exposure from 64-slice computed tomography coronary angiography,” </w:t>
      </w:r>
      <w:r w:rsidRPr="000D5304">
        <w:rPr>
          <w:i/>
          <w:iCs/>
        </w:rPr>
        <w:t>J. Am. Med. Assoc</w:t>
      </w:r>
      <w:r w:rsidRPr="000D5304">
        <w:t xml:space="preserve">, vol. 298, no. 3, pp. 317–323, 2007, </w:t>
      </w:r>
      <w:proofErr w:type="spellStart"/>
      <w:r w:rsidRPr="000D5304">
        <w:t>doi</w:t>
      </w:r>
      <w:proofErr w:type="spellEnd"/>
      <w:r w:rsidRPr="000D5304">
        <w:t xml:space="preserve">: 10.1001/jama.298.3.317. </w:t>
      </w:r>
    </w:p>
    <w:p w14:paraId="167790CD" w14:textId="28FA8218" w:rsidR="000D5304" w:rsidRPr="000D5304" w:rsidRDefault="000D5304" w:rsidP="00D25032">
      <w:pPr>
        <w:pStyle w:val="NoSpacing"/>
        <w:ind w:left="720" w:hanging="720"/>
      </w:pPr>
      <w:r w:rsidRPr="000D5304">
        <w:t>10 Tepper SJ, “Computed tomography - An increasing source of radiation exposure: Commentary,” </w:t>
      </w:r>
      <w:r w:rsidRPr="000D5304">
        <w:rPr>
          <w:i/>
          <w:iCs/>
        </w:rPr>
        <w:t>Headache</w:t>
      </w:r>
      <w:r w:rsidRPr="000D5304">
        <w:t xml:space="preserve">, vol. 48, no. 4, p. 657, 2008, </w:t>
      </w:r>
      <w:proofErr w:type="spellStart"/>
      <w:r w:rsidRPr="000D5304">
        <w:t>doi</w:t>
      </w:r>
      <w:proofErr w:type="spellEnd"/>
      <w:r w:rsidRPr="000D5304">
        <w:t>: 10.1111/j.1526-4610.2008.</w:t>
      </w:r>
      <w:proofErr w:type="gramStart"/>
      <w:r w:rsidRPr="000D5304">
        <w:t>01071.x</w:t>
      </w:r>
      <w:r w:rsidR="00D25032">
        <w:t>.</w:t>
      </w:r>
      <w:proofErr w:type="gramEnd"/>
    </w:p>
    <w:p w14:paraId="03FAC671" w14:textId="2D5D957B" w:rsidR="000D5304" w:rsidRPr="000D5304" w:rsidRDefault="000D5304" w:rsidP="00D25032">
      <w:pPr>
        <w:pStyle w:val="NoSpacing"/>
        <w:ind w:left="720" w:hanging="720"/>
      </w:pPr>
      <w:r w:rsidRPr="000D5304">
        <w:lastRenderedPageBreak/>
        <w:t>11 Shahir K, McCrea JM, Lozano LAS, and Goodman LR, “Reduced z-axis technique for CT Pulmonary angiography in pregnancy—validation for practical use and dose reduction,” </w:t>
      </w:r>
      <w:r w:rsidRPr="000D5304">
        <w:rPr>
          <w:i/>
          <w:iCs/>
        </w:rPr>
        <w:t xml:space="preserve">Emerg. </w:t>
      </w:r>
      <w:proofErr w:type="spellStart"/>
      <w:r w:rsidRPr="000D5304">
        <w:rPr>
          <w:i/>
          <w:iCs/>
        </w:rPr>
        <w:t>Radiol</w:t>
      </w:r>
      <w:proofErr w:type="spellEnd"/>
      <w:r w:rsidRPr="000D5304">
        <w:t xml:space="preserve">, vol. 22, no. 6, pp. 651–656, 2015, </w:t>
      </w:r>
      <w:proofErr w:type="spellStart"/>
      <w:r w:rsidRPr="000D5304">
        <w:t>doi</w:t>
      </w:r>
      <w:proofErr w:type="spellEnd"/>
      <w:r w:rsidRPr="000D5304">
        <w:t xml:space="preserve">: 10.1007/s10140-015-1340-7. </w:t>
      </w:r>
    </w:p>
    <w:p w14:paraId="469B98D8" w14:textId="7A3C6373" w:rsidR="000D5304" w:rsidRPr="000D5304" w:rsidRDefault="000D5304" w:rsidP="00D25032">
      <w:pPr>
        <w:pStyle w:val="NoSpacing"/>
        <w:ind w:left="720" w:hanging="720"/>
      </w:pPr>
      <w:r w:rsidRPr="000D5304">
        <w:t xml:space="preserve">12 Tsai CC, E. B., Simpson S, Lungren MP, Hershman M, </w:t>
      </w:r>
      <w:proofErr w:type="spellStart"/>
      <w:r w:rsidRPr="000D5304">
        <w:t>Roshkovan</w:t>
      </w:r>
      <w:proofErr w:type="spellEnd"/>
      <w:r w:rsidRPr="000D5304">
        <w:t xml:space="preserve"> L, Colak E, Erickson BJ, Shih G, Stein A, Kalpathy-Cramer J, Shen J, Hafez MAF, John S, Rajiah P, Pogatchnik BP, Mongan JT, </w:t>
      </w:r>
      <w:proofErr w:type="spellStart"/>
      <w:r w:rsidRPr="000D5304">
        <w:t>Altinmakas</w:t>
      </w:r>
      <w:proofErr w:type="spellEnd"/>
      <w:r w:rsidRPr="000D5304">
        <w:t xml:space="preserve"> E, </w:t>
      </w:r>
      <w:proofErr w:type="spellStart"/>
      <w:r w:rsidRPr="000D5304">
        <w:t>Ranschaert</w:t>
      </w:r>
      <w:proofErr w:type="spellEnd"/>
      <w:r w:rsidRPr="000D5304">
        <w:t xml:space="preserve"> E, Kitamura, “Data from the Medical Imaging Data Resource Center - RSNA International COVID Radiology Database Release 1a - Chest CT Covid+ (MIDRC-RICORD-1a). </w:t>
      </w:r>
      <w:r w:rsidRPr="000D5304">
        <w:rPr>
          <w:i/>
          <w:iCs/>
        </w:rPr>
        <w:t>Data from The Cancer Imaging Archive</w:t>
      </w:r>
      <w:r w:rsidRPr="000D5304">
        <w:t xml:space="preserve"> (2020). </w:t>
      </w:r>
      <w:proofErr w:type="spellStart"/>
      <w:r w:rsidRPr="000D5304">
        <w:t>doi</w:t>
      </w:r>
      <w:proofErr w:type="spellEnd"/>
      <w:r w:rsidRPr="000D5304">
        <w:t xml:space="preserve">: 10.7937/VTW4-X588.” </w:t>
      </w:r>
    </w:p>
    <w:p w14:paraId="5A436E5C" w14:textId="79C035D3" w:rsidR="000D5304" w:rsidRPr="000D5304" w:rsidRDefault="000D5304" w:rsidP="00D25032">
      <w:pPr>
        <w:pStyle w:val="NoSpacing"/>
        <w:ind w:left="720" w:hanging="720"/>
      </w:pPr>
      <w:r w:rsidRPr="000D5304">
        <w:t xml:space="preserve">13 Tsai CC, E. B., Simpson S, Lungren M, Hershman M, </w:t>
      </w:r>
      <w:proofErr w:type="spellStart"/>
      <w:r w:rsidRPr="000D5304">
        <w:t>Roshkovan</w:t>
      </w:r>
      <w:proofErr w:type="spellEnd"/>
      <w:r w:rsidRPr="000D5304">
        <w:t xml:space="preserve"> L, Colak E, Erickson BJ, Shih G, Stein A, Kalpathy-Cramer J, Shen J, Hafez M, John S, Rajiah P, Pogatchnik BP, Mongan J, </w:t>
      </w:r>
      <w:proofErr w:type="spellStart"/>
      <w:r w:rsidRPr="000D5304">
        <w:t>Altinmakas</w:t>
      </w:r>
      <w:proofErr w:type="spellEnd"/>
      <w:r w:rsidRPr="000D5304">
        <w:t xml:space="preserve"> E, </w:t>
      </w:r>
      <w:proofErr w:type="spellStart"/>
      <w:r w:rsidRPr="000D5304">
        <w:t>Ranschaert</w:t>
      </w:r>
      <w:proofErr w:type="spellEnd"/>
      <w:r w:rsidRPr="000D5304">
        <w:t xml:space="preserve"> ER, Kitamura, “The RSNA International COVID-19 Open Annotated Radiology Database (RICORD). </w:t>
      </w:r>
      <w:r w:rsidRPr="000D5304">
        <w:rPr>
          <w:i/>
          <w:iCs/>
        </w:rPr>
        <w:t>Radiology</w:t>
      </w:r>
      <w:r w:rsidRPr="000D5304">
        <w:t xml:space="preserve">, 203957. </w:t>
      </w:r>
      <w:proofErr w:type="spellStart"/>
      <w:r w:rsidRPr="000D5304">
        <w:t>doi</w:t>
      </w:r>
      <w:proofErr w:type="spellEnd"/>
      <w:r w:rsidRPr="000D5304">
        <w:t>: 10.1148/radiol.2021203957.” </w:t>
      </w:r>
    </w:p>
    <w:p w14:paraId="67ED9BBB" w14:textId="5DDDD404" w:rsidR="000D5304" w:rsidRPr="000D5304" w:rsidRDefault="000D5304" w:rsidP="00D25032">
      <w:pPr>
        <w:pStyle w:val="NoSpacing"/>
        <w:ind w:left="720" w:hanging="720"/>
      </w:pPr>
      <w:r w:rsidRPr="000D5304">
        <w:t>14 Clark K PF, Vendt B, Smith K, Freymann J, Kirby J, Koppel P, Moore S, Phillips S, Maffitt D, Pringle M, Tarbox L, “The Cancer Imaging Archive (TCIA): Maintaining and Operating a Public Information Repository, </w:t>
      </w:r>
      <w:r w:rsidRPr="000D5304">
        <w:rPr>
          <w:i/>
          <w:iCs/>
        </w:rPr>
        <w:t>Journal of Digital Imaging</w:t>
      </w:r>
      <w:r w:rsidRPr="000D5304">
        <w:t>, Volume 26, Number 6, </w:t>
      </w:r>
      <w:proofErr w:type="gramStart"/>
      <w:r w:rsidRPr="000D5304">
        <w:t>December,</w:t>
      </w:r>
      <w:proofErr w:type="gramEnd"/>
      <w:r w:rsidRPr="000D5304">
        <w:t xml:space="preserve"> 2013, pp 1045–1057. </w:t>
      </w:r>
      <w:proofErr w:type="spellStart"/>
      <w:r w:rsidRPr="000D5304">
        <w:t>doi</w:t>
      </w:r>
      <w:proofErr w:type="spellEnd"/>
      <w:r w:rsidRPr="000D5304">
        <w:t>: 10.1007/s10278-013-9622-7.” </w:t>
      </w:r>
    </w:p>
    <w:p w14:paraId="217C4CBF" w14:textId="221B7ABE" w:rsidR="000D5304" w:rsidRPr="000D5304" w:rsidRDefault="000D5304" w:rsidP="00D25032">
      <w:pPr>
        <w:pStyle w:val="NoSpacing"/>
        <w:ind w:left="720" w:hanging="720"/>
      </w:pPr>
      <w:r w:rsidRPr="000D5304">
        <w:t xml:space="preserve">15 Dixon RL and Boone JM, “Dose equations for tube current modulation in CT scanning and the interpretation of the associated </w:t>
      </w:r>
      <w:proofErr w:type="spellStart"/>
      <w:r w:rsidRPr="000D5304">
        <w:t>CTDIvol</w:t>
      </w:r>
      <w:proofErr w:type="spellEnd"/>
      <w:r w:rsidRPr="000D5304">
        <w:t>,” </w:t>
      </w:r>
      <w:r w:rsidRPr="000D5304">
        <w:rPr>
          <w:i/>
          <w:iCs/>
        </w:rPr>
        <w:t>Med. Phys</w:t>
      </w:r>
      <w:r w:rsidRPr="000D5304">
        <w:t xml:space="preserve">, vol. 40, no. 11, pp. 1–14, 2013, </w:t>
      </w:r>
      <w:proofErr w:type="spellStart"/>
      <w:r w:rsidRPr="000D5304">
        <w:t>doi</w:t>
      </w:r>
      <w:proofErr w:type="spellEnd"/>
      <w:r w:rsidRPr="000D5304">
        <w:t xml:space="preserve">: 10.1118/1.4824918. </w:t>
      </w:r>
    </w:p>
    <w:p w14:paraId="3898FFDF" w14:textId="134083F9" w:rsidR="000D5304" w:rsidRPr="000D5304" w:rsidRDefault="000D5304" w:rsidP="00D25032">
      <w:pPr>
        <w:pStyle w:val="NoSpacing"/>
        <w:ind w:left="720" w:hanging="720"/>
      </w:pPr>
      <w:r w:rsidRPr="000D5304">
        <w:t>16 Gandhi D, Crotty DJ, Stevens GM, and Schmidt TG, “Technical Note: Phantom study to evaluate the dose and image quality effects of a computed tomography organ-based tube current modulation technique,” </w:t>
      </w:r>
      <w:r w:rsidRPr="000D5304">
        <w:rPr>
          <w:i/>
          <w:iCs/>
        </w:rPr>
        <w:t>Med. Phys</w:t>
      </w:r>
      <w:r w:rsidRPr="000D5304">
        <w:t xml:space="preserve">, vol. 42, no. 11, pp. 6572–6578, 2015, </w:t>
      </w:r>
      <w:proofErr w:type="spellStart"/>
      <w:r w:rsidRPr="000D5304">
        <w:t>doi</w:t>
      </w:r>
      <w:proofErr w:type="spellEnd"/>
      <w:r w:rsidRPr="000D5304">
        <w:t xml:space="preserve">: 10.1118/1.4933197. </w:t>
      </w:r>
    </w:p>
    <w:p w14:paraId="609CE899" w14:textId="2D139CBC" w:rsidR="000D5304" w:rsidRPr="000D5304" w:rsidRDefault="000D5304" w:rsidP="00D25032">
      <w:pPr>
        <w:pStyle w:val="NoSpacing"/>
        <w:ind w:left="720" w:hanging="720"/>
      </w:pPr>
      <w:r w:rsidRPr="000D5304">
        <w:t>17 Wang A, Maslowski A, Wareing T, Star-Lack J, and Schmidt TG, “A fast, linear Boltzmann transport equation solver for computed tomography dose calculation (</w:t>
      </w:r>
      <w:proofErr w:type="spellStart"/>
      <w:r w:rsidRPr="000D5304">
        <w:t>Acuros</w:t>
      </w:r>
      <w:proofErr w:type="spellEnd"/>
      <w:r w:rsidRPr="000D5304">
        <w:t xml:space="preserve"> CTD),” </w:t>
      </w:r>
      <w:r w:rsidRPr="000D5304">
        <w:rPr>
          <w:i/>
          <w:iCs/>
        </w:rPr>
        <w:t>Med. Phys</w:t>
      </w:r>
      <w:r w:rsidRPr="000D5304">
        <w:t xml:space="preserve">, vol. 46, no. 2, pp. 925–933, 2019, </w:t>
      </w:r>
      <w:proofErr w:type="spellStart"/>
      <w:r w:rsidRPr="000D5304">
        <w:t>doi</w:t>
      </w:r>
      <w:proofErr w:type="spellEnd"/>
      <w:r w:rsidRPr="000D5304">
        <w:t>: 10.1002/mp.13305. </w:t>
      </w:r>
    </w:p>
    <w:p w14:paraId="7E942692" w14:textId="64709164" w:rsidR="000D5304" w:rsidRPr="000D5304" w:rsidRDefault="000D5304" w:rsidP="00D25032">
      <w:pPr>
        <w:pStyle w:val="NoSpacing"/>
        <w:ind w:left="720" w:hanging="720"/>
      </w:pPr>
      <w:r w:rsidRPr="000D5304">
        <w:t>18 Principi S, Wang A, Maslowski A, Wareing T, Jordan P, and Schmidt TG, “Deterministic linear Boltzmann transport equation solver for patient-specific CT dose estimation: Comparison against a Monte Carlo benchmark for realistic scanner configurations and patient models,” </w:t>
      </w:r>
      <w:r w:rsidRPr="000D5304">
        <w:rPr>
          <w:i/>
          <w:iCs/>
        </w:rPr>
        <w:t>Med. Phys</w:t>
      </w:r>
      <w:r w:rsidRPr="000D5304">
        <w:t xml:space="preserve">, vol. 47, no. 12, pp. 6470–6483, 2020, </w:t>
      </w:r>
      <w:proofErr w:type="spellStart"/>
      <w:r w:rsidRPr="000D5304">
        <w:t>doi</w:t>
      </w:r>
      <w:proofErr w:type="spellEnd"/>
      <w:r w:rsidRPr="000D5304">
        <w:t>: 10.1002/mp.14494. </w:t>
      </w:r>
    </w:p>
    <w:p w14:paraId="1498ABF3" w14:textId="4D8692E7" w:rsidR="000D5304" w:rsidRPr="000D5304" w:rsidRDefault="000D5304" w:rsidP="00D25032">
      <w:pPr>
        <w:pStyle w:val="NoSpacing"/>
        <w:ind w:left="720" w:hanging="720"/>
      </w:pPr>
      <w:r w:rsidRPr="000D5304">
        <w:t xml:space="preserve">19 Jordan P, Adamson PM, </w:t>
      </w:r>
      <w:proofErr w:type="spellStart"/>
      <w:r w:rsidRPr="000D5304">
        <w:t>Bhattbhatt</w:t>
      </w:r>
      <w:proofErr w:type="spellEnd"/>
      <w:r w:rsidRPr="000D5304">
        <w:t xml:space="preserve"> V, et al. Pediatric chest-abdomen-</w:t>
      </w:r>
      <w:proofErr w:type="gramStart"/>
      <w:r w:rsidRPr="000D5304">
        <w:t>pelvis</w:t>
      </w:r>
      <w:proofErr w:type="gramEnd"/>
      <w:r w:rsidRPr="000D5304">
        <w:t xml:space="preserve"> and abdomen-pelvis CT images with expert organ contours. </w:t>
      </w:r>
      <w:r w:rsidRPr="000D5304">
        <w:rPr>
          <w:i/>
          <w:iCs/>
        </w:rPr>
        <w:t>Med Phys</w:t>
      </w:r>
      <w:r w:rsidRPr="000D5304">
        <w:t>. 2022; 1–6. 10.1002/mp.15485. </w:t>
      </w:r>
    </w:p>
    <w:p w14:paraId="400934F6" w14:textId="3EBE7F23" w:rsidR="000D5304" w:rsidRPr="000D5304" w:rsidRDefault="000D5304" w:rsidP="00D25032">
      <w:pPr>
        <w:pStyle w:val="NoSpacing"/>
        <w:ind w:left="720" w:hanging="720"/>
      </w:pPr>
      <w:r w:rsidRPr="000D5304">
        <w:t>20 Principi S et al., “Validation of a deterministic linear Boltzmann transport equation solver for rapid CT dose computation using physical dose measurements in pediatric phantoms,” </w:t>
      </w:r>
      <w:r w:rsidRPr="000D5304">
        <w:rPr>
          <w:i/>
          <w:iCs/>
        </w:rPr>
        <w:t>Med. Phys</w:t>
      </w:r>
      <w:r w:rsidRPr="000D5304">
        <w:t xml:space="preserve">, vol. 48, no. 12, pp. 8075–8088, 2021, </w:t>
      </w:r>
      <w:proofErr w:type="spellStart"/>
      <w:r w:rsidRPr="000D5304">
        <w:t>doi</w:t>
      </w:r>
      <w:proofErr w:type="spellEnd"/>
      <w:r w:rsidRPr="000D5304">
        <w:t>: 10.1002/mp.15301. </w:t>
      </w:r>
    </w:p>
    <w:p w14:paraId="3C41973C" w14:textId="2D2025AD" w:rsidR="000D5304" w:rsidRPr="000D5304" w:rsidRDefault="000D5304" w:rsidP="00D25032">
      <w:pPr>
        <w:pStyle w:val="NoSpacing"/>
        <w:ind w:left="720" w:hanging="720"/>
      </w:pPr>
      <w:r w:rsidRPr="000D5304">
        <w:t>21 </w:t>
      </w:r>
      <w:proofErr w:type="spellStart"/>
      <w:r w:rsidRPr="000D5304">
        <w:t>Litmanovich</w:t>
      </w:r>
      <w:proofErr w:type="spellEnd"/>
      <w:r w:rsidRPr="000D5304">
        <w:t xml:space="preserve"> D, </w:t>
      </w:r>
      <w:proofErr w:type="spellStart"/>
      <w:r w:rsidRPr="000D5304">
        <w:t>Boiselle</w:t>
      </w:r>
      <w:proofErr w:type="spellEnd"/>
      <w:r w:rsidRPr="000D5304">
        <w:t xml:space="preserve"> PM, Bankier AA, Kataoka ML, </w:t>
      </w:r>
      <w:proofErr w:type="spellStart"/>
      <w:r w:rsidRPr="000D5304">
        <w:t>Pianykh</w:t>
      </w:r>
      <w:proofErr w:type="spellEnd"/>
      <w:r w:rsidRPr="000D5304">
        <w:t xml:space="preserve"> O, and </w:t>
      </w:r>
      <w:proofErr w:type="spellStart"/>
      <w:r w:rsidRPr="000D5304">
        <w:t>Raptopoulos</w:t>
      </w:r>
      <w:proofErr w:type="spellEnd"/>
      <w:r w:rsidRPr="000D5304">
        <w:t xml:space="preserve"> V, “Dose reduction in computed tomographic angiography of pregnant patients with suspected acute pulmonary embolism,” </w:t>
      </w:r>
      <w:r w:rsidRPr="000D5304">
        <w:rPr>
          <w:i/>
          <w:iCs/>
        </w:rPr>
        <w:t xml:space="preserve">J. </w:t>
      </w:r>
      <w:proofErr w:type="spellStart"/>
      <w:r w:rsidRPr="000D5304">
        <w:rPr>
          <w:i/>
          <w:iCs/>
        </w:rPr>
        <w:t>Comput</w:t>
      </w:r>
      <w:proofErr w:type="spellEnd"/>
      <w:r w:rsidRPr="000D5304">
        <w:rPr>
          <w:i/>
          <w:iCs/>
        </w:rPr>
        <w:t xml:space="preserve">. Assist. </w:t>
      </w:r>
      <w:proofErr w:type="spellStart"/>
      <w:r w:rsidRPr="000D5304">
        <w:rPr>
          <w:i/>
          <w:iCs/>
        </w:rPr>
        <w:t>Tomogr</w:t>
      </w:r>
      <w:proofErr w:type="spellEnd"/>
      <w:r w:rsidRPr="000D5304">
        <w:t xml:space="preserve">, vol. 33, no. 6, pp. 961–966, 2009, </w:t>
      </w:r>
      <w:proofErr w:type="spellStart"/>
      <w:r w:rsidRPr="000D5304">
        <w:t>doi</w:t>
      </w:r>
      <w:proofErr w:type="spellEnd"/>
      <w:r w:rsidRPr="000D5304">
        <w:t xml:space="preserve">: 10.1097/RCT.0b013e318198cd18. </w:t>
      </w:r>
    </w:p>
    <w:p w14:paraId="3B53B8C8" w14:textId="45522E05" w:rsidR="000D5304" w:rsidRPr="000D5304" w:rsidRDefault="000D5304" w:rsidP="00D25032">
      <w:pPr>
        <w:pStyle w:val="NoSpacing"/>
        <w:ind w:left="720" w:hanging="720"/>
      </w:pPr>
      <w:r w:rsidRPr="000D5304">
        <w:t>22 </w:t>
      </w:r>
      <w:proofErr w:type="spellStart"/>
      <w:r w:rsidRPr="000D5304">
        <w:t>Carotti</w:t>
      </w:r>
      <w:proofErr w:type="spellEnd"/>
      <w:r w:rsidRPr="000D5304">
        <w:t xml:space="preserve"> M et al., “Chest CT features of coronavirus disease 2019 (COVID-19) pneumonia: key points for radiologists,” </w:t>
      </w:r>
      <w:proofErr w:type="spellStart"/>
      <w:r w:rsidRPr="000D5304">
        <w:rPr>
          <w:i/>
          <w:iCs/>
        </w:rPr>
        <w:t>Radiol</w:t>
      </w:r>
      <w:proofErr w:type="spellEnd"/>
      <w:r w:rsidRPr="000D5304">
        <w:rPr>
          <w:i/>
          <w:iCs/>
        </w:rPr>
        <w:t>. Medica</w:t>
      </w:r>
      <w:r w:rsidRPr="000D5304">
        <w:t xml:space="preserve">, vol. 125, no. 7, pp. 636–646, 2020, </w:t>
      </w:r>
      <w:proofErr w:type="spellStart"/>
      <w:r w:rsidRPr="000D5304">
        <w:t>doi</w:t>
      </w:r>
      <w:proofErr w:type="spellEnd"/>
      <w:r w:rsidRPr="000D5304">
        <w:t>: 10.1007/s11547-020-01237-4. </w:t>
      </w:r>
    </w:p>
    <w:p w14:paraId="15E49E49" w14:textId="7CBC5D4A" w:rsidR="000D5304" w:rsidRPr="000D5304" w:rsidRDefault="000D5304" w:rsidP="00D25032">
      <w:pPr>
        <w:pStyle w:val="NoSpacing"/>
        <w:ind w:left="720" w:hanging="720"/>
      </w:pPr>
      <w:r w:rsidRPr="000D5304">
        <w:t>23 Choi H et al., “Extension of Coronavirus Disease 2019 on Chest CT and Implications for Chest Radiographic Interpretation,” </w:t>
      </w:r>
      <w:proofErr w:type="spellStart"/>
      <w:r w:rsidRPr="000D5304">
        <w:rPr>
          <w:i/>
          <w:iCs/>
        </w:rPr>
        <w:t>Radiol</w:t>
      </w:r>
      <w:proofErr w:type="spellEnd"/>
      <w:r w:rsidRPr="000D5304">
        <w:rPr>
          <w:i/>
          <w:iCs/>
        </w:rPr>
        <w:t xml:space="preserve">. </w:t>
      </w:r>
      <w:proofErr w:type="spellStart"/>
      <w:r w:rsidRPr="000D5304">
        <w:rPr>
          <w:i/>
          <w:iCs/>
        </w:rPr>
        <w:t>Cardiothorac</w:t>
      </w:r>
      <w:proofErr w:type="spellEnd"/>
      <w:r w:rsidRPr="000D5304">
        <w:rPr>
          <w:i/>
          <w:iCs/>
        </w:rPr>
        <w:t>. Imaging</w:t>
      </w:r>
      <w:r w:rsidRPr="000D5304">
        <w:t xml:space="preserve">, vol. 2, no. 6, p. e209004, 2020, </w:t>
      </w:r>
      <w:proofErr w:type="spellStart"/>
      <w:r w:rsidRPr="000D5304">
        <w:t>doi</w:t>
      </w:r>
      <w:proofErr w:type="spellEnd"/>
      <w:r w:rsidRPr="000D5304">
        <w:t>: 10.1148/ryct.2020209004. </w:t>
      </w:r>
    </w:p>
    <w:p w14:paraId="7E9910E3" w14:textId="6153DA2A" w:rsidR="000D5304" w:rsidRPr="000D5304" w:rsidRDefault="000D5304" w:rsidP="00D25032">
      <w:pPr>
        <w:pStyle w:val="NoSpacing"/>
        <w:ind w:left="720" w:hanging="720"/>
      </w:pPr>
      <w:r w:rsidRPr="000D5304">
        <w:t>24 “National Research Council. 2006. </w:t>
      </w:r>
      <w:r w:rsidRPr="000D5304">
        <w:rPr>
          <w:i/>
          <w:iCs/>
        </w:rPr>
        <w:t>Health Risks from Exposure to Low Levels of Ionizing Radiation: BEIR VII Phase 2</w:t>
      </w:r>
      <w:r w:rsidRPr="000D5304">
        <w:t xml:space="preserve">. Washington, DC: The National Academies Press. 10.17226/11340.” </w:t>
      </w:r>
    </w:p>
    <w:p w14:paraId="5129C169" w14:textId="68E567E1" w:rsidR="000D5304" w:rsidRPr="000D5304" w:rsidRDefault="000D5304" w:rsidP="00D25032">
      <w:pPr>
        <w:pStyle w:val="NoSpacing"/>
        <w:ind w:left="720" w:hanging="720"/>
      </w:pPr>
      <w:r w:rsidRPr="000D5304">
        <w:t xml:space="preserve">25 Tsai CC, E. B., Simpson S, Lungren M, Hershman M, </w:t>
      </w:r>
      <w:proofErr w:type="spellStart"/>
      <w:r w:rsidRPr="000D5304">
        <w:t>Roshkovan</w:t>
      </w:r>
      <w:proofErr w:type="spellEnd"/>
      <w:r w:rsidRPr="000D5304">
        <w:t xml:space="preserve"> L, Colak E, Erickson BJ, Shih G, Stein A, Kalpathy-Cramer J, Shen J, Hafez M, John S, Rajiah P, Pogatchnik BP, Mongan J, </w:t>
      </w:r>
      <w:proofErr w:type="spellStart"/>
      <w:r w:rsidRPr="000D5304">
        <w:t>Altinmakas</w:t>
      </w:r>
      <w:proofErr w:type="spellEnd"/>
      <w:r w:rsidRPr="000D5304">
        <w:t xml:space="preserve"> E, </w:t>
      </w:r>
      <w:proofErr w:type="spellStart"/>
      <w:r w:rsidRPr="000D5304">
        <w:t>Ranschaert</w:t>
      </w:r>
      <w:proofErr w:type="spellEnd"/>
      <w:r w:rsidRPr="000D5304">
        <w:t xml:space="preserve"> ER, “Data from Medical Imaging Data Resource Center (MIDRC) - RSNA International COVID Radiology Database (RICORD) Release 1c - Chest x-ray, Covid+ (MIDRC-RICORD-1c).” </w:t>
      </w:r>
      <w:r w:rsidRPr="000D5304">
        <w:rPr>
          <w:i/>
          <w:iCs/>
        </w:rPr>
        <w:t>Cancer Imaging Arch</w:t>
      </w:r>
      <w:r w:rsidRPr="000D5304">
        <w:t>. DOI 10.7937/91ah-v663., 2021</w:t>
      </w:r>
      <w:r w:rsidR="00D25032">
        <w:t>.</w:t>
      </w:r>
    </w:p>
    <w:p w14:paraId="49EDB72E" w14:textId="43CF0EC9" w:rsidR="000D5304" w:rsidRPr="000D5304" w:rsidRDefault="000D5304" w:rsidP="00D25032">
      <w:pPr>
        <w:pStyle w:val="NoSpacing"/>
        <w:ind w:left="720" w:hanging="720"/>
      </w:pPr>
      <w:r w:rsidRPr="000D5304">
        <w:lastRenderedPageBreak/>
        <w:t xml:space="preserve">26 Yang J, Veeraraghavan H, Armato SG, Farahani K, Kirby JS, Kalpathy-Kramer J, van Elmpt W, Dekker A, Han X, Feng X, </w:t>
      </w:r>
      <w:proofErr w:type="spellStart"/>
      <w:r w:rsidRPr="000D5304">
        <w:t>Aljabar</w:t>
      </w:r>
      <w:proofErr w:type="spellEnd"/>
      <w:r w:rsidRPr="000D5304">
        <w:t xml:space="preserve"> P, Oliveira B, van der Heyden B, </w:t>
      </w:r>
      <w:proofErr w:type="spellStart"/>
      <w:r w:rsidRPr="000D5304">
        <w:t>Zamdborg</w:t>
      </w:r>
      <w:proofErr w:type="spellEnd"/>
      <w:r w:rsidRPr="000D5304">
        <w:t xml:space="preserve"> L, Lam D, Gooding M and Sharp GC “</w:t>
      </w:r>
      <w:proofErr w:type="spellStart"/>
      <w:r w:rsidRPr="000D5304">
        <w:t>Autosegmentation</w:t>
      </w:r>
      <w:proofErr w:type="spellEnd"/>
      <w:r w:rsidRPr="000D5304">
        <w:t xml:space="preserve"> for thoracic radiation treatment planning: A grand challenge at AAPM 2017.” </w:t>
      </w:r>
      <w:r w:rsidRPr="000D5304">
        <w:rPr>
          <w:i/>
          <w:iCs/>
        </w:rPr>
        <w:t>Med. Phys</w:t>
      </w:r>
      <w:r w:rsidRPr="000D5304">
        <w:t xml:space="preserve">... </w:t>
      </w:r>
      <w:proofErr w:type="spellStart"/>
      <w:r w:rsidRPr="000D5304">
        <w:t>doi</w:t>
      </w:r>
      <w:proofErr w:type="spellEnd"/>
      <w:r w:rsidRPr="000D5304">
        <w:t>: 10.1002/mp.13141, 2018. </w:t>
      </w:r>
    </w:p>
    <w:p w14:paraId="3F9937FA" w14:textId="79770C02" w:rsidR="000D5304" w:rsidRPr="000D5304" w:rsidRDefault="000D5304" w:rsidP="00D25032">
      <w:pPr>
        <w:pStyle w:val="NoSpacing"/>
        <w:ind w:left="720" w:hanging="720"/>
      </w:pPr>
      <w:r w:rsidRPr="000D5304">
        <w:t xml:space="preserve">27 Yang </w:t>
      </w:r>
      <w:proofErr w:type="spellStart"/>
      <w:r w:rsidRPr="000D5304">
        <w:t>Jinzhong</w:t>
      </w:r>
      <w:proofErr w:type="spellEnd"/>
      <w:r w:rsidRPr="000D5304">
        <w:t>; Sharp Greg; Veeraraghavan Harini; van Elmpt Wouter; Dekker Andre; Lustberg Tim; Gooding M “</w:t>
      </w:r>
      <w:r w:rsidRPr="000D5304">
        <w:rPr>
          <w:i/>
          <w:iCs/>
        </w:rPr>
        <w:t>Data from Lung CT Segmentation Challenge. The Cancer Imaging Archive</w:t>
      </w:r>
      <w:r w:rsidRPr="000D5304">
        <w:t xml:space="preserve">.” 10.7937/K9/TCIA.2017.3r3fvz08, 2017. </w:t>
      </w:r>
    </w:p>
    <w:p w14:paraId="74054A9C" w14:textId="6714A482" w:rsidR="000D5304" w:rsidRPr="000D5304" w:rsidRDefault="000D5304" w:rsidP="00D25032">
      <w:pPr>
        <w:pStyle w:val="NoSpacing"/>
        <w:ind w:left="720" w:hanging="720"/>
      </w:pPr>
      <w:r w:rsidRPr="000D5304">
        <w:t>28 </w:t>
      </w:r>
      <w:proofErr w:type="spellStart"/>
      <w:r w:rsidRPr="000D5304">
        <w:t>Tapiovaara</w:t>
      </w:r>
      <w:proofErr w:type="spellEnd"/>
      <w:r w:rsidRPr="000D5304">
        <w:t xml:space="preserve"> A, </w:t>
      </w:r>
      <w:proofErr w:type="spellStart"/>
      <w:r w:rsidRPr="000D5304">
        <w:t>Lakkisto</w:t>
      </w:r>
      <w:proofErr w:type="spellEnd"/>
      <w:r w:rsidRPr="000D5304">
        <w:t xml:space="preserve"> M, </w:t>
      </w:r>
      <w:proofErr w:type="spellStart"/>
      <w:r w:rsidRPr="000D5304">
        <w:t>Servomaa</w:t>
      </w:r>
      <w:proofErr w:type="spellEnd"/>
      <w:r w:rsidRPr="000D5304">
        <w:t xml:space="preserve"> M, “PCXMC A PC-based Monte Carlo program for calculating patient doses in medical x-ray examinations.” 1997. </w:t>
      </w:r>
      <w:r w:rsidRPr="000D5304">
        <w:rPr>
          <w:i/>
          <w:iCs/>
        </w:rPr>
        <w:t>(STUK-</w:t>
      </w:r>
      <w:proofErr w:type="gramStart"/>
      <w:r w:rsidRPr="000D5304">
        <w:rPr>
          <w:i/>
          <w:iCs/>
        </w:rPr>
        <w:t>A--139</w:t>
      </w:r>
      <w:proofErr w:type="gramEnd"/>
      <w:r w:rsidRPr="000D5304">
        <w:rPr>
          <w:i/>
          <w:iCs/>
        </w:rPr>
        <w:t>)</w:t>
      </w:r>
      <w:r w:rsidRPr="000D5304">
        <w:t>. Finland. </w:t>
      </w:r>
    </w:p>
    <w:p w14:paraId="0A0C25E1" w14:textId="1DF7EBC4" w:rsidR="000D5304" w:rsidRPr="000D5304" w:rsidRDefault="000D5304" w:rsidP="00D25032">
      <w:pPr>
        <w:pStyle w:val="NoSpacing"/>
        <w:ind w:left="720" w:hanging="720"/>
      </w:pPr>
      <w:r w:rsidRPr="000D5304">
        <w:t>29 Giansante L et al., “Organ doses evaluation for chest computed tomography procedures with TL dosimeters: Comparison with Monte Carlo simulations,” </w:t>
      </w:r>
      <w:r w:rsidRPr="000D5304">
        <w:rPr>
          <w:i/>
          <w:iCs/>
        </w:rPr>
        <w:t>J. Appl. Clin. Med. Phys</w:t>
      </w:r>
      <w:r w:rsidRPr="000D5304">
        <w:t xml:space="preserve">, vol. 20, no. 1, pp. 308–320, 2019, </w:t>
      </w:r>
      <w:proofErr w:type="spellStart"/>
      <w:r w:rsidRPr="000D5304">
        <w:t>doi</w:t>
      </w:r>
      <w:proofErr w:type="spellEnd"/>
      <w:r w:rsidRPr="000D5304">
        <w:t>: 10.1002/acm2.12505</w:t>
      </w:r>
      <w:r w:rsidR="00D25032">
        <w:t>.</w:t>
      </w:r>
    </w:p>
    <w:p w14:paraId="0F15EF19" w14:textId="4B1C7E31" w:rsidR="000D5304" w:rsidRPr="000D5304" w:rsidRDefault="000D5304" w:rsidP="00D25032">
      <w:pPr>
        <w:pStyle w:val="NoSpacing"/>
        <w:ind w:left="720" w:hanging="720"/>
      </w:pPr>
      <w:r w:rsidRPr="000D5304">
        <w:t xml:space="preserve">30 Huda W, </w:t>
      </w:r>
      <w:proofErr w:type="spellStart"/>
      <w:r w:rsidRPr="000D5304">
        <w:t>Sterzik</w:t>
      </w:r>
      <w:proofErr w:type="spellEnd"/>
      <w:r w:rsidRPr="000D5304">
        <w:t xml:space="preserve"> A, Tipnis S, and Schoepf UJ, “Organ doses to adult patients for chest CT,” </w:t>
      </w:r>
      <w:r w:rsidRPr="000D5304">
        <w:rPr>
          <w:i/>
          <w:iCs/>
        </w:rPr>
        <w:t>Med. Phys</w:t>
      </w:r>
      <w:r w:rsidRPr="000D5304">
        <w:t xml:space="preserve">, vol. 37, no. 2, pp. 842–847, 2010, </w:t>
      </w:r>
      <w:proofErr w:type="spellStart"/>
      <w:r w:rsidRPr="000D5304">
        <w:t>doi</w:t>
      </w:r>
      <w:proofErr w:type="spellEnd"/>
      <w:r w:rsidRPr="000D5304">
        <w:t>: 10.1118/1.3298015. </w:t>
      </w:r>
    </w:p>
    <w:p w14:paraId="3C9C6CF2" w14:textId="77777777" w:rsidR="00C90D2D" w:rsidRPr="00C90D2D" w:rsidRDefault="00C90D2D" w:rsidP="00C90D2D"/>
    <w:sectPr w:rsidR="00C90D2D" w:rsidRPr="00C90D2D"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5B5BA8"/>
    <w:multiLevelType w:val="multilevel"/>
    <w:tmpl w:val="F1608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301C2C"/>
    <w:multiLevelType w:val="multilevel"/>
    <w:tmpl w:val="00E00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50C2E8F"/>
    <w:multiLevelType w:val="multilevel"/>
    <w:tmpl w:val="A4B8C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2D62B0C"/>
    <w:multiLevelType w:val="multilevel"/>
    <w:tmpl w:val="3CD2D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B9078DA"/>
    <w:multiLevelType w:val="multilevel"/>
    <w:tmpl w:val="159C7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C766973"/>
    <w:multiLevelType w:val="multilevel"/>
    <w:tmpl w:val="376EBE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0FB0BB8"/>
    <w:multiLevelType w:val="multilevel"/>
    <w:tmpl w:val="6ED42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B0E19C9"/>
    <w:multiLevelType w:val="multilevel"/>
    <w:tmpl w:val="EDAA5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D5F7EB4"/>
    <w:multiLevelType w:val="multilevel"/>
    <w:tmpl w:val="0A5CB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1"/>
  </w:num>
  <w:num w:numId="2" w16cid:durableId="42485251">
    <w:abstractNumId w:val="8"/>
  </w:num>
  <w:num w:numId="3" w16cid:durableId="962153638">
    <w:abstractNumId w:val="7"/>
  </w:num>
  <w:num w:numId="4" w16cid:durableId="121774372">
    <w:abstractNumId w:val="3"/>
  </w:num>
  <w:num w:numId="5" w16cid:durableId="305858795">
    <w:abstractNumId w:val="9"/>
  </w:num>
  <w:num w:numId="6" w16cid:durableId="1447777595">
    <w:abstractNumId w:val="0"/>
  </w:num>
  <w:num w:numId="7" w16cid:durableId="2079396860">
    <w:abstractNumId w:val="4"/>
  </w:num>
  <w:num w:numId="8" w16cid:durableId="1478113196">
    <w:abstractNumId w:val="2"/>
  </w:num>
  <w:num w:numId="9" w16cid:durableId="197006999">
    <w:abstractNumId w:val="10"/>
  </w:num>
  <w:num w:numId="10" w16cid:durableId="1647974180">
    <w:abstractNumId w:val="5"/>
  </w:num>
  <w:num w:numId="11" w16cid:durableId="1968853996">
    <w:abstractNumId w:val="11"/>
  </w:num>
  <w:num w:numId="12" w16cid:durableId="58853807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formatting="1" w:enforcement="1" w:cryptProviderType="rsaAES" w:cryptAlgorithmClass="hash" w:cryptAlgorithmType="typeAny" w:cryptAlgorithmSid="14" w:cryptSpinCount="100000" w:hash="LwcHyPEY2n2XO0y4iR+nvppqb4jeu0Yi1guf0sY7T2DhPxXgxdjeg5Cl29QKrNiQrfLEum5PACERN8x2RXILaA==" w:salt="uZBVABiT2dVObkPZtyXsF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265"/>
    <w:rsid w:val="0000729D"/>
    <w:rsid w:val="000078BE"/>
    <w:rsid w:val="0001072F"/>
    <w:rsid w:val="0001241B"/>
    <w:rsid w:val="00013176"/>
    <w:rsid w:val="00014F38"/>
    <w:rsid w:val="00021994"/>
    <w:rsid w:val="000233C1"/>
    <w:rsid w:val="00024048"/>
    <w:rsid w:val="00026BC7"/>
    <w:rsid w:val="0003036D"/>
    <w:rsid w:val="00034205"/>
    <w:rsid w:val="00035704"/>
    <w:rsid w:val="00041C27"/>
    <w:rsid w:val="000437DE"/>
    <w:rsid w:val="00043C8E"/>
    <w:rsid w:val="00044EBA"/>
    <w:rsid w:val="0004637E"/>
    <w:rsid w:val="0004717F"/>
    <w:rsid w:val="00051B33"/>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0F8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5304"/>
    <w:rsid w:val="000D6BF2"/>
    <w:rsid w:val="000E02B7"/>
    <w:rsid w:val="000E69EF"/>
    <w:rsid w:val="000E7C46"/>
    <w:rsid w:val="000F0449"/>
    <w:rsid w:val="000F08DA"/>
    <w:rsid w:val="000F14F0"/>
    <w:rsid w:val="000F1D5E"/>
    <w:rsid w:val="000F33D0"/>
    <w:rsid w:val="00101A98"/>
    <w:rsid w:val="00104CE6"/>
    <w:rsid w:val="00107EA8"/>
    <w:rsid w:val="001102B4"/>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295B"/>
    <w:rsid w:val="00153CB4"/>
    <w:rsid w:val="00154AF2"/>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A4198"/>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5ECD"/>
    <w:rsid w:val="00226FA2"/>
    <w:rsid w:val="0024134B"/>
    <w:rsid w:val="00251132"/>
    <w:rsid w:val="002528D7"/>
    <w:rsid w:val="002534F0"/>
    <w:rsid w:val="002535DF"/>
    <w:rsid w:val="00253DB5"/>
    <w:rsid w:val="002558EB"/>
    <w:rsid w:val="00255B43"/>
    <w:rsid w:val="00255BDC"/>
    <w:rsid w:val="00255BEA"/>
    <w:rsid w:val="00261403"/>
    <w:rsid w:val="00261F59"/>
    <w:rsid w:val="00272AF4"/>
    <w:rsid w:val="00276C06"/>
    <w:rsid w:val="00280198"/>
    <w:rsid w:val="00282094"/>
    <w:rsid w:val="002843BC"/>
    <w:rsid w:val="00284A84"/>
    <w:rsid w:val="00284FCE"/>
    <w:rsid w:val="0029129F"/>
    <w:rsid w:val="00296B90"/>
    <w:rsid w:val="00297296"/>
    <w:rsid w:val="002A0668"/>
    <w:rsid w:val="002A3472"/>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2EF"/>
    <w:rsid w:val="002E5C33"/>
    <w:rsid w:val="002E5D29"/>
    <w:rsid w:val="002E78C5"/>
    <w:rsid w:val="00300EE4"/>
    <w:rsid w:val="0030197F"/>
    <w:rsid w:val="0030223E"/>
    <w:rsid w:val="00303A1E"/>
    <w:rsid w:val="00303BBD"/>
    <w:rsid w:val="00313440"/>
    <w:rsid w:val="00314FCD"/>
    <w:rsid w:val="00323EC8"/>
    <w:rsid w:val="00324290"/>
    <w:rsid w:val="00325780"/>
    <w:rsid w:val="00331737"/>
    <w:rsid w:val="0033243D"/>
    <w:rsid w:val="003348D8"/>
    <w:rsid w:val="0033652E"/>
    <w:rsid w:val="00340617"/>
    <w:rsid w:val="00340B13"/>
    <w:rsid w:val="00340CDB"/>
    <w:rsid w:val="003427C6"/>
    <w:rsid w:val="00343472"/>
    <w:rsid w:val="003455AA"/>
    <w:rsid w:val="00347634"/>
    <w:rsid w:val="00351E90"/>
    <w:rsid w:val="00360206"/>
    <w:rsid w:val="003624EE"/>
    <w:rsid w:val="003632E1"/>
    <w:rsid w:val="00363CD3"/>
    <w:rsid w:val="003656A8"/>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C5E97"/>
    <w:rsid w:val="003D1441"/>
    <w:rsid w:val="003D3301"/>
    <w:rsid w:val="003D4641"/>
    <w:rsid w:val="003E05B7"/>
    <w:rsid w:val="003E0C0A"/>
    <w:rsid w:val="003E6CFF"/>
    <w:rsid w:val="004010E3"/>
    <w:rsid w:val="004055B8"/>
    <w:rsid w:val="0040709D"/>
    <w:rsid w:val="0040778E"/>
    <w:rsid w:val="004122F9"/>
    <w:rsid w:val="004124D3"/>
    <w:rsid w:val="004139BA"/>
    <w:rsid w:val="00414591"/>
    <w:rsid w:val="00421CBC"/>
    <w:rsid w:val="0042636C"/>
    <w:rsid w:val="0043008C"/>
    <w:rsid w:val="00430B91"/>
    <w:rsid w:val="004374EF"/>
    <w:rsid w:val="00440F61"/>
    <w:rsid w:val="004441CB"/>
    <w:rsid w:val="00450DB8"/>
    <w:rsid w:val="004515AD"/>
    <w:rsid w:val="00453CAE"/>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0DF"/>
    <w:rsid w:val="00497E47"/>
    <w:rsid w:val="004A0368"/>
    <w:rsid w:val="004A2715"/>
    <w:rsid w:val="004A2894"/>
    <w:rsid w:val="004A2B41"/>
    <w:rsid w:val="004A2EA5"/>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1CEE"/>
    <w:rsid w:val="005175E9"/>
    <w:rsid w:val="00520368"/>
    <w:rsid w:val="0052658A"/>
    <w:rsid w:val="00533270"/>
    <w:rsid w:val="00537C15"/>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5B86"/>
    <w:rsid w:val="005C663B"/>
    <w:rsid w:val="005D066F"/>
    <w:rsid w:val="005D1C38"/>
    <w:rsid w:val="005D1ED6"/>
    <w:rsid w:val="005D767A"/>
    <w:rsid w:val="005E2628"/>
    <w:rsid w:val="005E3FF6"/>
    <w:rsid w:val="005E5140"/>
    <w:rsid w:val="005E5F66"/>
    <w:rsid w:val="005F46EC"/>
    <w:rsid w:val="005F49C9"/>
    <w:rsid w:val="005F71CE"/>
    <w:rsid w:val="005F7A68"/>
    <w:rsid w:val="00601980"/>
    <w:rsid w:val="0060332C"/>
    <w:rsid w:val="0060477F"/>
    <w:rsid w:val="00604C5A"/>
    <w:rsid w:val="00607F1D"/>
    <w:rsid w:val="00612DE8"/>
    <w:rsid w:val="00615A83"/>
    <w:rsid w:val="0061774C"/>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1F1"/>
    <w:rsid w:val="006647E7"/>
    <w:rsid w:val="00666FD4"/>
    <w:rsid w:val="00667217"/>
    <w:rsid w:val="006702C6"/>
    <w:rsid w:val="00674009"/>
    <w:rsid w:val="006769E6"/>
    <w:rsid w:val="00676C63"/>
    <w:rsid w:val="00682333"/>
    <w:rsid w:val="006844CA"/>
    <w:rsid w:val="006871E0"/>
    <w:rsid w:val="00693B53"/>
    <w:rsid w:val="00694EBF"/>
    <w:rsid w:val="006968E5"/>
    <w:rsid w:val="00697377"/>
    <w:rsid w:val="006A1F61"/>
    <w:rsid w:val="006A533C"/>
    <w:rsid w:val="006A5E52"/>
    <w:rsid w:val="006A712D"/>
    <w:rsid w:val="006A7B71"/>
    <w:rsid w:val="006B20FD"/>
    <w:rsid w:val="006B3B2B"/>
    <w:rsid w:val="006B43FC"/>
    <w:rsid w:val="006C024E"/>
    <w:rsid w:val="006C7ED1"/>
    <w:rsid w:val="006D2367"/>
    <w:rsid w:val="006D62C7"/>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9E7"/>
    <w:rsid w:val="007246B0"/>
    <w:rsid w:val="007258CB"/>
    <w:rsid w:val="00730E29"/>
    <w:rsid w:val="00732FF6"/>
    <w:rsid w:val="00735393"/>
    <w:rsid w:val="00745E32"/>
    <w:rsid w:val="007466F7"/>
    <w:rsid w:val="00756C38"/>
    <w:rsid w:val="00757D89"/>
    <w:rsid w:val="00761734"/>
    <w:rsid w:val="0076194B"/>
    <w:rsid w:val="00761AF8"/>
    <w:rsid w:val="00763676"/>
    <w:rsid w:val="00772776"/>
    <w:rsid w:val="00776E56"/>
    <w:rsid w:val="00781619"/>
    <w:rsid w:val="0079146B"/>
    <w:rsid w:val="00791DD5"/>
    <w:rsid w:val="0079457D"/>
    <w:rsid w:val="00796875"/>
    <w:rsid w:val="0079756E"/>
    <w:rsid w:val="007A1233"/>
    <w:rsid w:val="007A258F"/>
    <w:rsid w:val="007A3B3A"/>
    <w:rsid w:val="007B0BBA"/>
    <w:rsid w:val="007C16F7"/>
    <w:rsid w:val="007D25DB"/>
    <w:rsid w:val="007D51E8"/>
    <w:rsid w:val="007D655B"/>
    <w:rsid w:val="007D762B"/>
    <w:rsid w:val="007D7695"/>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6FA"/>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A7B06"/>
    <w:rsid w:val="008B15CF"/>
    <w:rsid w:val="008B2242"/>
    <w:rsid w:val="008B4AD1"/>
    <w:rsid w:val="008B6D93"/>
    <w:rsid w:val="008B7AF1"/>
    <w:rsid w:val="008C3543"/>
    <w:rsid w:val="008D0690"/>
    <w:rsid w:val="008D0F0D"/>
    <w:rsid w:val="008D0FF2"/>
    <w:rsid w:val="008D14D6"/>
    <w:rsid w:val="008D1D7F"/>
    <w:rsid w:val="008D3526"/>
    <w:rsid w:val="008E05C1"/>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1CD7"/>
    <w:rsid w:val="00925107"/>
    <w:rsid w:val="00925421"/>
    <w:rsid w:val="009267EE"/>
    <w:rsid w:val="00926994"/>
    <w:rsid w:val="00927998"/>
    <w:rsid w:val="00932185"/>
    <w:rsid w:val="009346E4"/>
    <w:rsid w:val="009347C4"/>
    <w:rsid w:val="00935F23"/>
    <w:rsid w:val="009372D8"/>
    <w:rsid w:val="00937D12"/>
    <w:rsid w:val="009407E2"/>
    <w:rsid w:val="00940ED2"/>
    <w:rsid w:val="00946997"/>
    <w:rsid w:val="0094737A"/>
    <w:rsid w:val="00950094"/>
    <w:rsid w:val="0095139E"/>
    <w:rsid w:val="00951536"/>
    <w:rsid w:val="009526DC"/>
    <w:rsid w:val="00952B32"/>
    <w:rsid w:val="00952C61"/>
    <w:rsid w:val="00954B3E"/>
    <w:rsid w:val="009554A6"/>
    <w:rsid w:val="00956C21"/>
    <w:rsid w:val="00956FEB"/>
    <w:rsid w:val="009650D5"/>
    <w:rsid w:val="0096535F"/>
    <w:rsid w:val="00965F35"/>
    <w:rsid w:val="00966500"/>
    <w:rsid w:val="009729A3"/>
    <w:rsid w:val="009732A9"/>
    <w:rsid w:val="009761C9"/>
    <w:rsid w:val="00977C0E"/>
    <w:rsid w:val="00977F1D"/>
    <w:rsid w:val="00982217"/>
    <w:rsid w:val="00984B39"/>
    <w:rsid w:val="00986A83"/>
    <w:rsid w:val="00990645"/>
    <w:rsid w:val="009A130B"/>
    <w:rsid w:val="009A2639"/>
    <w:rsid w:val="009A29E5"/>
    <w:rsid w:val="009A397F"/>
    <w:rsid w:val="009B4F83"/>
    <w:rsid w:val="009B6983"/>
    <w:rsid w:val="009C5450"/>
    <w:rsid w:val="009C5716"/>
    <w:rsid w:val="009C6406"/>
    <w:rsid w:val="009C6CD1"/>
    <w:rsid w:val="009C728A"/>
    <w:rsid w:val="009D316A"/>
    <w:rsid w:val="009D3527"/>
    <w:rsid w:val="009D5368"/>
    <w:rsid w:val="009D54DF"/>
    <w:rsid w:val="009D7F90"/>
    <w:rsid w:val="009E56AC"/>
    <w:rsid w:val="009E56AF"/>
    <w:rsid w:val="009E678D"/>
    <w:rsid w:val="009F28E2"/>
    <w:rsid w:val="009F4BDF"/>
    <w:rsid w:val="009F60BA"/>
    <w:rsid w:val="009F7F44"/>
    <w:rsid w:val="00A01B8D"/>
    <w:rsid w:val="00A034AE"/>
    <w:rsid w:val="00A035F5"/>
    <w:rsid w:val="00A07F07"/>
    <w:rsid w:val="00A11F34"/>
    <w:rsid w:val="00A12713"/>
    <w:rsid w:val="00A1350A"/>
    <w:rsid w:val="00A20052"/>
    <w:rsid w:val="00A231A4"/>
    <w:rsid w:val="00A27454"/>
    <w:rsid w:val="00A310DA"/>
    <w:rsid w:val="00A32FCB"/>
    <w:rsid w:val="00A3561C"/>
    <w:rsid w:val="00A400BC"/>
    <w:rsid w:val="00A40701"/>
    <w:rsid w:val="00A42169"/>
    <w:rsid w:val="00A424F1"/>
    <w:rsid w:val="00A426B2"/>
    <w:rsid w:val="00A45EE8"/>
    <w:rsid w:val="00A463AF"/>
    <w:rsid w:val="00A465FC"/>
    <w:rsid w:val="00A47484"/>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8797B"/>
    <w:rsid w:val="00A915ED"/>
    <w:rsid w:val="00A91CF2"/>
    <w:rsid w:val="00A93BA4"/>
    <w:rsid w:val="00A9416E"/>
    <w:rsid w:val="00AA10D9"/>
    <w:rsid w:val="00AA432C"/>
    <w:rsid w:val="00AA493D"/>
    <w:rsid w:val="00AB4807"/>
    <w:rsid w:val="00AB4813"/>
    <w:rsid w:val="00AC0052"/>
    <w:rsid w:val="00AC04D6"/>
    <w:rsid w:val="00AC428F"/>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675B"/>
    <w:rsid w:val="00B1760D"/>
    <w:rsid w:val="00B17FF0"/>
    <w:rsid w:val="00B30468"/>
    <w:rsid w:val="00B32160"/>
    <w:rsid w:val="00B32B07"/>
    <w:rsid w:val="00B336E9"/>
    <w:rsid w:val="00B3397D"/>
    <w:rsid w:val="00B3426B"/>
    <w:rsid w:val="00B34F7B"/>
    <w:rsid w:val="00B35999"/>
    <w:rsid w:val="00B37D51"/>
    <w:rsid w:val="00B43446"/>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A7BB9"/>
    <w:rsid w:val="00BB2130"/>
    <w:rsid w:val="00BB30B6"/>
    <w:rsid w:val="00BB40CB"/>
    <w:rsid w:val="00BB7C37"/>
    <w:rsid w:val="00BC168F"/>
    <w:rsid w:val="00BC1E95"/>
    <w:rsid w:val="00BC2262"/>
    <w:rsid w:val="00BC3D81"/>
    <w:rsid w:val="00BC420A"/>
    <w:rsid w:val="00BC540B"/>
    <w:rsid w:val="00BC7302"/>
    <w:rsid w:val="00BD01F3"/>
    <w:rsid w:val="00BD0D8D"/>
    <w:rsid w:val="00BD220D"/>
    <w:rsid w:val="00BD439F"/>
    <w:rsid w:val="00BD4F14"/>
    <w:rsid w:val="00BE2644"/>
    <w:rsid w:val="00BE42F3"/>
    <w:rsid w:val="00BE551C"/>
    <w:rsid w:val="00BF6ECD"/>
    <w:rsid w:val="00BF790B"/>
    <w:rsid w:val="00C01E67"/>
    <w:rsid w:val="00C04D2D"/>
    <w:rsid w:val="00C05302"/>
    <w:rsid w:val="00C06B6B"/>
    <w:rsid w:val="00C06F37"/>
    <w:rsid w:val="00C0799A"/>
    <w:rsid w:val="00C13438"/>
    <w:rsid w:val="00C170FF"/>
    <w:rsid w:val="00C173E1"/>
    <w:rsid w:val="00C2019E"/>
    <w:rsid w:val="00C27AEF"/>
    <w:rsid w:val="00C3110E"/>
    <w:rsid w:val="00C3466C"/>
    <w:rsid w:val="00C355FF"/>
    <w:rsid w:val="00C41A64"/>
    <w:rsid w:val="00C45A87"/>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3CEB"/>
    <w:rsid w:val="00C85BDD"/>
    <w:rsid w:val="00C86B81"/>
    <w:rsid w:val="00C90D2D"/>
    <w:rsid w:val="00C91557"/>
    <w:rsid w:val="00C92F74"/>
    <w:rsid w:val="00C969A6"/>
    <w:rsid w:val="00CA1C19"/>
    <w:rsid w:val="00CA204D"/>
    <w:rsid w:val="00CA2E14"/>
    <w:rsid w:val="00CA60CD"/>
    <w:rsid w:val="00CB06D2"/>
    <w:rsid w:val="00CB10E9"/>
    <w:rsid w:val="00CB11D6"/>
    <w:rsid w:val="00CB5475"/>
    <w:rsid w:val="00CB665E"/>
    <w:rsid w:val="00CB6E09"/>
    <w:rsid w:val="00CC09A7"/>
    <w:rsid w:val="00CC0FD9"/>
    <w:rsid w:val="00CC1F8F"/>
    <w:rsid w:val="00CD139B"/>
    <w:rsid w:val="00CD5E59"/>
    <w:rsid w:val="00CD7831"/>
    <w:rsid w:val="00CE05D4"/>
    <w:rsid w:val="00CE4712"/>
    <w:rsid w:val="00CE7AC2"/>
    <w:rsid w:val="00CF53EE"/>
    <w:rsid w:val="00D01E5B"/>
    <w:rsid w:val="00D02378"/>
    <w:rsid w:val="00D02952"/>
    <w:rsid w:val="00D02BE9"/>
    <w:rsid w:val="00D048FE"/>
    <w:rsid w:val="00D101DD"/>
    <w:rsid w:val="00D14423"/>
    <w:rsid w:val="00D15F27"/>
    <w:rsid w:val="00D162A6"/>
    <w:rsid w:val="00D17394"/>
    <w:rsid w:val="00D17B7F"/>
    <w:rsid w:val="00D21541"/>
    <w:rsid w:val="00D23FFF"/>
    <w:rsid w:val="00D25032"/>
    <w:rsid w:val="00D2778A"/>
    <w:rsid w:val="00D31043"/>
    <w:rsid w:val="00D32077"/>
    <w:rsid w:val="00D324C0"/>
    <w:rsid w:val="00D34A13"/>
    <w:rsid w:val="00D3640D"/>
    <w:rsid w:val="00D42AE0"/>
    <w:rsid w:val="00D43F4A"/>
    <w:rsid w:val="00D44B37"/>
    <w:rsid w:val="00D45330"/>
    <w:rsid w:val="00D45705"/>
    <w:rsid w:val="00D45A48"/>
    <w:rsid w:val="00D45DB8"/>
    <w:rsid w:val="00D45FAE"/>
    <w:rsid w:val="00D505CD"/>
    <w:rsid w:val="00D50821"/>
    <w:rsid w:val="00D52361"/>
    <w:rsid w:val="00D52D25"/>
    <w:rsid w:val="00D657EC"/>
    <w:rsid w:val="00D65A57"/>
    <w:rsid w:val="00D66306"/>
    <w:rsid w:val="00D66B18"/>
    <w:rsid w:val="00D726DB"/>
    <w:rsid w:val="00D73164"/>
    <w:rsid w:val="00D7469C"/>
    <w:rsid w:val="00D77E53"/>
    <w:rsid w:val="00D8135F"/>
    <w:rsid w:val="00D81DD5"/>
    <w:rsid w:val="00D85787"/>
    <w:rsid w:val="00D87BB8"/>
    <w:rsid w:val="00D90BD9"/>
    <w:rsid w:val="00D932C5"/>
    <w:rsid w:val="00D939A7"/>
    <w:rsid w:val="00D9581C"/>
    <w:rsid w:val="00D95DCB"/>
    <w:rsid w:val="00D96228"/>
    <w:rsid w:val="00DA5459"/>
    <w:rsid w:val="00DA619A"/>
    <w:rsid w:val="00DA684F"/>
    <w:rsid w:val="00DB357A"/>
    <w:rsid w:val="00DB4233"/>
    <w:rsid w:val="00DB5097"/>
    <w:rsid w:val="00DC4F7C"/>
    <w:rsid w:val="00DC7134"/>
    <w:rsid w:val="00DC7C2C"/>
    <w:rsid w:val="00DD1502"/>
    <w:rsid w:val="00DD2256"/>
    <w:rsid w:val="00DD4B55"/>
    <w:rsid w:val="00DD5871"/>
    <w:rsid w:val="00DE2F66"/>
    <w:rsid w:val="00DE4173"/>
    <w:rsid w:val="00DE4592"/>
    <w:rsid w:val="00DE6744"/>
    <w:rsid w:val="00DF6125"/>
    <w:rsid w:val="00E12335"/>
    <w:rsid w:val="00E13B53"/>
    <w:rsid w:val="00E13E05"/>
    <w:rsid w:val="00E15784"/>
    <w:rsid w:val="00E1642E"/>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7DA0"/>
    <w:rsid w:val="00E81F85"/>
    <w:rsid w:val="00E8413D"/>
    <w:rsid w:val="00E84C2A"/>
    <w:rsid w:val="00E90CA1"/>
    <w:rsid w:val="00E91D25"/>
    <w:rsid w:val="00E94035"/>
    <w:rsid w:val="00E95F4D"/>
    <w:rsid w:val="00E97067"/>
    <w:rsid w:val="00EA3852"/>
    <w:rsid w:val="00EA6E8E"/>
    <w:rsid w:val="00EA7978"/>
    <w:rsid w:val="00EA7D19"/>
    <w:rsid w:val="00EB7F70"/>
    <w:rsid w:val="00EC4C2A"/>
    <w:rsid w:val="00EC6764"/>
    <w:rsid w:val="00EC726F"/>
    <w:rsid w:val="00EC7743"/>
    <w:rsid w:val="00EC7B8C"/>
    <w:rsid w:val="00ED2540"/>
    <w:rsid w:val="00ED48A6"/>
    <w:rsid w:val="00ED521A"/>
    <w:rsid w:val="00EE1F48"/>
    <w:rsid w:val="00EE262B"/>
    <w:rsid w:val="00EE3C5A"/>
    <w:rsid w:val="00EE4E0F"/>
    <w:rsid w:val="00EE504D"/>
    <w:rsid w:val="00EE75E3"/>
    <w:rsid w:val="00EE7777"/>
    <w:rsid w:val="00EF0C86"/>
    <w:rsid w:val="00EF2D7A"/>
    <w:rsid w:val="00EF586D"/>
    <w:rsid w:val="00F00B9A"/>
    <w:rsid w:val="00F0246E"/>
    <w:rsid w:val="00F026DB"/>
    <w:rsid w:val="00F04133"/>
    <w:rsid w:val="00F04BB0"/>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387E"/>
    <w:rsid w:val="00F559A5"/>
    <w:rsid w:val="00F55F9D"/>
    <w:rsid w:val="00F56E1A"/>
    <w:rsid w:val="00F60EEE"/>
    <w:rsid w:val="00F6204B"/>
    <w:rsid w:val="00F62CDA"/>
    <w:rsid w:val="00F6448C"/>
    <w:rsid w:val="00F65D8A"/>
    <w:rsid w:val="00F668FB"/>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E761B"/>
    <w:rsid w:val="00FF1F94"/>
    <w:rsid w:val="00FF2B49"/>
    <w:rsid w:val="00FF3001"/>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2952"/>
  </w:style>
  <w:style w:type="paragraph" w:styleId="Heading1">
    <w:name w:val="heading 1"/>
    <w:basedOn w:val="Normal"/>
    <w:next w:val="Normal"/>
    <w:link w:val="Heading1Char"/>
    <w:uiPriority w:val="9"/>
    <w:qFormat/>
    <w:rsid w:val="00D02952"/>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02952"/>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02952"/>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02952"/>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02952"/>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02952"/>
    <w:pPr>
      <w:keepNext/>
      <w:keepLines/>
      <w:spacing w:before="40" w:after="0"/>
      <w:outlineLvl w:val="5"/>
    </w:pPr>
  </w:style>
  <w:style w:type="paragraph" w:styleId="Heading7">
    <w:name w:val="heading 7"/>
    <w:basedOn w:val="Normal"/>
    <w:next w:val="Normal"/>
    <w:link w:val="Heading7Char"/>
    <w:uiPriority w:val="9"/>
    <w:semiHidden/>
    <w:unhideWhenUsed/>
    <w:qFormat/>
    <w:rsid w:val="00D02952"/>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02952"/>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0295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2952"/>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02952"/>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02952"/>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02952"/>
    <w:rPr>
      <w:i/>
      <w:iCs/>
    </w:rPr>
  </w:style>
  <w:style w:type="character" w:customStyle="1" w:styleId="Heading5Char">
    <w:name w:val="Heading 5 Char"/>
    <w:basedOn w:val="DefaultParagraphFont"/>
    <w:link w:val="Heading5"/>
    <w:uiPriority w:val="9"/>
    <w:semiHidden/>
    <w:rsid w:val="00D02952"/>
    <w:rPr>
      <w:color w:val="404040" w:themeColor="text1" w:themeTint="BF"/>
    </w:rPr>
  </w:style>
  <w:style w:type="character" w:customStyle="1" w:styleId="Heading6Char">
    <w:name w:val="Heading 6 Char"/>
    <w:basedOn w:val="DefaultParagraphFont"/>
    <w:link w:val="Heading6"/>
    <w:uiPriority w:val="9"/>
    <w:semiHidden/>
    <w:rsid w:val="00D02952"/>
  </w:style>
  <w:style w:type="character" w:customStyle="1" w:styleId="Heading7Char">
    <w:name w:val="Heading 7 Char"/>
    <w:basedOn w:val="DefaultParagraphFont"/>
    <w:link w:val="Heading7"/>
    <w:uiPriority w:val="9"/>
    <w:semiHidden/>
    <w:rsid w:val="00D02952"/>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02952"/>
    <w:rPr>
      <w:color w:val="262626" w:themeColor="text1" w:themeTint="D9"/>
      <w:sz w:val="21"/>
      <w:szCs w:val="21"/>
    </w:rPr>
  </w:style>
  <w:style w:type="character" w:customStyle="1" w:styleId="Heading9Char">
    <w:name w:val="Heading 9 Char"/>
    <w:basedOn w:val="DefaultParagraphFont"/>
    <w:link w:val="Heading9"/>
    <w:uiPriority w:val="9"/>
    <w:semiHidden/>
    <w:rsid w:val="00D02952"/>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02952"/>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02952"/>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02952"/>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02952"/>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02952"/>
    <w:rPr>
      <w:color w:val="5A5A5A" w:themeColor="text1" w:themeTint="A5"/>
      <w:spacing w:val="15"/>
    </w:rPr>
  </w:style>
  <w:style w:type="character" w:styleId="Strong">
    <w:name w:val="Strong"/>
    <w:basedOn w:val="DefaultParagraphFont"/>
    <w:uiPriority w:val="22"/>
    <w:qFormat/>
    <w:rsid w:val="00D02952"/>
    <w:rPr>
      <w:b/>
      <w:bCs/>
      <w:color w:val="auto"/>
    </w:rPr>
  </w:style>
  <w:style w:type="character" w:styleId="Emphasis">
    <w:name w:val="Emphasis"/>
    <w:basedOn w:val="DefaultParagraphFont"/>
    <w:uiPriority w:val="20"/>
    <w:qFormat/>
    <w:rsid w:val="00D02952"/>
    <w:rPr>
      <w:i/>
      <w:iCs/>
      <w:color w:val="auto"/>
    </w:rPr>
  </w:style>
  <w:style w:type="paragraph" w:styleId="NoSpacing">
    <w:name w:val="No Spacing"/>
    <w:uiPriority w:val="1"/>
    <w:qFormat/>
    <w:rsid w:val="00D02952"/>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02952"/>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02952"/>
    <w:rPr>
      <w:i/>
      <w:iCs/>
      <w:color w:val="404040" w:themeColor="text1" w:themeTint="BF"/>
    </w:rPr>
  </w:style>
  <w:style w:type="paragraph" w:styleId="IntenseQuote">
    <w:name w:val="Intense Quote"/>
    <w:basedOn w:val="Normal"/>
    <w:next w:val="Normal"/>
    <w:link w:val="IntenseQuoteChar"/>
    <w:uiPriority w:val="30"/>
    <w:qFormat/>
    <w:rsid w:val="00D02952"/>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02952"/>
    <w:rPr>
      <w:i/>
      <w:iCs/>
      <w:color w:val="404040" w:themeColor="text1" w:themeTint="BF"/>
    </w:rPr>
  </w:style>
  <w:style w:type="character" w:styleId="SubtleEmphasis">
    <w:name w:val="Subtle Emphasis"/>
    <w:basedOn w:val="DefaultParagraphFont"/>
    <w:uiPriority w:val="19"/>
    <w:qFormat/>
    <w:rsid w:val="00D02952"/>
    <w:rPr>
      <w:i/>
      <w:iCs/>
      <w:color w:val="404040" w:themeColor="text1" w:themeTint="BF"/>
    </w:rPr>
  </w:style>
  <w:style w:type="character" w:styleId="IntenseEmphasis">
    <w:name w:val="Intense Emphasis"/>
    <w:basedOn w:val="DefaultParagraphFont"/>
    <w:uiPriority w:val="21"/>
    <w:qFormat/>
    <w:rsid w:val="00D02952"/>
    <w:rPr>
      <w:b/>
      <w:bCs/>
      <w:i/>
      <w:iCs/>
      <w:color w:val="auto"/>
    </w:rPr>
  </w:style>
  <w:style w:type="character" w:styleId="SubtleReference">
    <w:name w:val="Subtle Reference"/>
    <w:basedOn w:val="DefaultParagraphFont"/>
    <w:uiPriority w:val="31"/>
    <w:qFormat/>
    <w:rsid w:val="00D02952"/>
    <w:rPr>
      <w:smallCaps/>
      <w:color w:val="404040" w:themeColor="text1" w:themeTint="BF"/>
    </w:rPr>
  </w:style>
  <w:style w:type="character" w:styleId="IntenseReference">
    <w:name w:val="Intense Reference"/>
    <w:basedOn w:val="DefaultParagraphFont"/>
    <w:uiPriority w:val="32"/>
    <w:qFormat/>
    <w:rsid w:val="00D02952"/>
    <w:rPr>
      <w:b/>
      <w:bCs/>
      <w:smallCaps/>
      <w:color w:val="404040" w:themeColor="text1" w:themeTint="BF"/>
      <w:spacing w:val="5"/>
    </w:rPr>
  </w:style>
  <w:style w:type="character" w:styleId="BookTitle">
    <w:name w:val="Book Title"/>
    <w:basedOn w:val="DefaultParagraphFont"/>
    <w:uiPriority w:val="33"/>
    <w:qFormat/>
    <w:rsid w:val="00D02952"/>
    <w:rPr>
      <w:b/>
      <w:bCs/>
      <w:i/>
      <w:iCs/>
      <w:spacing w:val="5"/>
    </w:rPr>
  </w:style>
  <w:style w:type="paragraph" w:styleId="TOCHeading">
    <w:name w:val="TOC Heading"/>
    <w:basedOn w:val="Heading1"/>
    <w:next w:val="Normal"/>
    <w:uiPriority w:val="39"/>
    <w:semiHidden/>
    <w:unhideWhenUsed/>
    <w:qFormat/>
    <w:rsid w:val="00D02952"/>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 w:type="character" w:customStyle="1" w:styleId="inline-equationconstruct">
    <w:name w:val="inline-equation__construct"/>
    <w:basedOn w:val="DefaultParagraphFont"/>
    <w:rsid w:val="003348D8"/>
  </w:style>
  <w:style w:type="character" w:customStyle="1" w:styleId="inline-equationlabel">
    <w:name w:val="inline-equation__label"/>
    <w:basedOn w:val="DefaultParagraphFont"/>
    <w:rsid w:val="003348D8"/>
  </w:style>
  <w:style w:type="character" w:customStyle="1" w:styleId="e-component">
    <w:name w:val="e-component"/>
    <w:basedOn w:val="DefaultParagraphFont"/>
    <w:rsid w:val="009C6CD1"/>
  </w:style>
  <w:style w:type="character" w:customStyle="1" w:styleId="reference">
    <w:name w:val="reference"/>
    <w:basedOn w:val="DefaultParagraphFont"/>
    <w:rsid w:val="009C6CD1"/>
  </w:style>
  <w:style w:type="character" w:customStyle="1" w:styleId="text">
    <w:name w:val="text"/>
    <w:basedOn w:val="DefaultParagraphFont"/>
    <w:rsid w:val="009C6CD1"/>
  </w:style>
  <w:style w:type="paragraph" w:customStyle="1" w:styleId="message">
    <w:name w:val="message"/>
    <w:basedOn w:val="Normal"/>
    <w:rsid w:val="009C6CD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
    <w:name w:val="p"/>
    <w:basedOn w:val="Normal"/>
    <w:rsid w:val="000D530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0D5304"/>
  </w:style>
  <w:style w:type="character" w:customStyle="1" w:styleId="mathjax">
    <w:name w:val="mathjax"/>
    <w:basedOn w:val="DefaultParagraphFont"/>
    <w:rsid w:val="000D5304"/>
  </w:style>
  <w:style w:type="character" w:customStyle="1" w:styleId="mrow">
    <w:name w:val="mrow"/>
    <w:basedOn w:val="DefaultParagraphFont"/>
    <w:rsid w:val="000D5304"/>
  </w:style>
  <w:style w:type="character" w:customStyle="1" w:styleId="msub">
    <w:name w:val="msub"/>
    <w:basedOn w:val="DefaultParagraphFont"/>
    <w:rsid w:val="000D5304"/>
  </w:style>
  <w:style w:type="character" w:customStyle="1" w:styleId="mi">
    <w:name w:val="mi"/>
    <w:basedOn w:val="DefaultParagraphFont"/>
    <w:rsid w:val="000D5304"/>
  </w:style>
  <w:style w:type="character" w:customStyle="1" w:styleId="mo">
    <w:name w:val="mo"/>
    <w:basedOn w:val="DefaultParagraphFont"/>
    <w:rsid w:val="000D5304"/>
  </w:style>
  <w:style w:type="character" w:customStyle="1" w:styleId="mfrac">
    <w:name w:val="mfrac"/>
    <w:basedOn w:val="DefaultParagraphFont"/>
    <w:rsid w:val="000D5304"/>
  </w:style>
  <w:style w:type="character" w:customStyle="1" w:styleId="mover">
    <w:name w:val="mover"/>
    <w:basedOn w:val="DefaultParagraphFont"/>
    <w:rsid w:val="000D5304"/>
  </w:style>
  <w:style w:type="character" w:customStyle="1" w:styleId="mn">
    <w:name w:val="mn"/>
    <w:basedOn w:val="DefaultParagraphFont"/>
    <w:rsid w:val="000D5304"/>
  </w:style>
  <w:style w:type="character" w:customStyle="1" w:styleId="mspace">
    <w:name w:val="mspace"/>
    <w:basedOn w:val="DefaultParagraphFont"/>
    <w:rsid w:val="000D5304"/>
  </w:style>
  <w:style w:type="character" w:customStyle="1" w:styleId="mixed-citation">
    <w:name w:val="mixed-citation"/>
    <w:basedOn w:val="DefaultParagraphFont"/>
    <w:rsid w:val="000D5304"/>
  </w:style>
  <w:style w:type="character" w:customStyle="1" w:styleId="ref-title">
    <w:name w:val="ref-title"/>
    <w:basedOn w:val="DefaultParagraphFont"/>
    <w:rsid w:val="000D5304"/>
  </w:style>
  <w:style w:type="character" w:customStyle="1" w:styleId="ref-journal">
    <w:name w:val="ref-journal"/>
    <w:basedOn w:val="DefaultParagraphFont"/>
    <w:rsid w:val="000D5304"/>
  </w:style>
  <w:style w:type="character" w:customStyle="1" w:styleId="ref-vol">
    <w:name w:val="ref-vol"/>
    <w:basedOn w:val="DefaultParagraphFont"/>
    <w:rsid w:val="000D5304"/>
  </w:style>
  <w:style w:type="character" w:customStyle="1" w:styleId="ref-iss">
    <w:name w:val="ref-iss"/>
    <w:basedOn w:val="DefaultParagraphFont"/>
    <w:rsid w:val="000D5304"/>
  </w:style>
  <w:style w:type="character" w:customStyle="1" w:styleId="nowrap">
    <w:name w:val="nowrap"/>
    <w:basedOn w:val="DefaultParagraphFont"/>
    <w:rsid w:val="000D53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783399">
      <w:bodyDiv w:val="1"/>
      <w:marLeft w:val="0"/>
      <w:marRight w:val="0"/>
      <w:marTop w:val="0"/>
      <w:marBottom w:val="0"/>
      <w:divBdr>
        <w:top w:val="none" w:sz="0" w:space="0" w:color="auto"/>
        <w:left w:val="none" w:sz="0" w:space="0" w:color="auto"/>
        <w:bottom w:val="none" w:sz="0" w:space="0" w:color="auto"/>
        <w:right w:val="none" w:sz="0" w:space="0" w:color="auto"/>
      </w:divBdr>
      <w:divsChild>
        <w:div w:id="1082025516">
          <w:marLeft w:val="0"/>
          <w:marRight w:val="0"/>
          <w:marTop w:val="0"/>
          <w:marBottom w:val="0"/>
          <w:divBdr>
            <w:top w:val="none" w:sz="0" w:space="0" w:color="auto"/>
            <w:left w:val="none" w:sz="0" w:space="0" w:color="auto"/>
            <w:bottom w:val="none" w:sz="0" w:space="0" w:color="auto"/>
            <w:right w:val="none" w:sz="0" w:space="0" w:color="auto"/>
          </w:divBdr>
          <w:divsChild>
            <w:div w:id="558370434">
              <w:marLeft w:val="0"/>
              <w:marRight w:val="0"/>
              <w:marTop w:val="0"/>
              <w:marBottom w:val="0"/>
              <w:divBdr>
                <w:top w:val="none" w:sz="0" w:space="0" w:color="auto"/>
                <w:left w:val="none" w:sz="0" w:space="0" w:color="auto"/>
                <w:bottom w:val="none" w:sz="0" w:space="0" w:color="auto"/>
                <w:right w:val="none" w:sz="0" w:space="0" w:color="auto"/>
              </w:divBdr>
              <w:divsChild>
                <w:div w:id="994142757">
                  <w:marLeft w:val="0"/>
                  <w:marRight w:val="0"/>
                  <w:marTop w:val="0"/>
                  <w:marBottom w:val="0"/>
                  <w:divBdr>
                    <w:top w:val="none" w:sz="0" w:space="0" w:color="auto"/>
                    <w:left w:val="none" w:sz="0" w:space="0" w:color="auto"/>
                    <w:bottom w:val="none" w:sz="0" w:space="0" w:color="auto"/>
                    <w:right w:val="none" w:sz="0" w:space="0" w:color="auto"/>
                  </w:divBdr>
                  <w:divsChild>
                    <w:div w:id="450131714">
                      <w:marLeft w:val="0"/>
                      <w:marRight w:val="0"/>
                      <w:marTop w:val="240"/>
                      <w:marBottom w:val="240"/>
                      <w:divBdr>
                        <w:top w:val="single" w:sz="12" w:space="0" w:color="EBEBEB"/>
                        <w:left w:val="none" w:sz="0" w:space="0" w:color="auto"/>
                        <w:bottom w:val="single" w:sz="12" w:space="0" w:color="EBEBEB"/>
                        <w:right w:val="none" w:sz="0" w:space="0" w:color="auto"/>
                      </w:divBdr>
                      <w:divsChild>
                        <w:div w:id="19198222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71523010">
                  <w:marLeft w:val="0"/>
                  <w:marRight w:val="0"/>
                  <w:marTop w:val="0"/>
                  <w:marBottom w:val="0"/>
                  <w:divBdr>
                    <w:top w:val="none" w:sz="0" w:space="0" w:color="auto"/>
                    <w:left w:val="none" w:sz="0" w:space="0" w:color="auto"/>
                    <w:bottom w:val="none" w:sz="0" w:space="0" w:color="auto"/>
                    <w:right w:val="none" w:sz="0" w:space="0" w:color="auto"/>
                  </w:divBdr>
                  <w:divsChild>
                    <w:div w:id="576717850">
                      <w:marLeft w:val="0"/>
                      <w:marRight w:val="0"/>
                      <w:marTop w:val="240"/>
                      <w:marBottom w:val="240"/>
                      <w:divBdr>
                        <w:top w:val="single" w:sz="12" w:space="0" w:color="EBEBEB"/>
                        <w:left w:val="none" w:sz="0" w:space="0" w:color="auto"/>
                        <w:bottom w:val="single" w:sz="12" w:space="0" w:color="EBEBEB"/>
                        <w:right w:val="none" w:sz="0" w:space="0" w:color="auto"/>
                      </w:divBdr>
                      <w:divsChild>
                        <w:div w:id="17767033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48209003">
                  <w:marLeft w:val="0"/>
                  <w:marRight w:val="0"/>
                  <w:marTop w:val="0"/>
                  <w:marBottom w:val="0"/>
                  <w:divBdr>
                    <w:top w:val="none" w:sz="0" w:space="0" w:color="auto"/>
                    <w:left w:val="none" w:sz="0" w:space="0" w:color="auto"/>
                    <w:bottom w:val="none" w:sz="0" w:space="0" w:color="auto"/>
                    <w:right w:val="none" w:sz="0" w:space="0" w:color="auto"/>
                  </w:divBdr>
                  <w:divsChild>
                    <w:div w:id="924918203">
                      <w:marLeft w:val="0"/>
                      <w:marRight w:val="0"/>
                      <w:marTop w:val="240"/>
                      <w:marBottom w:val="240"/>
                      <w:divBdr>
                        <w:top w:val="single" w:sz="12" w:space="0" w:color="EBEBEB"/>
                        <w:left w:val="none" w:sz="0" w:space="0" w:color="auto"/>
                        <w:bottom w:val="single" w:sz="12" w:space="0" w:color="EBEBEB"/>
                        <w:right w:val="none" w:sz="0" w:space="0" w:color="auto"/>
                      </w:divBdr>
                      <w:divsChild>
                        <w:div w:id="208904042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99151822">
                  <w:marLeft w:val="0"/>
                  <w:marRight w:val="0"/>
                  <w:marTop w:val="0"/>
                  <w:marBottom w:val="0"/>
                  <w:divBdr>
                    <w:top w:val="none" w:sz="0" w:space="0" w:color="auto"/>
                    <w:left w:val="none" w:sz="0" w:space="0" w:color="auto"/>
                    <w:bottom w:val="none" w:sz="0" w:space="0" w:color="auto"/>
                    <w:right w:val="none" w:sz="0" w:space="0" w:color="auto"/>
                  </w:divBdr>
                  <w:divsChild>
                    <w:div w:id="275411647">
                      <w:marLeft w:val="0"/>
                      <w:marRight w:val="0"/>
                      <w:marTop w:val="240"/>
                      <w:marBottom w:val="240"/>
                      <w:divBdr>
                        <w:top w:val="single" w:sz="12" w:space="0" w:color="EBEBEB"/>
                        <w:left w:val="none" w:sz="0" w:space="0" w:color="auto"/>
                        <w:bottom w:val="single" w:sz="12" w:space="0" w:color="EBEBEB"/>
                        <w:right w:val="none" w:sz="0" w:space="0" w:color="auto"/>
                      </w:divBdr>
                      <w:divsChild>
                        <w:div w:id="165367702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15212264">
                  <w:marLeft w:val="0"/>
                  <w:marRight w:val="0"/>
                  <w:marTop w:val="0"/>
                  <w:marBottom w:val="0"/>
                  <w:divBdr>
                    <w:top w:val="none" w:sz="0" w:space="0" w:color="auto"/>
                    <w:left w:val="none" w:sz="0" w:space="0" w:color="auto"/>
                    <w:bottom w:val="none" w:sz="0" w:space="0" w:color="auto"/>
                    <w:right w:val="none" w:sz="0" w:space="0" w:color="auto"/>
                  </w:divBdr>
                  <w:divsChild>
                    <w:div w:id="1501432974">
                      <w:marLeft w:val="0"/>
                      <w:marRight w:val="0"/>
                      <w:marTop w:val="240"/>
                      <w:marBottom w:val="240"/>
                      <w:divBdr>
                        <w:top w:val="single" w:sz="12" w:space="0" w:color="EBEBEB"/>
                        <w:left w:val="none" w:sz="0" w:space="0" w:color="auto"/>
                        <w:bottom w:val="single" w:sz="12" w:space="0" w:color="EBEBEB"/>
                        <w:right w:val="none" w:sz="0" w:space="0" w:color="auto"/>
                      </w:divBdr>
                      <w:divsChild>
                        <w:div w:id="211296996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41093791">
                  <w:marLeft w:val="0"/>
                  <w:marRight w:val="0"/>
                  <w:marTop w:val="0"/>
                  <w:marBottom w:val="0"/>
                  <w:divBdr>
                    <w:top w:val="none" w:sz="0" w:space="0" w:color="auto"/>
                    <w:left w:val="none" w:sz="0" w:space="0" w:color="auto"/>
                    <w:bottom w:val="none" w:sz="0" w:space="0" w:color="auto"/>
                    <w:right w:val="none" w:sz="0" w:space="0" w:color="auto"/>
                  </w:divBdr>
                  <w:divsChild>
                    <w:div w:id="1949661477">
                      <w:marLeft w:val="0"/>
                      <w:marRight w:val="0"/>
                      <w:marTop w:val="240"/>
                      <w:marBottom w:val="240"/>
                      <w:divBdr>
                        <w:top w:val="single" w:sz="12" w:space="0" w:color="EBEBEB"/>
                        <w:left w:val="none" w:sz="0" w:space="0" w:color="auto"/>
                        <w:bottom w:val="single" w:sz="12" w:space="0" w:color="EBEBEB"/>
                        <w:right w:val="none" w:sz="0" w:space="0" w:color="auto"/>
                      </w:divBdr>
                      <w:divsChild>
                        <w:div w:id="175763438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79378703">
                  <w:marLeft w:val="0"/>
                  <w:marRight w:val="0"/>
                  <w:marTop w:val="0"/>
                  <w:marBottom w:val="0"/>
                  <w:divBdr>
                    <w:top w:val="none" w:sz="0" w:space="0" w:color="auto"/>
                    <w:left w:val="none" w:sz="0" w:space="0" w:color="auto"/>
                    <w:bottom w:val="none" w:sz="0" w:space="0" w:color="auto"/>
                    <w:right w:val="none" w:sz="0" w:space="0" w:color="auto"/>
                  </w:divBdr>
                  <w:divsChild>
                    <w:div w:id="1559197058">
                      <w:marLeft w:val="0"/>
                      <w:marRight w:val="0"/>
                      <w:marTop w:val="240"/>
                      <w:marBottom w:val="240"/>
                      <w:divBdr>
                        <w:top w:val="single" w:sz="12" w:space="0" w:color="EBEBEB"/>
                        <w:left w:val="none" w:sz="0" w:space="0" w:color="auto"/>
                        <w:bottom w:val="single" w:sz="12" w:space="0" w:color="EBEBEB"/>
                        <w:right w:val="none" w:sz="0" w:space="0" w:color="auto"/>
                      </w:divBdr>
                      <w:divsChild>
                        <w:div w:id="10022488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20758337">
                  <w:marLeft w:val="0"/>
                  <w:marRight w:val="0"/>
                  <w:marTop w:val="0"/>
                  <w:marBottom w:val="0"/>
                  <w:divBdr>
                    <w:top w:val="none" w:sz="0" w:space="0" w:color="auto"/>
                    <w:left w:val="none" w:sz="0" w:space="0" w:color="auto"/>
                    <w:bottom w:val="none" w:sz="0" w:space="0" w:color="auto"/>
                    <w:right w:val="none" w:sz="0" w:space="0" w:color="auto"/>
                  </w:divBdr>
                  <w:divsChild>
                    <w:div w:id="578756107">
                      <w:marLeft w:val="0"/>
                      <w:marRight w:val="0"/>
                      <w:marTop w:val="240"/>
                      <w:marBottom w:val="240"/>
                      <w:divBdr>
                        <w:top w:val="single" w:sz="12" w:space="0" w:color="EBEBEB"/>
                        <w:left w:val="none" w:sz="0" w:space="0" w:color="auto"/>
                        <w:bottom w:val="single" w:sz="12" w:space="0" w:color="EBEBEB"/>
                        <w:right w:val="none" w:sz="0" w:space="0" w:color="auto"/>
                      </w:divBdr>
                      <w:divsChild>
                        <w:div w:id="172957067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307856172">
              <w:marLeft w:val="0"/>
              <w:marRight w:val="0"/>
              <w:marTop w:val="0"/>
              <w:marBottom w:val="0"/>
              <w:divBdr>
                <w:top w:val="none" w:sz="0" w:space="0" w:color="auto"/>
                <w:left w:val="none" w:sz="0" w:space="0" w:color="auto"/>
                <w:bottom w:val="none" w:sz="0" w:space="0" w:color="auto"/>
                <w:right w:val="none" w:sz="0" w:space="0" w:color="auto"/>
              </w:divBdr>
              <w:divsChild>
                <w:div w:id="820931063">
                  <w:marLeft w:val="0"/>
                  <w:marRight w:val="0"/>
                  <w:marTop w:val="240"/>
                  <w:marBottom w:val="240"/>
                  <w:divBdr>
                    <w:top w:val="single" w:sz="12" w:space="0" w:color="EBEBEB"/>
                    <w:left w:val="none" w:sz="0" w:space="0" w:color="auto"/>
                    <w:bottom w:val="single" w:sz="12" w:space="0" w:color="EBEBEB"/>
                    <w:right w:val="none" w:sz="0" w:space="0" w:color="auto"/>
                  </w:divBdr>
                  <w:divsChild>
                    <w:div w:id="140315850">
                      <w:marLeft w:val="0"/>
                      <w:marRight w:val="0"/>
                      <w:marTop w:val="240"/>
                      <w:marBottom w:val="240"/>
                      <w:divBdr>
                        <w:top w:val="none" w:sz="0" w:space="0" w:color="auto"/>
                        <w:left w:val="none" w:sz="0" w:space="0" w:color="auto"/>
                        <w:bottom w:val="none" w:sz="0" w:space="0" w:color="auto"/>
                        <w:right w:val="none" w:sz="0" w:space="0" w:color="auto"/>
                      </w:divBdr>
                    </w:div>
                  </w:divsChild>
                </w:div>
                <w:div w:id="1992060378">
                  <w:marLeft w:val="0"/>
                  <w:marRight w:val="0"/>
                  <w:marTop w:val="240"/>
                  <w:marBottom w:val="240"/>
                  <w:divBdr>
                    <w:top w:val="single" w:sz="12" w:space="0" w:color="EBEBEB"/>
                    <w:left w:val="none" w:sz="0" w:space="0" w:color="auto"/>
                    <w:bottom w:val="single" w:sz="12" w:space="0" w:color="EBEBEB"/>
                    <w:right w:val="none" w:sz="0" w:space="0" w:color="auto"/>
                  </w:divBdr>
                  <w:divsChild>
                    <w:div w:id="1501236755">
                      <w:marLeft w:val="0"/>
                      <w:marRight w:val="0"/>
                      <w:marTop w:val="240"/>
                      <w:marBottom w:val="240"/>
                      <w:divBdr>
                        <w:top w:val="none" w:sz="0" w:space="0" w:color="auto"/>
                        <w:left w:val="none" w:sz="0" w:space="0" w:color="auto"/>
                        <w:bottom w:val="none" w:sz="0" w:space="0" w:color="auto"/>
                        <w:right w:val="none" w:sz="0" w:space="0" w:color="auto"/>
                      </w:divBdr>
                    </w:div>
                  </w:divsChild>
                </w:div>
                <w:div w:id="1880120838">
                  <w:marLeft w:val="0"/>
                  <w:marRight w:val="0"/>
                  <w:marTop w:val="240"/>
                  <w:marBottom w:val="240"/>
                  <w:divBdr>
                    <w:top w:val="single" w:sz="12" w:space="0" w:color="EBEBEB"/>
                    <w:left w:val="none" w:sz="0" w:space="0" w:color="auto"/>
                    <w:bottom w:val="single" w:sz="12" w:space="0" w:color="EBEBEB"/>
                    <w:right w:val="none" w:sz="0" w:space="0" w:color="auto"/>
                  </w:divBdr>
                  <w:divsChild>
                    <w:div w:id="2075272684">
                      <w:marLeft w:val="0"/>
                      <w:marRight w:val="0"/>
                      <w:marTop w:val="240"/>
                      <w:marBottom w:val="240"/>
                      <w:divBdr>
                        <w:top w:val="none" w:sz="0" w:space="0" w:color="auto"/>
                        <w:left w:val="none" w:sz="0" w:space="0" w:color="auto"/>
                        <w:bottom w:val="none" w:sz="0" w:space="0" w:color="auto"/>
                        <w:right w:val="none" w:sz="0" w:space="0" w:color="auto"/>
                      </w:divBdr>
                    </w:div>
                  </w:divsChild>
                </w:div>
                <w:div w:id="598030539">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426195312">
          <w:marLeft w:val="0"/>
          <w:marRight w:val="0"/>
          <w:marTop w:val="0"/>
          <w:marBottom w:val="0"/>
          <w:divBdr>
            <w:top w:val="none" w:sz="0" w:space="0" w:color="auto"/>
            <w:left w:val="none" w:sz="0" w:space="0" w:color="auto"/>
            <w:bottom w:val="none" w:sz="0" w:space="0" w:color="auto"/>
            <w:right w:val="none" w:sz="0" w:space="0" w:color="auto"/>
          </w:divBdr>
          <w:divsChild>
            <w:div w:id="1528300072">
              <w:marLeft w:val="0"/>
              <w:marRight w:val="0"/>
              <w:marTop w:val="0"/>
              <w:marBottom w:val="0"/>
              <w:divBdr>
                <w:top w:val="none" w:sz="0" w:space="0" w:color="auto"/>
                <w:left w:val="none" w:sz="0" w:space="0" w:color="auto"/>
                <w:bottom w:val="none" w:sz="0" w:space="0" w:color="auto"/>
                <w:right w:val="none" w:sz="0" w:space="0" w:color="auto"/>
              </w:divBdr>
            </w:div>
            <w:div w:id="1235119484">
              <w:marLeft w:val="0"/>
              <w:marRight w:val="0"/>
              <w:marTop w:val="0"/>
              <w:marBottom w:val="0"/>
              <w:divBdr>
                <w:top w:val="none" w:sz="0" w:space="0" w:color="auto"/>
                <w:left w:val="none" w:sz="0" w:space="0" w:color="auto"/>
                <w:bottom w:val="none" w:sz="0" w:space="0" w:color="auto"/>
                <w:right w:val="none" w:sz="0" w:space="0" w:color="auto"/>
              </w:divBdr>
            </w:div>
          </w:divsChild>
        </w:div>
        <w:div w:id="2003969176">
          <w:marLeft w:val="0"/>
          <w:marRight w:val="0"/>
          <w:marTop w:val="0"/>
          <w:marBottom w:val="0"/>
          <w:divBdr>
            <w:top w:val="none" w:sz="0" w:space="0" w:color="auto"/>
            <w:left w:val="none" w:sz="0" w:space="0" w:color="auto"/>
            <w:bottom w:val="none" w:sz="0" w:space="0" w:color="auto"/>
            <w:right w:val="none" w:sz="0" w:space="0" w:color="auto"/>
          </w:divBdr>
        </w:div>
        <w:div w:id="1779328349">
          <w:marLeft w:val="0"/>
          <w:marRight w:val="0"/>
          <w:marTop w:val="60"/>
          <w:marBottom w:val="0"/>
          <w:divBdr>
            <w:top w:val="none" w:sz="0" w:space="0" w:color="auto"/>
            <w:left w:val="none" w:sz="0" w:space="0" w:color="auto"/>
            <w:bottom w:val="none" w:sz="0" w:space="0" w:color="auto"/>
            <w:right w:val="none" w:sz="0" w:space="0" w:color="auto"/>
          </w:divBdr>
        </w:div>
        <w:div w:id="2089763770">
          <w:marLeft w:val="0"/>
          <w:marRight w:val="0"/>
          <w:marTop w:val="0"/>
          <w:marBottom w:val="0"/>
          <w:divBdr>
            <w:top w:val="none" w:sz="0" w:space="0" w:color="auto"/>
            <w:left w:val="none" w:sz="0" w:space="0" w:color="auto"/>
            <w:bottom w:val="none" w:sz="0" w:space="0" w:color="auto"/>
            <w:right w:val="none" w:sz="0" w:space="0" w:color="auto"/>
          </w:divBdr>
          <w:divsChild>
            <w:div w:id="955872934">
              <w:marLeft w:val="0"/>
              <w:marRight w:val="0"/>
              <w:marTop w:val="0"/>
              <w:marBottom w:val="0"/>
              <w:divBdr>
                <w:top w:val="none" w:sz="0" w:space="0" w:color="auto"/>
                <w:left w:val="none" w:sz="0" w:space="0" w:color="auto"/>
                <w:bottom w:val="none" w:sz="0" w:space="0" w:color="auto"/>
                <w:right w:val="none" w:sz="0" w:space="0" w:color="auto"/>
              </w:divBdr>
            </w:div>
            <w:div w:id="1799302204">
              <w:marLeft w:val="0"/>
              <w:marRight w:val="0"/>
              <w:marTop w:val="0"/>
              <w:marBottom w:val="0"/>
              <w:divBdr>
                <w:top w:val="none" w:sz="0" w:space="0" w:color="auto"/>
                <w:left w:val="none" w:sz="0" w:space="0" w:color="auto"/>
                <w:bottom w:val="none" w:sz="0" w:space="0" w:color="auto"/>
                <w:right w:val="none" w:sz="0" w:space="0" w:color="auto"/>
              </w:divBdr>
            </w:div>
          </w:divsChild>
        </w:div>
        <w:div w:id="1690722017">
          <w:marLeft w:val="0"/>
          <w:marRight w:val="0"/>
          <w:marTop w:val="0"/>
          <w:marBottom w:val="0"/>
          <w:divBdr>
            <w:top w:val="none" w:sz="0" w:space="0" w:color="auto"/>
            <w:left w:val="none" w:sz="0" w:space="0" w:color="auto"/>
            <w:bottom w:val="none" w:sz="0" w:space="0" w:color="auto"/>
            <w:right w:val="none" w:sz="0" w:space="0" w:color="auto"/>
          </w:divBdr>
        </w:div>
        <w:div w:id="626394037">
          <w:marLeft w:val="0"/>
          <w:marRight w:val="0"/>
          <w:marTop w:val="60"/>
          <w:marBottom w:val="0"/>
          <w:divBdr>
            <w:top w:val="none" w:sz="0" w:space="0" w:color="auto"/>
            <w:left w:val="none" w:sz="0" w:space="0" w:color="auto"/>
            <w:bottom w:val="none" w:sz="0" w:space="0" w:color="auto"/>
            <w:right w:val="none" w:sz="0" w:space="0" w:color="auto"/>
          </w:divBdr>
          <w:divsChild>
            <w:div w:id="202716271">
              <w:marLeft w:val="0"/>
              <w:marRight w:val="360"/>
              <w:marTop w:val="0"/>
              <w:marBottom w:val="0"/>
              <w:divBdr>
                <w:top w:val="none" w:sz="0" w:space="0" w:color="auto"/>
                <w:left w:val="none" w:sz="0" w:space="0" w:color="auto"/>
                <w:bottom w:val="none" w:sz="0" w:space="0" w:color="auto"/>
                <w:right w:val="none" w:sz="0" w:space="0" w:color="auto"/>
              </w:divBdr>
            </w:div>
          </w:divsChild>
        </w:div>
        <w:div w:id="1429471655">
          <w:marLeft w:val="0"/>
          <w:marRight w:val="0"/>
          <w:marTop w:val="0"/>
          <w:marBottom w:val="0"/>
          <w:divBdr>
            <w:top w:val="none" w:sz="0" w:space="0" w:color="auto"/>
            <w:left w:val="none" w:sz="0" w:space="0" w:color="auto"/>
            <w:bottom w:val="none" w:sz="0" w:space="0" w:color="auto"/>
            <w:right w:val="none" w:sz="0" w:space="0" w:color="auto"/>
          </w:divBdr>
          <w:divsChild>
            <w:div w:id="1073312877">
              <w:marLeft w:val="0"/>
              <w:marRight w:val="0"/>
              <w:marTop w:val="0"/>
              <w:marBottom w:val="0"/>
              <w:divBdr>
                <w:top w:val="none" w:sz="0" w:space="0" w:color="auto"/>
                <w:left w:val="none" w:sz="0" w:space="0" w:color="auto"/>
                <w:bottom w:val="none" w:sz="0" w:space="0" w:color="auto"/>
                <w:right w:val="none" w:sz="0" w:space="0" w:color="auto"/>
              </w:divBdr>
            </w:div>
            <w:div w:id="877594790">
              <w:marLeft w:val="0"/>
              <w:marRight w:val="0"/>
              <w:marTop w:val="0"/>
              <w:marBottom w:val="0"/>
              <w:divBdr>
                <w:top w:val="none" w:sz="0" w:space="0" w:color="auto"/>
                <w:left w:val="none" w:sz="0" w:space="0" w:color="auto"/>
                <w:bottom w:val="none" w:sz="0" w:space="0" w:color="auto"/>
                <w:right w:val="none" w:sz="0" w:space="0" w:color="auto"/>
              </w:divBdr>
            </w:div>
          </w:divsChild>
        </w:div>
        <w:div w:id="2047027118">
          <w:marLeft w:val="0"/>
          <w:marRight w:val="0"/>
          <w:marTop w:val="0"/>
          <w:marBottom w:val="0"/>
          <w:divBdr>
            <w:top w:val="none" w:sz="0" w:space="0" w:color="auto"/>
            <w:left w:val="none" w:sz="0" w:space="0" w:color="auto"/>
            <w:bottom w:val="none" w:sz="0" w:space="0" w:color="auto"/>
            <w:right w:val="none" w:sz="0" w:space="0" w:color="auto"/>
          </w:divBdr>
        </w:div>
        <w:div w:id="1236012079">
          <w:marLeft w:val="0"/>
          <w:marRight w:val="0"/>
          <w:marTop w:val="60"/>
          <w:marBottom w:val="0"/>
          <w:divBdr>
            <w:top w:val="none" w:sz="0" w:space="0" w:color="auto"/>
            <w:left w:val="none" w:sz="0" w:space="0" w:color="auto"/>
            <w:bottom w:val="none" w:sz="0" w:space="0" w:color="auto"/>
            <w:right w:val="none" w:sz="0" w:space="0" w:color="auto"/>
          </w:divBdr>
        </w:div>
        <w:div w:id="1651514278">
          <w:marLeft w:val="0"/>
          <w:marRight w:val="0"/>
          <w:marTop w:val="0"/>
          <w:marBottom w:val="0"/>
          <w:divBdr>
            <w:top w:val="none" w:sz="0" w:space="0" w:color="auto"/>
            <w:left w:val="none" w:sz="0" w:space="0" w:color="auto"/>
            <w:bottom w:val="none" w:sz="0" w:space="0" w:color="auto"/>
            <w:right w:val="none" w:sz="0" w:space="0" w:color="auto"/>
          </w:divBdr>
          <w:divsChild>
            <w:div w:id="1614438573">
              <w:marLeft w:val="0"/>
              <w:marRight w:val="0"/>
              <w:marTop w:val="0"/>
              <w:marBottom w:val="0"/>
              <w:divBdr>
                <w:top w:val="none" w:sz="0" w:space="0" w:color="auto"/>
                <w:left w:val="none" w:sz="0" w:space="0" w:color="auto"/>
                <w:bottom w:val="none" w:sz="0" w:space="0" w:color="auto"/>
                <w:right w:val="none" w:sz="0" w:space="0" w:color="auto"/>
              </w:divBdr>
            </w:div>
            <w:div w:id="1701739054">
              <w:marLeft w:val="0"/>
              <w:marRight w:val="0"/>
              <w:marTop w:val="0"/>
              <w:marBottom w:val="0"/>
              <w:divBdr>
                <w:top w:val="none" w:sz="0" w:space="0" w:color="auto"/>
                <w:left w:val="none" w:sz="0" w:space="0" w:color="auto"/>
                <w:bottom w:val="none" w:sz="0" w:space="0" w:color="auto"/>
                <w:right w:val="none" w:sz="0" w:space="0" w:color="auto"/>
              </w:divBdr>
            </w:div>
          </w:divsChild>
        </w:div>
        <w:div w:id="1243221936">
          <w:marLeft w:val="0"/>
          <w:marRight w:val="0"/>
          <w:marTop w:val="0"/>
          <w:marBottom w:val="0"/>
          <w:divBdr>
            <w:top w:val="none" w:sz="0" w:space="0" w:color="auto"/>
            <w:left w:val="none" w:sz="0" w:space="0" w:color="auto"/>
            <w:bottom w:val="none" w:sz="0" w:space="0" w:color="auto"/>
            <w:right w:val="none" w:sz="0" w:space="0" w:color="auto"/>
          </w:divBdr>
        </w:div>
        <w:div w:id="301733478">
          <w:marLeft w:val="0"/>
          <w:marRight w:val="0"/>
          <w:marTop w:val="60"/>
          <w:marBottom w:val="0"/>
          <w:divBdr>
            <w:top w:val="none" w:sz="0" w:space="0" w:color="auto"/>
            <w:left w:val="none" w:sz="0" w:space="0" w:color="auto"/>
            <w:bottom w:val="none" w:sz="0" w:space="0" w:color="auto"/>
            <w:right w:val="none" w:sz="0" w:space="0" w:color="auto"/>
          </w:divBdr>
          <w:divsChild>
            <w:div w:id="1777284977">
              <w:marLeft w:val="0"/>
              <w:marRight w:val="360"/>
              <w:marTop w:val="0"/>
              <w:marBottom w:val="0"/>
              <w:divBdr>
                <w:top w:val="none" w:sz="0" w:space="0" w:color="auto"/>
                <w:left w:val="none" w:sz="0" w:space="0" w:color="auto"/>
                <w:bottom w:val="none" w:sz="0" w:space="0" w:color="auto"/>
                <w:right w:val="none" w:sz="0" w:space="0" w:color="auto"/>
              </w:divBdr>
            </w:div>
          </w:divsChild>
        </w:div>
        <w:div w:id="266081360">
          <w:marLeft w:val="0"/>
          <w:marRight w:val="0"/>
          <w:marTop w:val="0"/>
          <w:marBottom w:val="0"/>
          <w:divBdr>
            <w:top w:val="none" w:sz="0" w:space="0" w:color="auto"/>
            <w:left w:val="none" w:sz="0" w:space="0" w:color="auto"/>
            <w:bottom w:val="none" w:sz="0" w:space="0" w:color="auto"/>
            <w:right w:val="none" w:sz="0" w:space="0" w:color="auto"/>
          </w:divBdr>
          <w:divsChild>
            <w:div w:id="1272277843">
              <w:marLeft w:val="0"/>
              <w:marRight w:val="0"/>
              <w:marTop w:val="0"/>
              <w:marBottom w:val="0"/>
              <w:divBdr>
                <w:top w:val="none" w:sz="0" w:space="0" w:color="auto"/>
                <w:left w:val="none" w:sz="0" w:space="0" w:color="auto"/>
                <w:bottom w:val="none" w:sz="0" w:space="0" w:color="auto"/>
                <w:right w:val="none" w:sz="0" w:space="0" w:color="auto"/>
              </w:divBdr>
            </w:div>
            <w:div w:id="1722708380">
              <w:marLeft w:val="0"/>
              <w:marRight w:val="0"/>
              <w:marTop w:val="0"/>
              <w:marBottom w:val="0"/>
              <w:divBdr>
                <w:top w:val="none" w:sz="0" w:space="0" w:color="auto"/>
                <w:left w:val="none" w:sz="0" w:space="0" w:color="auto"/>
                <w:bottom w:val="none" w:sz="0" w:space="0" w:color="auto"/>
                <w:right w:val="none" w:sz="0" w:space="0" w:color="auto"/>
              </w:divBdr>
            </w:div>
          </w:divsChild>
        </w:div>
        <w:div w:id="1030422857">
          <w:marLeft w:val="0"/>
          <w:marRight w:val="0"/>
          <w:marTop w:val="0"/>
          <w:marBottom w:val="0"/>
          <w:divBdr>
            <w:top w:val="none" w:sz="0" w:space="0" w:color="auto"/>
            <w:left w:val="none" w:sz="0" w:space="0" w:color="auto"/>
            <w:bottom w:val="none" w:sz="0" w:space="0" w:color="auto"/>
            <w:right w:val="none" w:sz="0" w:space="0" w:color="auto"/>
          </w:divBdr>
        </w:div>
        <w:div w:id="1273783609">
          <w:marLeft w:val="0"/>
          <w:marRight w:val="0"/>
          <w:marTop w:val="60"/>
          <w:marBottom w:val="0"/>
          <w:divBdr>
            <w:top w:val="none" w:sz="0" w:space="0" w:color="auto"/>
            <w:left w:val="none" w:sz="0" w:space="0" w:color="auto"/>
            <w:bottom w:val="none" w:sz="0" w:space="0" w:color="auto"/>
            <w:right w:val="none" w:sz="0" w:space="0" w:color="auto"/>
          </w:divBdr>
        </w:div>
        <w:div w:id="1001544076">
          <w:marLeft w:val="0"/>
          <w:marRight w:val="0"/>
          <w:marTop w:val="0"/>
          <w:marBottom w:val="0"/>
          <w:divBdr>
            <w:top w:val="none" w:sz="0" w:space="0" w:color="auto"/>
            <w:left w:val="none" w:sz="0" w:space="0" w:color="auto"/>
            <w:bottom w:val="none" w:sz="0" w:space="0" w:color="auto"/>
            <w:right w:val="none" w:sz="0" w:space="0" w:color="auto"/>
          </w:divBdr>
          <w:divsChild>
            <w:div w:id="1386832199">
              <w:marLeft w:val="0"/>
              <w:marRight w:val="0"/>
              <w:marTop w:val="0"/>
              <w:marBottom w:val="0"/>
              <w:divBdr>
                <w:top w:val="none" w:sz="0" w:space="0" w:color="auto"/>
                <w:left w:val="none" w:sz="0" w:space="0" w:color="auto"/>
                <w:bottom w:val="none" w:sz="0" w:space="0" w:color="auto"/>
                <w:right w:val="none" w:sz="0" w:space="0" w:color="auto"/>
              </w:divBdr>
            </w:div>
            <w:div w:id="1977906179">
              <w:marLeft w:val="0"/>
              <w:marRight w:val="0"/>
              <w:marTop w:val="0"/>
              <w:marBottom w:val="0"/>
              <w:divBdr>
                <w:top w:val="none" w:sz="0" w:space="0" w:color="auto"/>
                <w:left w:val="none" w:sz="0" w:space="0" w:color="auto"/>
                <w:bottom w:val="none" w:sz="0" w:space="0" w:color="auto"/>
                <w:right w:val="none" w:sz="0" w:space="0" w:color="auto"/>
              </w:divBdr>
            </w:div>
          </w:divsChild>
        </w:div>
        <w:div w:id="1961909022">
          <w:marLeft w:val="0"/>
          <w:marRight w:val="0"/>
          <w:marTop w:val="0"/>
          <w:marBottom w:val="0"/>
          <w:divBdr>
            <w:top w:val="none" w:sz="0" w:space="0" w:color="auto"/>
            <w:left w:val="none" w:sz="0" w:space="0" w:color="auto"/>
            <w:bottom w:val="none" w:sz="0" w:space="0" w:color="auto"/>
            <w:right w:val="none" w:sz="0" w:space="0" w:color="auto"/>
          </w:divBdr>
        </w:div>
        <w:div w:id="975720623">
          <w:marLeft w:val="0"/>
          <w:marRight w:val="0"/>
          <w:marTop w:val="60"/>
          <w:marBottom w:val="0"/>
          <w:divBdr>
            <w:top w:val="none" w:sz="0" w:space="0" w:color="auto"/>
            <w:left w:val="none" w:sz="0" w:space="0" w:color="auto"/>
            <w:bottom w:val="none" w:sz="0" w:space="0" w:color="auto"/>
            <w:right w:val="none" w:sz="0" w:space="0" w:color="auto"/>
          </w:divBdr>
        </w:div>
        <w:div w:id="1190339467">
          <w:marLeft w:val="0"/>
          <w:marRight w:val="0"/>
          <w:marTop w:val="0"/>
          <w:marBottom w:val="0"/>
          <w:divBdr>
            <w:top w:val="none" w:sz="0" w:space="0" w:color="auto"/>
            <w:left w:val="none" w:sz="0" w:space="0" w:color="auto"/>
            <w:bottom w:val="none" w:sz="0" w:space="0" w:color="auto"/>
            <w:right w:val="none" w:sz="0" w:space="0" w:color="auto"/>
          </w:divBdr>
          <w:divsChild>
            <w:div w:id="1485003807">
              <w:marLeft w:val="0"/>
              <w:marRight w:val="0"/>
              <w:marTop w:val="0"/>
              <w:marBottom w:val="0"/>
              <w:divBdr>
                <w:top w:val="none" w:sz="0" w:space="0" w:color="auto"/>
                <w:left w:val="none" w:sz="0" w:space="0" w:color="auto"/>
                <w:bottom w:val="none" w:sz="0" w:space="0" w:color="auto"/>
                <w:right w:val="none" w:sz="0" w:space="0" w:color="auto"/>
              </w:divBdr>
            </w:div>
            <w:div w:id="1160463220">
              <w:marLeft w:val="0"/>
              <w:marRight w:val="0"/>
              <w:marTop w:val="0"/>
              <w:marBottom w:val="0"/>
              <w:divBdr>
                <w:top w:val="none" w:sz="0" w:space="0" w:color="auto"/>
                <w:left w:val="none" w:sz="0" w:space="0" w:color="auto"/>
                <w:bottom w:val="none" w:sz="0" w:space="0" w:color="auto"/>
                <w:right w:val="none" w:sz="0" w:space="0" w:color="auto"/>
              </w:divBdr>
            </w:div>
          </w:divsChild>
        </w:div>
        <w:div w:id="368535308">
          <w:marLeft w:val="0"/>
          <w:marRight w:val="0"/>
          <w:marTop w:val="0"/>
          <w:marBottom w:val="0"/>
          <w:divBdr>
            <w:top w:val="none" w:sz="0" w:space="0" w:color="auto"/>
            <w:left w:val="none" w:sz="0" w:space="0" w:color="auto"/>
            <w:bottom w:val="none" w:sz="0" w:space="0" w:color="auto"/>
            <w:right w:val="none" w:sz="0" w:space="0" w:color="auto"/>
          </w:divBdr>
        </w:div>
        <w:div w:id="1669793568">
          <w:marLeft w:val="0"/>
          <w:marRight w:val="0"/>
          <w:marTop w:val="60"/>
          <w:marBottom w:val="0"/>
          <w:divBdr>
            <w:top w:val="none" w:sz="0" w:space="0" w:color="auto"/>
            <w:left w:val="none" w:sz="0" w:space="0" w:color="auto"/>
            <w:bottom w:val="none" w:sz="0" w:space="0" w:color="auto"/>
            <w:right w:val="none" w:sz="0" w:space="0" w:color="auto"/>
          </w:divBdr>
        </w:div>
        <w:div w:id="1324551904">
          <w:marLeft w:val="0"/>
          <w:marRight w:val="0"/>
          <w:marTop w:val="0"/>
          <w:marBottom w:val="0"/>
          <w:divBdr>
            <w:top w:val="none" w:sz="0" w:space="0" w:color="auto"/>
            <w:left w:val="none" w:sz="0" w:space="0" w:color="auto"/>
            <w:bottom w:val="none" w:sz="0" w:space="0" w:color="auto"/>
            <w:right w:val="none" w:sz="0" w:space="0" w:color="auto"/>
          </w:divBdr>
          <w:divsChild>
            <w:div w:id="1386249186">
              <w:marLeft w:val="0"/>
              <w:marRight w:val="0"/>
              <w:marTop w:val="0"/>
              <w:marBottom w:val="0"/>
              <w:divBdr>
                <w:top w:val="none" w:sz="0" w:space="0" w:color="auto"/>
                <w:left w:val="none" w:sz="0" w:space="0" w:color="auto"/>
                <w:bottom w:val="none" w:sz="0" w:space="0" w:color="auto"/>
                <w:right w:val="none" w:sz="0" w:space="0" w:color="auto"/>
              </w:divBdr>
            </w:div>
            <w:div w:id="1000548363">
              <w:marLeft w:val="0"/>
              <w:marRight w:val="0"/>
              <w:marTop w:val="0"/>
              <w:marBottom w:val="0"/>
              <w:divBdr>
                <w:top w:val="none" w:sz="0" w:space="0" w:color="auto"/>
                <w:left w:val="none" w:sz="0" w:space="0" w:color="auto"/>
                <w:bottom w:val="none" w:sz="0" w:space="0" w:color="auto"/>
                <w:right w:val="none" w:sz="0" w:space="0" w:color="auto"/>
              </w:divBdr>
            </w:div>
          </w:divsChild>
        </w:div>
        <w:div w:id="753935636">
          <w:marLeft w:val="0"/>
          <w:marRight w:val="0"/>
          <w:marTop w:val="0"/>
          <w:marBottom w:val="0"/>
          <w:divBdr>
            <w:top w:val="none" w:sz="0" w:space="0" w:color="auto"/>
            <w:left w:val="none" w:sz="0" w:space="0" w:color="auto"/>
            <w:bottom w:val="none" w:sz="0" w:space="0" w:color="auto"/>
            <w:right w:val="none" w:sz="0" w:space="0" w:color="auto"/>
          </w:divBdr>
        </w:div>
        <w:div w:id="293173999">
          <w:marLeft w:val="0"/>
          <w:marRight w:val="0"/>
          <w:marTop w:val="60"/>
          <w:marBottom w:val="0"/>
          <w:divBdr>
            <w:top w:val="none" w:sz="0" w:space="0" w:color="auto"/>
            <w:left w:val="none" w:sz="0" w:space="0" w:color="auto"/>
            <w:bottom w:val="none" w:sz="0" w:space="0" w:color="auto"/>
            <w:right w:val="none" w:sz="0" w:space="0" w:color="auto"/>
          </w:divBdr>
        </w:div>
        <w:div w:id="1704283947">
          <w:marLeft w:val="0"/>
          <w:marRight w:val="0"/>
          <w:marTop w:val="0"/>
          <w:marBottom w:val="0"/>
          <w:divBdr>
            <w:top w:val="none" w:sz="0" w:space="0" w:color="auto"/>
            <w:left w:val="none" w:sz="0" w:space="0" w:color="auto"/>
            <w:bottom w:val="none" w:sz="0" w:space="0" w:color="auto"/>
            <w:right w:val="none" w:sz="0" w:space="0" w:color="auto"/>
          </w:divBdr>
          <w:divsChild>
            <w:div w:id="1236088543">
              <w:marLeft w:val="0"/>
              <w:marRight w:val="0"/>
              <w:marTop w:val="0"/>
              <w:marBottom w:val="0"/>
              <w:divBdr>
                <w:top w:val="none" w:sz="0" w:space="0" w:color="auto"/>
                <w:left w:val="none" w:sz="0" w:space="0" w:color="auto"/>
                <w:bottom w:val="none" w:sz="0" w:space="0" w:color="auto"/>
                <w:right w:val="none" w:sz="0" w:space="0" w:color="auto"/>
              </w:divBdr>
            </w:div>
            <w:div w:id="519854235">
              <w:marLeft w:val="0"/>
              <w:marRight w:val="0"/>
              <w:marTop w:val="0"/>
              <w:marBottom w:val="0"/>
              <w:divBdr>
                <w:top w:val="none" w:sz="0" w:space="0" w:color="auto"/>
                <w:left w:val="none" w:sz="0" w:space="0" w:color="auto"/>
                <w:bottom w:val="none" w:sz="0" w:space="0" w:color="auto"/>
                <w:right w:val="none" w:sz="0" w:space="0" w:color="auto"/>
              </w:divBdr>
            </w:div>
          </w:divsChild>
        </w:div>
        <w:div w:id="1375077328">
          <w:marLeft w:val="0"/>
          <w:marRight w:val="0"/>
          <w:marTop w:val="0"/>
          <w:marBottom w:val="0"/>
          <w:divBdr>
            <w:top w:val="none" w:sz="0" w:space="0" w:color="auto"/>
            <w:left w:val="none" w:sz="0" w:space="0" w:color="auto"/>
            <w:bottom w:val="none" w:sz="0" w:space="0" w:color="auto"/>
            <w:right w:val="none" w:sz="0" w:space="0" w:color="auto"/>
          </w:divBdr>
        </w:div>
        <w:div w:id="1416316641">
          <w:marLeft w:val="0"/>
          <w:marRight w:val="0"/>
          <w:marTop w:val="60"/>
          <w:marBottom w:val="0"/>
          <w:divBdr>
            <w:top w:val="none" w:sz="0" w:space="0" w:color="auto"/>
            <w:left w:val="none" w:sz="0" w:space="0" w:color="auto"/>
            <w:bottom w:val="none" w:sz="0" w:space="0" w:color="auto"/>
            <w:right w:val="none" w:sz="0" w:space="0" w:color="auto"/>
          </w:divBdr>
        </w:div>
        <w:div w:id="2112891455">
          <w:marLeft w:val="0"/>
          <w:marRight w:val="0"/>
          <w:marTop w:val="0"/>
          <w:marBottom w:val="0"/>
          <w:divBdr>
            <w:top w:val="none" w:sz="0" w:space="0" w:color="auto"/>
            <w:left w:val="none" w:sz="0" w:space="0" w:color="auto"/>
            <w:bottom w:val="none" w:sz="0" w:space="0" w:color="auto"/>
            <w:right w:val="none" w:sz="0" w:space="0" w:color="auto"/>
          </w:divBdr>
          <w:divsChild>
            <w:div w:id="821821667">
              <w:marLeft w:val="0"/>
              <w:marRight w:val="0"/>
              <w:marTop w:val="0"/>
              <w:marBottom w:val="0"/>
              <w:divBdr>
                <w:top w:val="none" w:sz="0" w:space="0" w:color="auto"/>
                <w:left w:val="none" w:sz="0" w:space="0" w:color="auto"/>
                <w:bottom w:val="none" w:sz="0" w:space="0" w:color="auto"/>
                <w:right w:val="none" w:sz="0" w:space="0" w:color="auto"/>
              </w:divBdr>
            </w:div>
            <w:div w:id="433747029">
              <w:marLeft w:val="0"/>
              <w:marRight w:val="0"/>
              <w:marTop w:val="0"/>
              <w:marBottom w:val="0"/>
              <w:divBdr>
                <w:top w:val="none" w:sz="0" w:space="0" w:color="auto"/>
                <w:left w:val="none" w:sz="0" w:space="0" w:color="auto"/>
                <w:bottom w:val="none" w:sz="0" w:space="0" w:color="auto"/>
                <w:right w:val="none" w:sz="0" w:space="0" w:color="auto"/>
              </w:divBdr>
            </w:div>
          </w:divsChild>
        </w:div>
        <w:div w:id="1483883961">
          <w:marLeft w:val="0"/>
          <w:marRight w:val="0"/>
          <w:marTop w:val="0"/>
          <w:marBottom w:val="0"/>
          <w:divBdr>
            <w:top w:val="none" w:sz="0" w:space="0" w:color="auto"/>
            <w:left w:val="none" w:sz="0" w:space="0" w:color="auto"/>
            <w:bottom w:val="none" w:sz="0" w:space="0" w:color="auto"/>
            <w:right w:val="none" w:sz="0" w:space="0" w:color="auto"/>
          </w:divBdr>
        </w:div>
        <w:div w:id="1775437833">
          <w:marLeft w:val="0"/>
          <w:marRight w:val="0"/>
          <w:marTop w:val="60"/>
          <w:marBottom w:val="0"/>
          <w:divBdr>
            <w:top w:val="none" w:sz="0" w:space="0" w:color="auto"/>
            <w:left w:val="none" w:sz="0" w:space="0" w:color="auto"/>
            <w:bottom w:val="none" w:sz="0" w:space="0" w:color="auto"/>
            <w:right w:val="none" w:sz="0" w:space="0" w:color="auto"/>
          </w:divBdr>
        </w:div>
        <w:div w:id="1055396420">
          <w:marLeft w:val="0"/>
          <w:marRight w:val="0"/>
          <w:marTop w:val="0"/>
          <w:marBottom w:val="0"/>
          <w:divBdr>
            <w:top w:val="none" w:sz="0" w:space="0" w:color="auto"/>
            <w:left w:val="none" w:sz="0" w:space="0" w:color="auto"/>
            <w:bottom w:val="none" w:sz="0" w:space="0" w:color="auto"/>
            <w:right w:val="none" w:sz="0" w:space="0" w:color="auto"/>
          </w:divBdr>
          <w:divsChild>
            <w:div w:id="1268805702">
              <w:marLeft w:val="0"/>
              <w:marRight w:val="0"/>
              <w:marTop w:val="0"/>
              <w:marBottom w:val="0"/>
              <w:divBdr>
                <w:top w:val="none" w:sz="0" w:space="0" w:color="auto"/>
                <w:left w:val="none" w:sz="0" w:space="0" w:color="auto"/>
                <w:bottom w:val="none" w:sz="0" w:space="0" w:color="auto"/>
                <w:right w:val="none" w:sz="0" w:space="0" w:color="auto"/>
              </w:divBdr>
            </w:div>
            <w:div w:id="1539471220">
              <w:marLeft w:val="0"/>
              <w:marRight w:val="0"/>
              <w:marTop w:val="0"/>
              <w:marBottom w:val="0"/>
              <w:divBdr>
                <w:top w:val="none" w:sz="0" w:space="0" w:color="auto"/>
                <w:left w:val="none" w:sz="0" w:space="0" w:color="auto"/>
                <w:bottom w:val="none" w:sz="0" w:space="0" w:color="auto"/>
                <w:right w:val="none" w:sz="0" w:space="0" w:color="auto"/>
              </w:divBdr>
            </w:div>
          </w:divsChild>
        </w:div>
        <w:div w:id="1265531539">
          <w:marLeft w:val="0"/>
          <w:marRight w:val="0"/>
          <w:marTop w:val="0"/>
          <w:marBottom w:val="0"/>
          <w:divBdr>
            <w:top w:val="none" w:sz="0" w:space="0" w:color="auto"/>
            <w:left w:val="none" w:sz="0" w:space="0" w:color="auto"/>
            <w:bottom w:val="none" w:sz="0" w:space="0" w:color="auto"/>
            <w:right w:val="none" w:sz="0" w:space="0" w:color="auto"/>
          </w:divBdr>
        </w:div>
        <w:div w:id="62722684">
          <w:marLeft w:val="0"/>
          <w:marRight w:val="0"/>
          <w:marTop w:val="0"/>
          <w:marBottom w:val="0"/>
          <w:divBdr>
            <w:top w:val="none" w:sz="0" w:space="0" w:color="auto"/>
            <w:left w:val="none" w:sz="0" w:space="0" w:color="auto"/>
            <w:bottom w:val="none" w:sz="0" w:space="0" w:color="auto"/>
            <w:right w:val="none" w:sz="0" w:space="0" w:color="auto"/>
          </w:divBdr>
        </w:div>
        <w:div w:id="684137716">
          <w:marLeft w:val="0"/>
          <w:marRight w:val="0"/>
          <w:marTop w:val="60"/>
          <w:marBottom w:val="0"/>
          <w:divBdr>
            <w:top w:val="none" w:sz="0" w:space="0" w:color="auto"/>
            <w:left w:val="none" w:sz="0" w:space="0" w:color="auto"/>
            <w:bottom w:val="none" w:sz="0" w:space="0" w:color="auto"/>
            <w:right w:val="none" w:sz="0" w:space="0" w:color="auto"/>
          </w:divBdr>
        </w:div>
        <w:div w:id="944659060">
          <w:marLeft w:val="0"/>
          <w:marRight w:val="0"/>
          <w:marTop w:val="0"/>
          <w:marBottom w:val="0"/>
          <w:divBdr>
            <w:top w:val="none" w:sz="0" w:space="0" w:color="auto"/>
            <w:left w:val="none" w:sz="0" w:space="0" w:color="auto"/>
            <w:bottom w:val="none" w:sz="0" w:space="0" w:color="auto"/>
            <w:right w:val="none" w:sz="0" w:space="0" w:color="auto"/>
          </w:divBdr>
          <w:divsChild>
            <w:div w:id="1483426661">
              <w:marLeft w:val="0"/>
              <w:marRight w:val="0"/>
              <w:marTop w:val="0"/>
              <w:marBottom w:val="0"/>
              <w:divBdr>
                <w:top w:val="none" w:sz="0" w:space="0" w:color="auto"/>
                <w:left w:val="none" w:sz="0" w:space="0" w:color="auto"/>
                <w:bottom w:val="none" w:sz="0" w:space="0" w:color="auto"/>
                <w:right w:val="none" w:sz="0" w:space="0" w:color="auto"/>
              </w:divBdr>
            </w:div>
            <w:div w:id="149257299">
              <w:marLeft w:val="0"/>
              <w:marRight w:val="0"/>
              <w:marTop w:val="0"/>
              <w:marBottom w:val="0"/>
              <w:divBdr>
                <w:top w:val="none" w:sz="0" w:space="0" w:color="auto"/>
                <w:left w:val="none" w:sz="0" w:space="0" w:color="auto"/>
                <w:bottom w:val="none" w:sz="0" w:space="0" w:color="auto"/>
                <w:right w:val="none" w:sz="0" w:space="0" w:color="auto"/>
              </w:divBdr>
            </w:div>
          </w:divsChild>
        </w:div>
        <w:div w:id="1065879207">
          <w:marLeft w:val="0"/>
          <w:marRight w:val="0"/>
          <w:marTop w:val="0"/>
          <w:marBottom w:val="0"/>
          <w:divBdr>
            <w:top w:val="none" w:sz="0" w:space="0" w:color="auto"/>
            <w:left w:val="none" w:sz="0" w:space="0" w:color="auto"/>
            <w:bottom w:val="none" w:sz="0" w:space="0" w:color="auto"/>
            <w:right w:val="none" w:sz="0" w:space="0" w:color="auto"/>
          </w:divBdr>
        </w:div>
        <w:div w:id="552615408">
          <w:marLeft w:val="0"/>
          <w:marRight w:val="0"/>
          <w:marTop w:val="60"/>
          <w:marBottom w:val="0"/>
          <w:divBdr>
            <w:top w:val="none" w:sz="0" w:space="0" w:color="auto"/>
            <w:left w:val="none" w:sz="0" w:space="0" w:color="auto"/>
            <w:bottom w:val="none" w:sz="0" w:space="0" w:color="auto"/>
            <w:right w:val="none" w:sz="0" w:space="0" w:color="auto"/>
          </w:divBdr>
          <w:divsChild>
            <w:div w:id="781458001">
              <w:marLeft w:val="0"/>
              <w:marRight w:val="360"/>
              <w:marTop w:val="0"/>
              <w:marBottom w:val="0"/>
              <w:divBdr>
                <w:top w:val="none" w:sz="0" w:space="0" w:color="auto"/>
                <w:left w:val="none" w:sz="0" w:space="0" w:color="auto"/>
                <w:bottom w:val="none" w:sz="0" w:space="0" w:color="auto"/>
                <w:right w:val="none" w:sz="0" w:space="0" w:color="auto"/>
              </w:divBdr>
            </w:div>
          </w:divsChild>
        </w:div>
        <w:div w:id="247274982">
          <w:marLeft w:val="0"/>
          <w:marRight w:val="0"/>
          <w:marTop w:val="0"/>
          <w:marBottom w:val="0"/>
          <w:divBdr>
            <w:top w:val="none" w:sz="0" w:space="0" w:color="auto"/>
            <w:left w:val="none" w:sz="0" w:space="0" w:color="auto"/>
            <w:bottom w:val="none" w:sz="0" w:space="0" w:color="auto"/>
            <w:right w:val="none" w:sz="0" w:space="0" w:color="auto"/>
          </w:divBdr>
          <w:divsChild>
            <w:div w:id="814251827">
              <w:marLeft w:val="0"/>
              <w:marRight w:val="0"/>
              <w:marTop w:val="0"/>
              <w:marBottom w:val="0"/>
              <w:divBdr>
                <w:top w:val="none" w:sz="0" w:space="0" w:color="auto"/>
                <w:left w:val="none" w:sz="0" w:space="0" w:color="auto"/>
                <w:bottom w:val="none" w:sz="0" w:space="0" w:color="auto"/>
                <w:right w:val="none" w:sz="0" w:space="0" w:color="auto"/>
              </w:divBdr>
            </w:div>
            <w:div w:id="1716737868">
              <w:marLeft w:val="0"/>
              <w:marRight w:val="0"/>
              <w:marTop w:val="0"/>
              <w:marBottom w:val="0"/>
              <w:divBdr>
                <w:top w:val="none" w:sz="0" w:space="0" w:color="auto"/>
                <w:left w:val="none" w:sz="0" w:space="0" w:color="auto"/>
                <w:bottom w:val="none" w:sz="0" w:space="0" w:color="auto"/>
                <w:right w:val="none" w:sz="0" w:space="0" w:color="auto"/>
              </w:divBdr>
            </w:div>
          </w:divsChild>
        </w:div>
        <w:div w:id="426192488">
          <w:marLeft w:val="0"/>
          <w:marRight w:val="0"/>
          <w:marTop w:val="0"/>
          <w:marBottom w:val="0"/>
          <w:divBdr>
            <w:top w:val="none" w:sz="0" w:space="0" w:color="auto"/>
            <w:left w:val="none" w:sz="0" w:space="0" w:color="auto"/>
            <w:bottom w:val="none" w:sz="0" w:space="0" w:color="auto"/>
            <w:right w:val="none" w:sz="0" w:space="0" w:color="auto"/>
          </w:divBdr>
        </w:div>
        <w:div w:id="2070611009">
          <w:marLeft w:val="0"/>
          <w:marRight w:val="0"/>
          <w:marTop w:val="60"/>
          <w:marBottom w:val="0"/>
          <w:divBdr>
            <w:top w:val="none" w:sz="0" w:space="0" w:color="auto"/>
            <w:left w:val="none" w:sz="0" w:space="0" w:color="auto"/>
            <w:bottom w:val="none" w:sz="0" w:space="0" w:color="auto"/>
            <w:right w:val="none" w:sz="0" w:space="0" w:color="auto"/>
          </w:divBdr>
          <w:divsChild>
            <w:div w:id="1581792447">
              <w:marLeft w:val="0"/>
              <w:marRight w:val="360"/>
              <w:marTop w:val="0"/>
              <w:marBottom w:val="0"/>
              <w:divBdr>
                <w:top w:val="none" w:sz="0" w:space="0" w:color="auto"/>
                <w:left w:val="none" w:sz="0" w:space="0" w:color="auto"/>
                <w:bottom w:val="none" w:sz="0" w:space="0" w:color="auto"/>
                <w:right w:val="none" w:sz="0" w:space="0" w:color="auto"/>
              </w:divBdr>
            </w:div>
          </w:divsChild>
        </w:div>
        <w:div w:id="1863128068">
          <w:marLeft w:val="0"/>
          <w:marRight w:val="0"/>
          <w:marTop w:val="0"/>
          <w:marBottom w:val="0"/>
          <w:divBdr>
            <w:top w:val="none" w:sz="0" w:space="0" w:color="auto"/>
            <w:left w:val="none" w:sz="0" w:space="0" w:color="auto"/>
            <w:bottom w:val="none" w:sz="0" w:space="0" w:color="auto"/>
            <w:right w:val="none" w:sz="0" w:space="0" w:color="auto"/>
          </w:divBdr>
          <w:divsChild>
            <w:div w:id="836462739">
              <w:marLeft w:val="0"/>
              <w:marRight w:val="0"/>
              <w:marTop w:val="0"/>
              <w:marBottom w:val="0"/>
              <w:divBdr>
                <w:top w:val="none" w:sz="0" w:space="0" w:color="auto"/>
                <w:left w:val="none" w:sz="0" w:space="0" w:color="auto"/>
                <w:bottom w:val="none" w:sz="0" w:space="0" w:color="auto"/>
                <w:right w:val="none" w:sz="0" w:space="0" w:color="auto"/>
              </w:divBdr>
            </w:div>
            <w:div w:id="2111387601">
              <w:marLeft w:val="0"/>
              <w:marRight w:val="0"/>
              <w:marTop w:val="0"/>
              <w:marBottom w:val="0"/>
              <w:divBdr>
                <w:top w:val="none" w:sz="0" w:space="0" w:color="auto"/>
                <w:left w:val="none" w:sz="0" w:space="0" w:color="auto"/>
                <w:bottom w:val="none" w:sz="0" w:space="0" w:color="auto"/>
                <w:right w:val="none" w:sz="0" w:space="0" w:color="auto"/>
              </w:divBdr>
            </w:div>
          </w:divsChild>
        </w:div>
        <w:div w:id="1719163905">
          <w:marLeft w:val="0"/>
          <w:marRight w:val="0"/>
          <w:marTop w:val="0"/>
          <w:marBottom w:val="0"/>
          <w:divBdr>
            <w:top w:val="none" w:sz="0" w:space="0" w:color="auto"/>
            <w:left w:val="none" w:sz="0" w:space="0" w:color="auto"/>
            <w:bottom w:val="none" w:sz="0" w:space="0" w:color="auto"/>
            <w:right w:val="none" w:sz="0" w:space="0" w:color="auto"/>
          </w:divBdr>
        </w:div>
        <w:div w:id="289288475">
          <w:marLeft w:val="0"/>
          <w:marRight w:val="0"/>
          <w:marTop w:val="60"/>
          <w:marBottom w:val="0"/>
          <w:divBdr>
            <w:top w:val="none" w:sz="0" w:space="0" w:color="auto"/>
            <w:left w:val="none" w:sz="0" w:space="0" w:color="auto"/>
            <w:bottom w:val="none" w:sz="0" w:space="0" w:color="auto"/>
            <w:right w:val="none" w:sz="0" w:space="0" w:color="auto"/>
          </w:divBdr>
          <w:divsChild>
            <w:div w:id="651566713">
              <w:marLeft w:val="0"/>
              <w:marRight w:val="360"/>
              <w:marTop w:val="0"/>
              <w:marBottom w:val="0"/>
              <w:divBdr>
                <w:top w:val="none" w:sz="0" w:space="0" w:color="auto"/>
                <w:left w:val="none" w:sz="0" w:space="0" w:color="auto"/>
                <w:bottom w:val="none" w:sz="0" w:space="0" w:color="auto"/>
                <w:right w:val="none" w:sz="0" w:space="0" w:color="auto"/>
              </w:divBdr>
              <w:divsChild>
                <w:div w:id="111104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283423">
          <w:marLeft w:val="0"/>
          <w:marRight w:val="0"/>
          <w:marTop w:val="0"/>
          <w:marBottom w:val="0"/>
          <w:divBdr>
            <w:top w:val="none" w:sz="0" w:space="0" w:color="auto"/>
            <w:left w:val="none" w:sz="0" w:space="0" w:color="auto"/>
            <w:bottom w:val="none" w:sz="0" w:space="0" w:color="auto"/>
            <w:right w:val="none" w:sz="0" w:space="0" w:color="auto"/>
          </w:divBdr>
          <w:divsChild>
            <w:div w:id="1825311921">
              <w:marLeft w:val="0"/>
              <w:marRight w:val="0"/>
              <w:marTop w:val="0"/>
              <w:marBottom w:val="0"/>
              <w:divBdr>
                <w:top w:val="none" w:sz="0" w:space="0" w:color="auto"/>
                <w:left w:val="none" w:sz="0" w:space="0" w:color="auto"/>
                <w:bottom w:val="none" w:sz="0" w:space="0" w:color="auto"/>
                <w:right w:val="none" w:sz="0" w:space="0" w:color="auto"/>
              </w:divBdr>
            </w:div>
            <w:div w:id="1532693259">
              <w:marLeft w:val="0"/>
              <w:marRight w:val="0"/>
              <w:marTop w:val="0"/>
              <w:marBottom w:val="0"/>
              <w:divBdr>
                <w:top w:val="none" w:sz="0" w:space="0" w:color="auto"/>
                <w:left w:val="none" w:sz="0" w:space="0" w:color="auto"/>
                <w:bottom w:val="none" w:sz="0" w:space="0" w:color="auto"/>
                <w:right w:val="none" w:sz="0" w:space="0" w:color="auto"/>
              </w:divBdr>
            </w:div>
          </w:divsChild>
        </w:div>
        <w:div w:id="1716923943">
          <w:marLeft w:val="0"/>
          <w:marRight w:val="0"/>
          <w:marTop w:val="0"/>
          <w:marBottom w:val="0"/>
          <w:divBdr>
            <w:top w:val="none" w:sz="0" w:space="0" w:color="auto"/>
            <w:left w:val="none" w:sz="0" w:space="0" w:color="auto"/>
            <w:bottom w:val="none" w:sz="0" w:space="0" w:color="auto"/>
            <w:right w:val="none" w:sz="0" w:space="0" w:color="auto"/>
          </w:divBdr>
        </w:div>
        <w:div w:id="519314468">
          <w:marLeft w:val="0"/>
          <w:marRight w:val="0"/>
          <w:marTop w:val="60"/>
          <w:marBottom w:val="0"/>
          <w:divBdr>
            <w:top w:val="none" w:sz="0" w:space="0" w:color="auto"/>
            <w:left w:val="none" w:sz="0" w:space="0" w:color="auto"/>
            <w:bottom w:val="none" w:sz="0" w:space="0" w:color="auto"/>
            <w:right w:val="none" w:sz="0" w:space="0" w:color="auto"/>
          </w:divBdr>
        </w:div>
        <w:div w:id="630941722">
          <w:marLeft w:val="0"/>
          <w:marRight w:val="0"/>
          <w:marTop w:val="0"/>
          <w:marBottom w:val="0"/>
          <w:divBdr>
            <w:top w:val="none" w:sz="0" w:space="0" w:color="auto"/>
            <w:left w:val="none" w:sz="0" w:space="0" w:color="auto"/>
            <w:bottom w:val="none" w:sz="0" w:space="0" w:color="auto"/>
            <w:right w:val="none" w:sz="0" w:space="0" w:color="auto"/>
          </w:divBdr>
          <w:divsChild>
            <w:div w:id="295335089">
              <w:marLeft w:val="0"/>
              <w:marRight w:val="0"/>
              <w:marTop w:val="0"/>
              <w:marBottom w:val="0"/>
              <w:divBdr>
                <w:top w:val="none" w:sz="0" w:space="0" w:color="auto"/>
                <w:left w:val="none" w:sz="0" w:space="0" w:color="auto"/>
                <w:bottom w:val="none" w:sz="0" w:space="0" w:color="auto"/>
                <w:right w:val="none" w:sz="0" w:space="0" w:color="auto"/>
              </w:divBdr>
            </w:div>
            <w:div w:id="1637102803">
              <w:marLeft w:val="0"/>
              <w:marRight w:val="0"/>
              <w:marTop w:val="0"/>
              <w:marBottom w:val="0"/>
              <w:divBdr>
                <w:top w:val="none" w:sz="0" w:space="0" w:color="auto"/>
                <w:left w:val="none" w:sz="0" w:space="0" w:color="auto"/>
                <w:bottom w:val="none" w:sz="0" w:space="0" w:color="auto"/>
                <w:right w:val="none" w:sz="0" w:space="0" w:color="auto"/>
              </w:divBdr>
            </w:div>
          </w:divsChild>
        </w:div>
        <w:div w:id="1397240269">
          <w:marLeft w:val="0"/>
          <w:marRight w:val="0"/>
          <w:marTop w:val="0"/>
          <w:marBottom w:val="0"/>
          <w:divBdr>
            <w:top w:val="none" w:sz="0" w:space="0" w:color="auto"/>
            <w:left w:val="none" w:sz="0" w:space="0" w:color="auto"/>
            <w:bottom w:val="none" w:sz="0" w:space="0" w:color="auto"/>
            <w:right w:val="none" w:sz="0" w:space="0" w:color="auto"/>
          </w:divBdr>
        </w:div>
        <w:div w:id="592864646">
          <w:marLeft w:val="0"/>
          <w:marRight w:val="0"/>
          <w:marTop w:val="60"/>
          <w:marBottom w:val="0"/>
          <w:divBdr>
            <w:top w:val="none" w:sz="0" w:space="0" w:color="auto"/>
            <w:left w:val="none" w:sz="0" w:space="0" w:color="auto"/>
            <w:bottom w:val="none" w:sz="0" w:space="0" w:color="auto"/>
            <w:right w:val="none" w:sz="0" w:space="0" w:color="auto"/>
          </w:divBdr>
        </w:div>
        <w:div w:id="998342527">
          <w:marLeft w:val="0"/>
          <w:marRight w:val="0"/>
          <w:marTop w:val="0"/>
          <w:marBottom w:val="0"/>
          <w:divBdr>
            <w:top w:val="none" w:sz="0" w:space="0" w:color="auto"/>
            <w:left w:val="none" w:sz="0" w:space="0" w:color="auto"/>
            <w:bottom w:val="none" w:sz="0" w:space="0" w:color="auto"/>
            <w:right w:val="none" w:sz="0" w:space="0" w:color="auto"/>
          </w:divBdr>
          <w:divsChild>
            <w:div w:id="1688018761">
              <w:marLeft w:val="0"/>
              <w:marRight w:val="0"/>
              <w:marTop w:val="0"/>
              <w:marBottom w:val="0"/>
              <w:divBdr>
                <w:top w:val="none" w:sz="0" w:space="0" w:color="auto"/>
                <w:left w:val="none" w:sz="0" w:space="0" w:color="auto"/>
                <w:bottom w:val="none" w:sz="0" w:space="0" w:color="auto"/>
                <w:right w:val="none" w:sz="0" w:space="0" w:color="auto"/>
              </w:divBdr>
            </w:div>
            <w:div w:id="832261197">
              <w:marLeft w:val="0"/>
              <w:marRight w:val="0"/>
              <w:marTop w:val="0"/>
              <w:marBottom w:val="0"/>
              <w:divBdr>
                <w:top w:val="none" w:sz="0" w:space="0" w:color="auto"/>
                <w:left w:val="none" w:sz="0" w:space="0" w:color="auto"/>
                <w:bottom w:val="none" w:sz="0" w:space="0" w:color="auto"/>
                <w:right w:val="none" w:sz="0" w:space="0" w:color="auto"/>
              </w:divBdr>
            </w:div>
          </w:divsChild>
        </w:div>
        <w:div w:id="1565792526">
          <w:marLeft w:val="0"/>
          <w:marRight w:val="0"/>
          <w:marTop w:val="0"/>
          <w:marBottom w:val="0"/>
          <w:divBdr>
            <w:top w:val="none" w:sz="0" w:space="0" w:color="auto"/>
            <w:left w:val="none" w:sz="0" w:space="0" w:color="auto"/>
            <w:bottom w:val="none" w:sz="0" w:space="0" w:color="auto"/>
            <w:right w:val="none" w:sz="0" w:space="0" w:color="auto"/>
          </w:divBdr>
        </w:div>
        <w:div w:id="1359702348">
          <w:marLeft w:val="0"/>
          <w:marRight w:val="0"/>
          <w:marTop w:val="60"/>
          <w:marBottom w:val="0"/>
          <w:divBdr>
            <w:top w:val="none" w:sz="0" w:space="0" w:color="auto"/>
            <w:left w:val="none" w:sz="0" w:space="0" w:color="auto"/>
            <w:bottom w:val="none" w:sz="0" w:space="0" w:color="auto"/>
            <w:right w:val="none" w:sz="0" w:space="0" w:color="auto"/>
          </w:divBdr>
          <w:divsChild>
            <w:div w:id="1111125412">
              <w:marLeft w:val="0"/>
              <w:marRight w:val="360"/>
              <w:marTop w:val="0"/>
              <w:marBottom w:val="0"/>
              <w:divBdr>
                <w:top w:val="none" w:sz="0" w:space="0" w:color="auto"/>
                <w:left w:val="none" w:sz="0" w:space="0" w:color="auto"/>
                <w:bottom w:val="none" w:sz="0" w:space="0" w:color="auto"/>
                <w:right w:val="none" w:sz="0" w:space="0" w:color="auto"/>
              </w:divBdr>
            </w:div>
          </w:divsChild>
        </w:div>
        <w:div w:id="1551724729">
          <w:marLeft w:val="0"/>
          <w:marRight w:val="0"/>
          <w:marTop w:val="0"/>
          <w:marBottom w:val="0"/>
          <w:divBdr>
            <w:top w:val="none" w:sz="0" w:space="0" w:color="auto"/>
            <w:left w:val="none" w:sz="0" w:space="0" w:color="auto"/>
            <w:bottom w:val="none" w:sz="0" w:space="0" w:color="auto"/>
            <w:right w:val="none" w:sz="0" w:space="0" w:color="auto"/>
          </w:divBdr>
          <w:divsChild>
            <w:div w:id="709913112">
              <w:marLeft w:val="0"/>
              <w:marRight w:val="0"/>
              <w:marTop w:val="0"/>
              <w:marBottom w:val="0"/>
              <w:divBdr>
                <w:top w:val="none" w:sz="0" w:space="0" w:color="auto"/>
                <w:left w:val="none" w:sz="0" w:space="0" w:color="auto"/>
                <w:bottom w:val="none" w:sz="0" w:space="0" w:color="auto"/>
                <w:right w:val="none" w:sz="0" w:space="0" w:color="auto"/>
              </w:divBdr>
            </w:div>
            <w:div w:id="997882624">
              <w:marLeft w:val="0"/>
              <w:marRight w:val="0"/>
              <w:marTop w:val="0"/>
              <w:marBottom w:val="0"/>
              <w:divBdr>
                <w:top w:val="none" w:sz="0" w:space="0" w:color="auto"/>
                <w:left w:val="none" w:sz="0" w:space="0" w:color="auto"/>
                <w:bottom w:val="none" w:sz="0" w:space="0" w:color="auto"/>
                <w:right w:val="none" w:sz="0" w:space="0" w:color="auto"/>
              </w:divBdr>
            </w:div>
          </w:divsChild>
        </w:div>
        <w:div w:id="45184768">
          <w:marLeft w:val="0"/>
          <w:marRight w:val="0"/>
          <w:marTop w:val="0"/>
          <w:marBottom w:val="0"/>
          <w:divBdr>
            <w:top w:val="none" w:sz="0" w:space="0" w:color="auto"/>
            <w:left w:val="none" w:sz="0" w:space="0" w:color="auto"/>
            <w:bottom w:val="none" w:sz="0" w:space="0" w:color="auto"/>
            <w:right w:val="none" w:sz="0" w:space="0" w:color="auto"/>
          </w:divBdr>
        </w:div>
        <w:div w:id="980235726">
          <w:marLeft w:val="0"/>
          <w:marRight w:val="0"/>
          <w:marTop w:val="60"/>
          <w:marBottom w:val="0"/>
          <w:divBdr>
            <w:top w:val="none" w:sz="0" w:space="0" w:color="auto"/>
            <w:left w:val="none" w:sz="0" w:space="0" w:color="auto"/>
            <w:bottom w:val="none" w:sz="0" w:space="0" w:color="auto"/>
            <w:right w:val="none" w:sz="0" w:space="0" w:color="auto"/>
          </w:divBdr>
          <w:divsChild>
            <w:div w:id="1520004355">
              <w:marLeft w:val="0"/>
              <w:marRight w:val="360"/>
              <w:marTop w:val="0"/>
              <w:marBottom w:val="0"/>
              <w:divBdr>
                <w:top w:val="none" w:sz="0" w:space="0" w:color="auto"/>
                <w:left w:val="none" w:sz="0" w:space="0" w:color="auto"/>
                <w:bottom w:val="none" w:sz="0" w:space="0" w:color="auto"/>
                <w:right w:val="none" w:sz="0" w:space="0" w:color="auto"/>
              </w:divBdr>
            </w:div>
          </w:divsChild>
        </w:div>
        <w:div w:id="1141115914">
          <w:marLeft w:val="0"/>
          <w:marRight w:val="0"/>
          <w:marTop w:val="0"/>
          <w:marBottom w:val="0"/>
          <w:divBdr>
            <w:top w:val="none" w:sz="0" w:space="0" w:color="auto"/>
            <w:left w:val="none" w:sz="0" w:space="0" w:color="auto"/>
            <w:bottom w:val="none" w:sz="0" w:space="0" w:color="auto"/>
            <w:right w:val="none" w:sz="0" w:space="0" w:color="auto"/>
          </w:divBdr>
          <w:divsChild>
            <w:div w:id="632365802">
              <w:marLeft w:val="0"/>
              <w:marRight w:val="0"/>
              <w:marTop w:val="0"/>
              <w:marBottom w:val="0"/>
              <w:divBdr>
                <w:top w:val="none" w:sz="0" w:space="0" w:color="auto"/>
                <w:left w:val="none" w:sz="0" w:space="0" w:color="auto"/>
                <w:bottom w:val="none" w:sz="0" w:space="0" w:color="auto"/>
                <w:right w:val="none" w:sz="0" w:space="0" w:color="auto"/>
              </w:divBdr>
            </w:div>
            <w:div w:id="258216686">
              <w:marLeft w:val="0"/>
              <w:marRight w:val="0"/>
              <w:marTop w:val="0"/>
              <w:marBottom w:val="0"/>
              <w:divBdr>
                <w:top w:val="none" w:sz="0" w:space="0" w:color="auto"/>
                <w:left w:val="none" w:sz="0" w:space="0" w:color="auto"/>
                <w:bottom w:val="none" w:sz="0" w:space="0" w:color="auto"/>
                <w:right w:val="none" w:sz="0" w:space="0" w:color="auto"/>
              </w:divBdr>
            </w:div>
          </w:divsChild>
        </w:div>
        <w:div w:id="1504202379">
          <w:marLeft w:val="0"/>
          <w:marRight w:val="0"/>
          <w:marTop w:val="0"/>
          <w:marBottom w:val="0"/>
          <w:divBdr>
            <w:top w:val="none" w:sz="0" w:space="0" w:color="auto"/>
            <w:left w:val="none" w:sz="0" w:space="0" w:color="auto"/>
            <w:bottom w:val="none" w:sz="0" w:space="0" w:color="auto"/>
            <w:right w:val="none" w:sz="0" w:space="0" w:color="auto"/>
          </w:divBdr>
        </w:div>
        <w:div w:id="931089388">
          <w:marLeft w:val="0"/>
          <w:marRight w:val="0"/>
          <w:marTop w:val="60"/>
          <w:marBottom w:val="0"/>
          <w:divBdr>
            <w:top w:val="none" w:sz="0" w:space="0" w:color="auto"/>
            <w:left w:val="none" w:sz="0" w:space="0" w:color="auto"/>
            <w:bottom w:val="none" w:sz="0" w:space="0" w:color="auto"/>
            <w:right w:val="none" w:sz="0" w:space="0" w:color="auto"/>
          </w:divBdr>
        </w:div>
        <w:div w:id="1495489305">
          <w:marLeft w:val="0"/>
          <w:marRight w:val="0"/>
          <w:marTop w:val="0"/>
          <w:marBottom w:val="0"/>
          <w:divBdr>
            <w:top w:val="none" w:sz="0" w:space="0" w:color="auto"/>
            <w:left w:val="none" w:sz="0" w:space="0" w:color="auto"/>
            <w:bottom w:val="none" w:sz="0" w:space="0" w:color="auto"/>
            <w:right w:val="none" w:sz="0" w:space="0" w:color="auto"/>
          </w:divBdr>
          <w:divsChild>
            <w:div w:id="990865086">
              <w:marLeft w:val="0"/>
              <w:marRight w:val="0"/>
              <w:marTop w:val="0"/>
              <w:marBottom w:val="0"/>
              <w:divBdr>
                <w:top w:val="none" w:sz="0" w:space="0" w:color="auto"/>
                <w:left w:val="none" w:sz="0" w:space="0" w:color="auto"/>
                <w:bottom w:val="none" w:sz="0" w:space="0" w:color="auto"/>
                <w:right w:val="none" w:sz="0" w:space="0" w:color="auto"/>
              </w:divBdr>
            </w:div>
            <w:div w:id="1078795448">
              <w:marLeft w:val="0"/>
              <w:marRight w:val="0"/>
              <w:marTop w:val="0"/>
              <w:marBottom w:val="0"/>
              <w:divBdr>
                <w:top w:val="none" w:sz="0" w:space="0" w:color="auto"/>
                <w:left w:val="none" w:sz="0" w:space="0" w:color="auto"/>
                <w:bottom w:val="none" w:sz="0" w:space="0" w:color="auto"/>
                <w:right w:val="none" w:sz="0" w:space="0" w:color="auto"/>
              </w:divBdr>
            </w:div>
          </w:divsChild>
        </w:div>
        <w:div w:id="1658531795">
          <w:marLeft w:val="0"/>
          <w:marRight w:val="0"/>
          <w:marTop w:val="0"/>
          <w:marBottom w:val="0"/>
          <w:divBdr>
            <w:top w:val="none" w:sz="0" w:space="0" w:color="auto"/>
            <w:left w:val="none" w:sz="0" w:space="0" w:color="auto"/>
            <w:bottom w:val="none" w:sz="0" w:space="0" w:color="auto"/>
            <w:right w:val="none" w:sz="0" w:space="0" w:color="auto"/>
          </w:divBdr>
        </w:div>
        <w:div w:id="1002465458">
          <w:marLeft w:val="0"/>
          <w:marRight w:val="0"/>
          <w:marTop w:val="60"/>
          <w:marBottom w:val="0"/>
          <w:divBdr>
            <w:top w:val="none" w:sz="0" w:space="0" w:color="auto"/>
            <w:left w:val="none" w:sz="0" w:space="0" w:color="auto"/>
            <w:bottom w:val="none" w:sz="0" w:space="0" w:color="auto"/>
            <w:right w:val="none" w:sz="0" w:space="0" w:color="auto"/>
          </w:divBdr>
        </w:div>
        <w:div w:id="764036438">
          <w:marLeft w:val="0"/>
          <w:marRight w:val="0"/>
          <w:marTop w:val="0"/>
          <w:marBottom w:val="0"/>
          <w:divBdr>
            <w:top w:val="none" w:sz="0" w:space="0" w:color="auto"/>
            <w:left w:val="none" w:sz="0" w:space="0" w:color="auto"/>
            <w:bottom w:val="none" w:sz="0" w:space="0" w:color="auto"/>
            <w:right w:val="none" w:sz="0" w:space="0" w:color="auto"/>
          </w:divBdr>
          <w:divsChild>
            <w:div w:id="384332114">
              <w:marLeft w:val="0"/>
              <w:marRight w:val="0"/>
              <w:marTop w:val="0"/>
              <w:marBottom w:val="0"/>
              <w:divBdr>
                <w:top w:val="none" w:sz="0" w:space="0" w:color="auto"/>
                <w:left w:val="none" w:sz="0" w:space="0" w:color="auto"/>
                <w:bottom w:val="none" w:sz="0" w:space="0" w:color="auto"/>
                <w:right w:val="none" w:sz="0" w:space="0" w:color="auto"/>
              </w:divBdr>
            </w:div>
            <w:div w:id="265121944">
              <w:marLeft w:val="0"/>
              <w:marRight w:val="0"/>
              <w:marTop w:val="0"/>
              <w:marBottom w:val="0"/>
              <w:divBdr>
                <w:top w:val="none" w:sz="0" w:space="0" w:color="auto"/>
                <w:left w:val="none" w:sz="0" w:space="0" w:color="auto"/>
                <w:bottom w:val="none" w:sz="0" w:space="0" w:color="auto"/>
                <w:right w:val="none" w:sz="0" w:space="0" w:color="auto"/>
              </w:divBdr>
            </w:div>
          </w:divsChild>
        </w:div>
        <w:div w:id="246037122">
          <w:marLeft w:val="0"/>
          <w:marRight w:val="0"/>
          <w:marTop w:val="0"/>
          <w:marBottom w:val="0"/>
          <w:divBdr>
            <w:top w:val="none" w:sz="0" w:space="0" w:color="auto"/>
            <w:left w:val="none" w:sz="0" w:space="0" w:color="auto"/>
            <w:bottom w:val="none" w:sz="0" w:space="0" w:color="auto"/>
            <w:right w:val="none" w:sz="0" w:space="0" w:color="auto"/>
          </w:divBdr>
        </w:div>
        <w:div w:id="943922869">
          <w:marLeft w:val="0"/>
          <w:marRight w:val="0"/>
          <w:marTop w:val="60"/>
          <w:marBottom w:val="0"/>
          <w:divBdr>
            <w:top w:val="none" w:sz="0" w:space="0" w:color="auto"/>
            <w:left w:val="none" w:sz="0" w:space="0" w:color="auto"/>
            <w:bottom w:val="none" w:sz="0" w:space="0" w:color="auto"/>
            <w:right w:val="none" w:sz="0" w:space="0" w:color="auto"/>
          </w:divBdr>
        </w:div>
        <w:div w:id="2042776619">
          <w:marLeft w:val="0"/>
          <w:marRight w:val="0"/>
          <w:marTop w:val="0"/>
          <w:marBottom w:val="0"/>
          <w:divBdr>
            <w:top w:val="none" w:sz="0" w:space="0" w:color="auto"/>
            <w:left w:val="none" w:sz="0" w:space="0" w:color="auto"/>
            <w:bottom w:val="none" w:sz="0" w:space="0" w:color="auto"/>
            <w:right w:val="none" w:sz="0" w:space="0" w:color="auto"/>
          </w:divBdr>
          <w:divsChild>
            <w:div w:id="367682469">
              <w:marLeft w:val="0"/>
              <w:marRight w:val="0"/>
              <w:marTop w:val="0"/>
              <w:marBottom w:val="0"/>
              <w:divBdr>
                <w:top w:val="none" w:sz="0" w:space="0" w:color="auto"/>
                <w:left w:val="none" w:sz="0" w:space="0" w:color="auto"/>
                <w:bottom w:val="none" w:sz="0" w:space="0" w:color="auto"/>
                <w:right w:val="none" w:sz="0" w:space="0" w:color="auto"/>
              </w:divBdr>
            </w:div>
            <w:div w:id="1144011359">
              <w:marLeft w:val="0"/>
              <w:marRight w:val="0"/>
              <w:marTop w:val="0"/>
              <w:marBottom w:val="0"/>
              <w:divBdr>
                <w:top w:val="none" w:sz="0" w:space="0" w:color="auto"/>
                <w:left w:val="none" w:sz="0" w:space="0" w:color="auto"/>
                <w:bottom w:val="none" w:sz="0" w:space="0" w:color="auto"/>
                <w:right w:val="none" w:sz="0" w:space="0" w:color="auto"/>
              </w:divBdr>
            </w:div>
          </w:divsChild>
        </w:div>
        <w:div w:id="931931982">
          <w:marLeft w:val="0"/>
          <w:marRight w:val="0"/>
          <w:marTop w:val="0"/>
          <w:marBottom w:val="0"/>
          <w:divBdr>
            <w:top w:val="none" w:sz="0" w:space="0" w:color="auto"/>
            <w:left w:val="none" w:sz="0" w:space="0" w:color="auto"/>
            <w:bottom w:val="none" w:sz="0" w:space="0" w:color="auto"/>
            <w:right w:val="none" w:sz="0" w:space="0" w:color="auto"/>
          </w:divBdr>
        </w:div>
        <w:div w:id="9307426">
          <w:marLeft w:val="0"/>
          <w:marRight w:val="0"/>
          <w:marTop w:val="60"/>
          <w:marBottom w:val="0"/>
          <w:divBdr>
            <w:top w:val="none" w:sz="0" w:space="0" w:color="auto"/>
            <w:left w:val="none" w:sz="0" w:space="0" w:color="auto"/>
            <w:bottom w:val="none" w:sz="0" w:space="0" w:color="auto"/>
            <w:right w:val="none" w:sz="0" w:space="0" w:color="auto"/>
          </w:divBdr>
        </w:div>
        <w:div w:id="764308872">
          <w:marLeft w:val="0"/>
          <w:marRight w:val="0"/>
          <w:marTop w:val="0"/>
          <w:marBottom w:val="0"/>
          <w:divBdr>
            <w:top w:val="none" w:sz="0" w:space="0" w:color="auto"/>
            <w:left w:val="none" w:sz="0" w:space="0" w:color="auto"/>
            <w:bottom w:val="none" w:sz="0" w:space="0" w:color="auto"/>
            <w:right w:val="none" w:sz="0" w:space="0" w:color="auto"/>
          </w:divBdr>
          <w:divsChild>
            <w:div w:id="1767651101">
              <w:marLeft w:val="0"/>
              <w:marRight w:val="0"/>
              <w:marTop w:val="0"/>
              <w:marBottom w:val="0"/>
              <w:divBdr>
                <w:top w:val="none" w:sz="0" w:space="0" w:color="auto"/>
                <w:left w:val="none" w:sz="0" w:space="0" w:color="auto"/>
                <w:bottom w:val="none" w:sz="0" w:space="0" w:color="auto"/>
                <w:right w:val="none" w:sz="0" w:space="0" w:color="auto"/>
              </w:divBdr>
            </w:div>
            <w:div w:id="2125465755">
              <w:marLeft w:val="0"/>
              <w:marRight w:val="0"/>
              <w:marTop w:val="0"/>
              <w:marBottom w:val="0"/>
              <w:divBdr>
                <w:top w:val="none" w:sz="0" w:space="0" w:color="auto"/>
                <w:left w:val="none" w:sz="0" w:space="0" w:color="auto"/>
                <w:bottom w:val="none" w:sz="0" w:space="0" w:color="auto"/>
                <w:right w:val="none" w:sz="0" w:space="0" w:color="auto"/>
              </w:divBdr>
            </w:div>
          </w:divsChild>
        </w:div>
        <w:div w:id="517701568">
          <w:marLeft w:val="0"/>
          <w:marRight w:val="0"/>
          <w:marTop w:val="0"/>
          <w:marBottom w:val="0"/>
          <w:divBdr>
            <w:top w:val="none" w:sz="0" w:space="0" w:color="auto"/>
            <w:left w:val="none" w:sz="0" w:space="0" w:color="auto"/>
            <w:bottom w:val="none" w:sz="0" w:space="0" w:color="auto"/>
            <w:right w:val="none" w:sz="0" w:space="0" w:color="auto"/>
          </w:divBdr>
        </w:div>
        <w:div w:id="120077307">
          <w:marLeft w:val="0"/>
          <w:marRight w:val="0"/>
          <w:marTop w:val="60"/>
          <w:marBottom w:val="0"/>
          <w:divBdr>
            <w:top w:val="none" w:sz="0" w:space="0" w:color="auto"/>
            <w:left w:val="none" w:sz="0" w:space="0" w:color="auto"/>
            <w:bottom w:val="none" w:sz="0" w:space="0" w:color="auto"/>
            <w:right w:val="none" w:sz="0" w:space="0" w:color="auto"/>
          </w:divBdr>
        </w:div>
        <w:div w:id="1892107676">
          <w:marLeft w:val="0"/>
          <w:marRight w:val="0"/>
          <w:marTop w:val="0"/>
          <w:marBottom w:val="0"/>
          <w:divBdr>
            <w:top w:val="none" w:sz="0" w:space="0" w:color="auto"/>
            <w:left w:val="none" w:sz="0" w:space="0" w:color="auto"/>
            <w:bottom w:val="none" w:sz="0" w:space="0" w:color="auto"/>
            <w:right w:val="none" w:sz="0" w:space="0" w:color="auto"/>
          </w:divBdr>
          <w:divsChild>
            <w:div w:id="854613447">
              <w:marLeft w:val="0"/>
              <w:marRight w:val="0"/>
              <w:marTop w:val="0"/>
              <w:marBottom w:val="0"/>
              <w:divBdr>
                <w:top w:val="none" w:sz="0" w:space="0" w:color="auto"/>
                <w:left w:val="none" w:sz="0" w:space="0" w:color="auto"/>
                <w:bottom w:val="none" w:sz="0" w:space="0" w:color="auto"/>
                <w:right w:val="none" w:sz="0" w:space="0" w:color="auto"/>
              </w:divBdr>
            </w:div>
            <w:div w:id="1006251885">
              <w:marLeft w:val="0"/>
              <w:marRight w:val="0"/>
              <w:marTop w:val="0"/>
              <w:marBottom w:val="0"/>
              <w:divBdr>
                <w:top w:val="none" w:sz="0" w:space="0" w:color="auto"/>
                <w:left w:val="none" w:sz="0" w:space="0" w:color="auto"/>
                <w:bottom w:val="none" w:sz="0" w:space="0" w:color="auto"/>
                <w:right w:val="none" w:sz="0" w:space="0" w:color="auto"/>
              </w:divBdr>
            </w:div>
          </w:divsChild>
        </w:div>
        <w:div w:id="26639929">
          <w:marLeft w:val="0"/>
          <w:marRight w:val="0"/>
          <w:marTop w:val="0"/>
          <w:marBottom w:val="0"/>
          <w:divBdr>
            <w:top w:val="none" w:sz="0" w:space="0" w:color="auto"/>
            <w:left w:val="none" w:sz="0" w:space="0" w:color="auto"/>
            <w:bottom w:val="none" w:sz="0" w:space="0" w:color="auto"/>
            <w:right w:val="none" w:sz="0" w:space="0" w:color="auto"/>
          </w:divBdr>
        </w:div>
        <w:div w:id="1904368879">
          <w:marLeft w:val="0"/>
          <w:marRight w:val="0"/>
          <w:marTop w:val="60"/>
          <w:marBottom w:val="0"/>
          <w:divBdr>
            <w:top w:val="none" w:sz="0" w:space="0" w:color="auto"/>
            <w:left w:val="none" w:sz="0" w:space="0" w:color="auto"/>
            <w:bottom w:val="none" w:sz="0" w:space="0" w:color="auto"/>
            <w:right w:val="none" w:sz="0" w:space="0" w:color="auto"/>
          </w:divBdr>
        </w:div>
        <w:div w:id="1081832716">
          <w:marLeft w:val="0"/>
          <w:marRight w:val="0"/>
          <w:marTop w:val="0"/>
          <w:marBottom w:val="0"/>
          <w:divBdr>
            <w:top w:val="none" w:sz="0" w:space="0" w:color="auto"/>
            <w:left w:val="none" w:sz="0" w:space="0" w:color="auto"/>
            <w:bottom w:val="none" w:sz="0" w:space="0" w:color="auto"/>
            <w:right w:val="none" w:sz="0" w:space="0" w:color="auto"/>
          </w:divBdr>
          <w:divsChild>
            <w:div w:id="1731077037">
              <w:marLeft w:val="0"/>
              <w:marRight w:val="0"/>
              <w:marTop w:val="0"/>
              <w:marBottom w:val="0"/>
              <w:divBdr>
                <w:top w:val="none" w:sz="0" w:space="0" w:color="auto"/>
                <w:left w:val="none" w:sz="0" w:space="0" w:color="auto"/>
                <w:bottom w:val="none" w:sz="0" w:space="0" w:color="auto"/>
                <w:right w:val="none" w:sz="0" w:space="0" w:color="auto"/>
              </w:divBdr>
            </w:div>
            <w:div w:id="638649032">
              <w:marLeft w:val="0"/>
              <w:marRight w:val="0"/>
              <w:marTop w:val="0"/>
              <w:marBottom w:val="0"/>
              <w:divBdr>
                <w:top w:val="none" w:sz="0" w:space="0" w:color="auto"/>
                <w:left w:val="none" w:sz="0" w:space="0" w:color="auto"/>
                <w:bottom w:val="none" w:sz="0" w:space="0" w:color="auto"/>
                <w:right w:val="none" w:sz="0" w:space="0" w:color="auto"/>
              </w:divBdr>
            </w:div>
          </w:divsChild>
        </w:div>
        <w:div w:id="1838111724">
          <w:marLeft w:val="0"/>
          <w:marRight w:val="0"/>
          <w:marTop w:val="0"/>
          <w:marBottom w:val="0"/>
          <w:divBdr>
            <w:top w:val="none" w:sz="0" w:space="0" w:color="auto"/>
            <w:left w:val="none" w:sz="0" w:space="0" w:color="auto"/>
            <w:bottom w:val="none" w:sz="0" w:space="0" w:color="auto"/>
            <w:right w:val="none" w:sz="0" w:space="0" w:color="auto"/>
          </w:divBdr>
        </w:div>
        <w:div w:id="581449479">
          <w:marLeft w:val="0"/>
          <w:marRight w:val="0"/>
          <w:marTop w:val="60"/>
          <w:marBottom w:val="0"/>
          <w:divBdr>
            <w:top w:val="none" w:sz="0" w:space="0" w:color="auto"/>
            <w:left w:val="none" w:sz="0" w:space="0" w:color="auto"/>
            <w:bottom w:val="none" w:sz="0" w:space="0" w:color="auto"/>
            <w:right w:val="none" w:sz="0" w:space="0" w:color="auto"/>
          </w:divBdr>
          <w:divsChild>
            <w:div w:id="2130467901">
              <w:marLeft w:val="0"/>
              <w:marRight w:val="360"/>
              <w:marTop w:val="0"/>
              <w:marBottom w:val="0"/>
              <w:divBdr>
                <w:top w:val="none" w:sz="0" w:space="0" w:color="auto"/>
                <w:left w:val="none" w:sz="0" w:space="0" w:color="auto"/>
                <w:bottom w:val="none" w:sz="0" w:space="0" w:color="auto"/>
                <w:right w:val="none" w:sz="0" w:space="0" w:color="auto"/>
              </w:divBdr>
            </w:div>
          </w:divsChild>
        </w:div>
        <w:div w:id="548690265">
          <w:marLeft w:val="0"/>
          <w:marRight w:val="0"/>
          <w:marTop w:val="0"/>
          <w:marBottom w:val="0"/>
          <w:divBdr>
            <w:top w:val="none" w:sz="0" w:space="0" w:color="auto"/>
            <w:left w:val="none" w:sz="0" w:space="0" w:color="auto"/>
            <w:bottom w:val="none" w:sz="0" w:space="0" w:color="auto"/>
            <w:right w:val="none" w:sz="0" w:space="0" w:color="auto"/>
          </w:divBdr>
          <w:divsChild>
            <w:div w:id="644894613">
              <w:marLeft w:val="0"/>
              <w:marRight w:val="0"/>
              <w:marTop w:val="0"/>
              <w:marBottom w:val="0"/>
              <w:divBdr>
                <w:top w:val="none" w:sz="0" w:space="0" w:color="auto"/>
                <w:left w:val="none" w:sz="0" w:space="0" w:color="auto"/>
                <w:bottom w:val="none" w:sz="0" w:space="0" w:color="auto"/>
                <w:right w:val="none" w:sz="0" w:space="0" w:color="auto"/>
              </w:divBdr>
            </w:div>
            <w:div w:id="664013926">
              <w:marLeft w:val="0"/>
              <w:marRight w:val="0"/>
              <w:marTop w:val="0"/>
              <w:marBottom w:val="0"/>
              <w:divBdr>
                <w:top w:val="none" w:sz="0" w:space="0" w:color="auto"/>
                <w:left w:val="none" w:sz="0" w:space="0" w:color="auto"/>
                <w:bottom w:val="none" w:sz="0" w:space="0" w:color="auto"/>
                <w:right w:val="none" w:sz="0" w:space="0" w:color="auto"/>
              </w:divBdr>
            </w:div>
          </w:divsChild>
        </w:div>
        <w:div w:id="1167132215">
          <w:marLeft w:val="0"/>
          <w:marRight w:val="0"/>
          <w:marTop w:val="0"/>
          <w:marBottom w:val="0"/>
          <w:divBdr>
            <w:top w:val="none" w:sz="0" w:space="0" w:color="auto"/>
            <w:left w:val="none" w:sz="0" w:space="0" w:color="auto"/>
            <w:bottom w:val="none" w:sz="0" w:space="0" w:color="auto"/>
            <w:right w:val="none" w:sz="0" w:space="0" w:color="auto"/>
          </w:divBdr>
        </w:div>
        <w:div w:id="1898084601">
          <w:marLeft w:val="0"/>
          <w:marRight w:val="0"/>
          <w:marTop w:val="60"/>
          <w:marBottom w:val="0"/>
          <w:divBdr>
            <w:top w:val="none" w:sz="0" w:space="0" w:color="auto"/>
            <w:left w:val="none" w:sz="0" w:space="0" w:color="auto"/>
            <w:bottom w:val="none" w:sz="0" w:space="0" w:color="auto"/>
            <w:right w:val="none" w:sz="0" w:space="0" w:color="auto"/>
          </w:divBdr>
        </w:div>
        <w:div w:id="692344122">
          <w:marLeft w:val="0"/>
          <w:marRight w:val="0"/>
          <w:marTop w:val="0"/>
          <w:marBottom w:val="0"/>
          <w:divBdr>
            <w:top w:val="none" w:sz="0" w:space="0" w:color="auto"/>
            <w:left w:val="none" w:sz="0" w:space="0" w:color="auto"/>
            <w:bottom w:val="none" w:sz="0" w:space="0" w:color="auto"/>
            <w:right w:val="none" w:sz="0" w:space="0" w:color="auto"/>
          </w:divBdr>
          <w:divsChild>
            <w:div w:id="218127256">
              <w:marLeft w:val="0"/>
              <w:marRight w:val="0"/>
              <w:marTop w:val="0"/>
              <w:marBottom w:val="0"/>
              <w:divBdr>
                <w:top w:val="none" w:sz="0" w:space="0" w:color="auto"/>
                <w:left w:val="none" w:sz="0" w:space="0" w:color="auto"/>
                <w:bottom w:val="none" w:sz="0" w:space="0" w:color="auto"/>
                <w:right w:val="none" w:sz="0" w:space="0" w:color="auto"/>
              </w:divBdr>
            </w:div>
            <w:div w:id="1968000437">
              <w:marLeft w:val="0"/>
              <w:marRight w:val="0"/>
              <w:marTop w:val="0"/>
              <w:marBottom w:val="0"/>
              <w:divBdr>
                <w:top w:val="none" w:sz="0" w:space="0" w:color="auto"/>
                <w:left w:val="none" w:sz="0" w:space="0" w:color="auto"/>
                <w:bottom w:val="none" w:sz="0" w:space="0" w:color="auto"/>
                <w:right w:val="none" w:sz="0" w:space="0" w:color="auto"/>
              </w:divBdr>
            </w:div>
          </w:divsChild>
        </w:div>
        <w:div w:id="1051265719">
          <w:marLeft w:val="0"/>
          <w:marRight w:val="0"/>
          <w:marTop w:val="0"/>
          <w:marBottom w:val="0"/>
          <w:divBdr>
            <w:top w:val="none" w:sz="0" w:space="0" w:color="auto"/>
            <w:left w:val="none" w:sz="0" w:space="0" w:color="auto"/>
            <w:bottom w:val="none" w:sz="0" w:space="0" w:color="auto"/>
            <w:right w:val="none" w:sz="0" w:space="0" w:color="auto"/>
          </w:divBdr>
        </w:div>
        <w:div w:id="305477725">
          <w:marLeft w:val="0"/>
          <w:marRight w:val="0"/>
          <w:marTop w:val="60"/>
          <w:marBottom w:val="0"/>
          <w:divBdr>
            <w:top w:val="none" w:sz="0" w:space="0" w:color="auto"/>
            <w:left w:val="none" w:sz="0" w:space="0" w:color="auto"/>
            <w:bottom w:val="none" w:sz="0" w:space="0" w:color="auto"/>
            <w:right w:val="none" w:sz="0" w:space="0" w:color="auto"/>
          </w:divBdr>
        </w:div>
        <w:div w:id="731197073">
          <w:marLeft w:val="0"/>
          <w:marRight w:val="0"/>
          <w:marTop w:val="0"/>
          <w:marBottom w:val="0"/>
          <w:divBdr>
            <w:top w:val="none" w:sz="0" w:space="0" w:color="auto"/>
            <w:left w:val="none" w:sz="0" w:space="0" w:color="auto"/>
            <w:bottom w:val="none" w:sz="0" w:space="0" w:color="auto"/>
            <w:right w:val="none" w:sz="0" w:space="0" w:color="auto"/>
          </w:divBdr>
          <w:divsChild>
            <w:div w:id="1818105759">
              <w:marLeft w:val="0"/>
              <w:marRight w:val="0"/>
              <w:marTop w:val="0"/>
              <w:marBottom w:val="0"/>
              <w:divBdr>
                <w:top w:val="none" w:sz="0" w:space="0" w:color="auto"/>
                <w:left w:val="none" w:sz="0" w:space="0" w:color="auto"/>
                <w:bottom w:val="none" w:sz="0" w:space="0" w:color="auto"/>
                <w:right w:val="none" w:sz="0" w:space="0" w:color="auto"/>
              </w:divBdr>
            </w:div>
            <w:div w:id="772213461">
              <w:marLeft w:val="0"/>
              <w:marRight w:val="0"/>
              <w:marTop w:val="0"/>
              <w:marBottom w:val="0"/>
              <w:divBdr>
                <w:top w:val="none" w:sz="0" w:space="0" w:color="auto"/>
                <w:left w:val="none" w:sz="0" w:space="0" w:color="auto"/>
                <w:bottom w:val="none" w:sz="0" w:space="0" w:color="auto"/>
                <w:right w:val="none" w:sz="0" w:space="0" w:color="auto"/>
              </w:divBdr>
            </w:div>
          </w:divsChild>
        </w:div>
        <w:div w:id="2040155462">
          <w:marLeft w:val="0"/>
          <w:marRight w:val="0"/>
          <w:marTop w:val="0"/>
          <w:marBottom w:val="0"/>
          <w:divBdr>
            <w:top w:val="none" w:sz="0" w:space="0" w:color="auto"/>
            <w:left w:val="none" w:sz="0" w:space="0" w:color="auto"/>
            <w:bottom w:val="none" w:sz="0" w:space="0" w:color="auto"/>
            <w:right w:val="none" w:sz="0" w:space="0" w:color="auto"/>
          </w:divBdr>
        </w:div>
        <w:div w:id="202332589">
          <w:marLeft w:val="0"/>
          <w:marRight w:val="0"/>
          <w:marTop w:val="60"/>
          <w:marBottom w:val="0"/>
          <w:divBdr>
            <w:top w:val="none" w:sz="0" w:space="0" w:color="auto"/>
            <w:left w:val="none" w:sz="0" w:space="0" w:color="auto"/>
            <w:bottom w:val="none" w:sz="0" w:space="0" w:color="auto"/>
            <w:right w:val="none" w:sz="0" w:space="0" w:color="auto"/>
          </w:divBdr>
          <w:divsChild>
            <w:div w:id="533930774">
              <w:marLeft w:val="0"/>
              <w:marRight w:val="360"/>
              <w:marTop w:val="0"/>
              <w:marBottom w:val="0"/>
              <w:divBdr>
                <w:top w:val="none" w:sz="0" w:space="0" w:color="auto"/>
                <w:left w:val="none" w:sz="0" w:space="0" w:color="auto"/>
                <w:bottom w:val="none" w:sz="0" w:space="0" w:color="auto"/>
                <w:right w:val="none" w:sz="0" w:space="0" w:color="auto"/>
              </w:divBdr>
            </w:div>
          </w:divsChild>
        </w:div>
        <w:div w:id="2016758534">
          <w:marLeft w:val="0"/>
          <w:marRight w:val="0"/>
          <w:marTop w:val="0"/>
          <w:marBottom w:val="0"/>
          <w:divBdr>
            <w:top w:val="none" w:sz="0" w:space="0" w:color="auto"/>
            <w:left w:val="none" w:sz="0" w:space="0" w:color="auto"/>
            <w:bottom w:val="none" w:sz="0" w:space="0" w:color="auto"/>
            <w:right w:val="none" w:sz="0" w:space="0" w:color="auto"/>
          </w:divBdr>
          <w:divsChild>
            <w:div w:id="1405837320">
              <w:marLeft w:val="0"/>
              <w:marRight w:val="0"/>
              <w:marTop w:val="0"/>
              <w:marBottom w:val="0"/>
              <w:divBdr>
                <w:top w:val="none" w:sz="0" w:space="0" w:color="auto"/>
                <w:left w:val="none" w:sz="0" w:space="0" w:color="auto"/>
                <w:bottom w:val="none" w:sz="0" w:space="0" w:color="auto"/>
                <w:right w:val="none" w:sz="0" w:space="0" w:color="auto"/>
              </w:divBdr>
            </w:div>
            <w:div w:id="1187907417">
              <w:marLeft w:val="0"/>
              <w:marRight w:val="0"/>
              <w:marTop w:val="0"/>
              <w:marBottom w:val="0"/>
              <w:divBdr>
                <w:top w:val="none" w:sz="0" w:space="0" w:color="auto"/>
                <w:left w:val="none" w:sz="0" w:space="0" w:color="auto"/>
                <w:bottom w:val="none" w:sz="0" w:space="0" w:color="auto"/>
                <w:right w:val="none" w:sz="0" w:space="0" w:color="auto"/>
              </w:divBdr>
            </w:div>
          </w:divsChild>
        </w:div>
        <w:div w:id="1373531758">
          <w:marLeft w:val="0"/>
          <w:marRight w:val="0"/>
          <w:marTop w:val="0"/>
          <w:marBottom w:val="0"/>
          <w:divBdr>
            <w:top w:val="none" w:sz="0" w:space="0" w:color="auto"/>
            <w:left w:val="none" w:sz="0" w:space="0" w:color="auto"/>
            <w:bottom w:val="none" w:sz="0" w:space="0" w:color="auto"/>
            <w:right w:val="none" w:sz="0" w:space="0" w:color="auto"/>
          </w:divBdr>
        </w:div>
        <w:div w:id="363989601">
          <w:marLeft w:val="0"/>
          <w:marRight w:val="0"/>
          <w:marTop w:val="60"/>
          <w:marBottom w:val="0"/>
          <w:divBdr>
            <w:top w:val="none" w:sz="0" w:space="0" w:color="auto"/>
            <w:left w:val="none" w:sz="0" w:space="0" w:color="auto"/>
            <w:bottom w:val="none" w:sz="0" w:space="0" w:color="auto"/>
            <w:right w:val="none" w:sz="0" w:space="0" w:color="auto"/>
          </w:divBdr>
        </w:div>
        <w:div w:id="571500726">
          <w:marLeft w:val="0"/>
          <w:marRight w:val="0"/>
          <w:marTop w:val="0"/>
          <w:marBottom w:val="0"/>
          <w:divBdr>
            <w:top w:val="none" w:sz="0" w:space="0" w:color="auto"/>
            <w:left w:val="none" w:sz="0" w:space="0" w:color="auto"/>
            <w:bottom w:val="none" w:sz="0" w:space="0" w:color="auto"/>
            <w:right w:val="none" w:sz="0" w:space="0" w:color="auto"/>
          </w:divBdr>
          <w:divsChild>
            <w:div w:id="1154106983">
              <w:marLeft w:val="0"/>
              <w:marRight w:val="0"/>
              <w:marTop w:val="0"/>
              <w:marBottom w:val="0"/>
              <w:divBdr>
                <w:top w:val="none" w:sz="0" w:space="0" w:color="auto"/>
                <w:left w:val="none" w:sz="0" w:space="0" w:color="auto"/>
                <w:bottom w:val="none" w:sz="0" w:space="0" w:color="auto"/>
                <w:right w:val="none" w:sz="0" w:space="0" w:color="auto"/>
              </w:divBdr>
            </w:div>
            <w:div w:id="2035187562">
              <w:marLeft w:val="0"/>
              <w:marRight w:val="0"/>
              <w:marTop w:val="0"/>
              <w:marBottom w:val="0"/>
              <w:divBdr>
                <w:top w:val="none" w:sz="0" w:space="0" w:color="auto"/>
                <w:left w:val="none" w:sz="0" w:space="0" w:color="auto"/>
                <w:bottom w:val="none" w:sz="0" w:space="0" w:color="auto"/>
                <w:right w:val="none" w:sz="0" w:space="0" w:color="auto"/>
              </w:divBdr>
            </w:div>
          </w:divsChild>
        </w:div>
        <w:div w:id="1161627571">
          <w:marLeft w:val="0"/>
          <w:marRight w:val="0"/>
          <w:marTop w:val="0"/>
          <w:marBottom w:val="0"/>
          <w:divBdr>
            <w:top w:val="none" w:sz="0" w:space="0" w:color="auto"/>
            <w:left w:val="none" w:sz="0" w:space="0" w:color="auto"/>
            <w:bottom w:val="none" w:sz="0" w:space="0" w:color="auto"/>
            <w:right w:val="none" w:sz="0" w:space="0" w:color="auto"/>
          </w:divBdr>
        </w:div>
        <w:div w:id="1702511514">
          <w:marLeft w:val="0"/>
          <w:marRight w:val="0"/>
          <w:marTop w:val="60"/>
          <w:marBottom w:val="0"/>
          <w:divBdr>
            <w:top w:val="none" w:sz="0" w:space="0" w:color="auto"/>
            <w:left w:val="none" w:sz="0" w:space="0" w:color="auto"/>
            <w:bottom w:val="none" w:sz="0" w:space="0" w:color="auto"/>
            <w:right w:val="none" w:sz="0" w:space="0" w:color="auto"/>
          </w:divBdr>
        </w:div>
        <w:div w:id="124468819">
          <w:marLeft w:val="0"/>
          <w:marRight w:val="0"/>
          <w:marTop w:val="0"/>
          <w:marBottom w:val="0"/>
          <w:divBdr>
            <w:top w:val="none" w:sz="0" w:space="0" w:color="auto"/>
            <w:left w:val="none" w:sz="0" w:space="0" w:color="auto"/>
            <w:bottom w:val="none" w:sz="0" w:space="0" w:color="auto"/>
            <w:right w:val="none" w:sz="0" w:space="0" w:color="auto"/>
          </w:divBdr>
          <w:divsChild>
            <w:div w:id="2027558315">
              <w:marLeft w:val="0"/>
              <w:marRight w:val="0"/>
              <w:marTop w:val="0"/>
              <w:marBottom w:val="0"/>
              <w:divBdr>
                <w:top w:val="none" w:sz="0" w:space="0" w:color="auto"/>
                <w:left w:val="none" w:sz="0" w:space="0" w:color="auto"/>
                <w:bottom w:val="none" w:sz="0" w:space="0" w:color="auto"/>
                <w:right w:val="none" w:sz="0" w:space="0" w:color="auto"/>
              </w:divBdr>
            </w:div>
            <w:div w:id="1526136979">
              <w:marLeft w:val="0"/>
              <w:marRight w:val="0"/>
              <w:marTop w:val="0"/>
              <w:marBottom w:val="0"/>
              <w:divBdr>
                <w:top w:val="none" w:sz="0" w:space="0" w:color="auto"/>
                <w:left w:val="none" w:sz="0" w:space="0" w:color="auto"/>
                <w:bottom w:val="none" w:sz="0" w:space="0" w:color="auto"/>
                <w:right w:val="none" w:sz="0" w:space="0" w:color="auto"/>
              </w:divBdr>
            </w:div>
          </w:divsChild>
        </w:div>
        <w:div w:id="149292641">
          <w:marLeft w:val="0"/>
          <w:marRight w:val="0"/>
          <w:marTop w:val="0"/>
          <w:marBottom w:val="0"/>
          <w:divBdr>
            <w:top w:val="none" w:sz="0" w:space="0" w:color="auto"/>
            <w:left w:val="none" w:sz="0" w:space="0" w:color="auto"/>
            <w:bottom w:val="none" w:sz="0" w:space="0" w:color="auto"/>
            <w:right w:val="none" w:sz="0" w:space="0" w:color="auto"/>
          </w:divBdr>
        </w:div>
        <w:div w:id="1173257235">
          <w:marLeft w:val="0"/>
          <w:marRight w:val="0"/>
          <w:marTop w:val="60"/>
          <w:marBottom w:val="0"/>
          <w:divBdr>
            <w:top w:val="none" w:sz="0" w:space="0" w:color="auto"/>
            <w:left w:val="none" w:sz="0" w:space="0" w:color="auto"/>
            <w:bottom w:val="none" w:sz="0" w:space="0" w:color="auto"/>
            <w:right w:val="none" w:sz="0" w:space="0" w:color="auto"/>
          </w:divBdr>
          <w:divsChild>
            <w:div w:id="1291665578">
              <w:marLeft w:val="0"/>
              <w:marRight w:val="360"/>
              <w:marTop w:val="0"/>
              <w:marBottom w:val="0"/>
              <w:divBdr>
                <w:top w:val="none" w:sz="0" w:space="0" w:color="auto"/>
                <w:left w:val="none" w:sz="0" w:space="0" w:color="auto"/>
                <w:bottom w:val="none" w:sz="0" w:space="0" w:color="auto"/>
                <w:right w:val="none" w:sz="0" w:space="0" w:color="auto"/>
              </w:divBdr>
            </w:div>
          </w:divsChild>
        </w:div>
        <w:div w:id="1255163367">
          <w:marLeft w:val="0"/>
          <w:marRight w:val="0"/>
          <w:marTop w:val="0"/>
          <w:marBottom w:val="0"/>
          <w:divBdr>
            <w:top w:val="none" w:sz="0" w:space="0" w:color="auto"/>
            <w:left w:val="none" w:sz="0" w:space="0" w:color="auto"/>
            <w:bottom w:val="none" w:sz="0" w:space="0" w:color="auto"/>
            <w:right w:val="none" w:sz="0" w:space="0" w:color="auto"/>
          </w:divBdr>
          <w:divsChild>
            <w:div w:id="153034347">
              <w:marLeft w:val="0"/>
              <w:marRight w:val="0"/>
              <w:marTop w:val="0"/>
              <w:marBottom w:val="0"/>
              <w:divBdr>
                <w:top w:val="none" w:sz="0" w:space="0" w:color="auto"/>
                <w:left w:val="none" w:sz="0" w:space="0" w:color="auto"/>
                <w:bottom w:val="none" w:sz="0" w:space="0" w:color="auto"/>
                <w:right w:val="none" w:sz="0" w:space="0" w:color="auto"/>
              </w:divBdr>
            </w:div>
            <w:div w:id="1878003174">
              <w:marLeft w:val="0"/>
              <w:marRight w:val="0"/>
              <w:marTop w:val="0"/>
              <w:marBottom w:val="0"/>
              <w:divBdr>
                <w:top w:val="none" w:sz="0" w:space="0" w:color="auto"/>
                <w:left w:val="none" w:sz="0" w:space="0" w:color="auto"/>
                <w:bottom w:val="none" w:sz="0" w:space="0" w:color="auto"/>
                <w:right w:val="none" w:sz="0" w:space="0" w:color="auto"/>
              </w:divBdr>
            </w:div>
          </w:divsChild>
        </w:div>
        <w:div w:id="1351757743">
          <w:marLeft w:val="0"/>
          <w:marRight w:val="0"/>
          <w:marTop w:val="0"/>
          <w:marBottom w:val="0"/>
          <w:divBdr>
            <w:top w:val="none" w:sz="0" w:space="0" w:color="auto"/>
            <w:left w:val="none" w:sz="0" w:space="0" w:color="auto"/>
            <w:bottom w:val="none" w:sz="0" w:space="0" w:color="auto"/>
            <w:right w:val="none" w:sz="0" w:space="0" w:color="auto"/>
          </w:divBdr>
        </w:div>
        <w:div w:id="726614734">
          <w:marLeft w:val="0"/>
          <w:marRight w:val="0"/>
          <w:marTop w:val="60"/>
          <w:marBottom w:val="0"/>
          <w:divBdr>
            <w:top w:val="none" w:sz="0" w:space="0" w:color="auto"/>
            <w:left w:val="none" w:sz="0" w:space="0" w:color="auto"/>
            <w:bottom w:val="none" w:sz="0" w:space="0" w:color="auto"/>
            <w:right w:val="none" w:sz="0" w:space="0" w:color="auto"/>
          </w:divBdr>
          <w:divsChild>
            <w:div w:id="631517028">
              <w:marLeft w:val="0"/>
              <w:marRight w:val="360"/>
              <w:marTop w:val="0"/>
              <w:marBottom w:val="0"/>
              <w:divBdr>
                <w:top w:val="none" w:sz="0" w:space="0" w:color="auto"/>
                <w:left w:val="none" w:sz="0" w:space="0" w:color="auto"/>
                <w:bottom w:val="none" w:sz="0" w:space="0" w:color="auto"/>
                <w:right w:val="none" w:sz="0" w:space="0" w:color="auto"/>
              </w:divBdr>
              <w:divsChild>
                <w:div w:id="1950432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88742">
          <w:marLeft w:val="0"/>
          <w:marRight w:val="0"/>
          <w:marTop w:val="0"/>
          <w:marBottom w:val="0"/>
          <w:divBdr>
            <w:top w:val="none" w:sz="0" w:space="0" w:color="auto"/>
            <w:left w:val="none" w:sz="0" w:space="0" w:color="auto"/>
            <w:bottom w:val="none" w:sz="0" w:space="0" w:color="auto"/>
            <w:right w:val="none" w:sz="0" w:space="0" w:color="auto"/>
          </w:divBdr>
          <w:divsChild>
            <w:div w:id="1830973044">
              <w:marLeft w:val="0"/>
              <w:marRight w:val="0"/>
              <w:marTop w:val="0"/>
              <w:marBottom w:val="0"/>
              <w:divBdr>
                <w:top w:val="none" w:sz="0" w:space="0" w:color="auto"/>
                <w:left w:val="none" w:sz="0" w:space="0" w:color="auto"/>
                <w:bottom w:val="none" w:sz="0" w:space="0" w:color="auto"/>
                <w:right w:val="none" w:sz="0" w:space="0" w:color="auto"/>
              </w:divBdr>
            </w:div>
            <w:div w:id="2142839877">
              <w:marLeft w:val="0"/>
              <w:marRight w:val="0"/>
              <w:marTop w:val="0"/>
              <w:marBottom w:val="0"/>
              <w:divBdr>
                <w:top w:val="none" w:sz="0" w:space="0" w:color="auto"/>
                <w:left w:val="none" w:sz="0" w:space="0" w:color="auto"/>
                <w:bottom w:val="none" w:sz="0" w:space="0" w:color="auto"/>
                <w:right w:val="none" w:sz="0" w:space="0" w:color="auto"/>
              </w:divBdr>
            </w:div>
          </w:divsChild>
        </w:div>
        <w:div w:id="1344865515">
          <w:marLeft w:val="0"/>
          <w:marRight w:val="0"/>
          <w:marTop w:val="0"/>
          <w:marBottom w:val="0"/>
          <w:divBdr>
            <w:top w:val="none" w:sz="0" w:space="0" w:color="auto"/>
            <w:left w:val="none" w:sz="0" w:space="0" w:color="auto"/>
            <w:bottom w:val="none" w:sz="0" w:space="0" w:color="auto"/>
            <w:right w:val="none" w:sz="0" w:space="0" w:color="auto"/>
          </w:divBdr>
        </w:div>
        <w:div w:id="612979999">
          <w:marLeft w:val="0"/>
          <w:marRight w:val="0"/>
          <w:marTop w:val="0"/>
          <w:marBottom w:val="0"/>
          <w:divBdr>
            <w:top w:val="none" w:sz="0" w:space="0" w:color="auto"/>
            <w:left w:val="none" w:sz="0" w:space="0" w:color="auto"/>
            <w:bottom w:val="none" w:sz="0" w:space="0" w:color="auto"/>
            <w:right w:val="none" w:sz="0" w:space="0" w:color="auto"/>
          </w:divBdr>
        </w:div>
        <w:div w:id="725496921">
          <w:marLeft w:val="0"/>
          <w:marRight w:val="0"/>
          <w:marTop w:val="60"/>
          <w:marBottom w:val="0"/>
          <w:divBdr>
            <w:top w:val="none" w:sz="0" w:space="0" w:color="auto"/>
            <w:left w:val="none" w:sz="0" w:space="0" w:color="auto"/>
            <w:bottom w:val="none" w:sz="0" w:space="0" w:color="auto"/>
            <w:right w:val="none" w:sz="0" w:space="0" w:color="auto"/>
          </w:divBdr>
        </w:div>
        <w:div w:id="1388263171">
          <w:marLeft w:val="0"/>
          <w:marRight w:val="0"/>
          <w:marTop w:val="0"/>
          <w:marBottom w:val="0"/>
          <w:divBdr>
            <w:top w:val="none" w:sz="0" w:space="0" w:color="auto"/>
            <w:left w:val="none" w:sz="0" w:space="0" w:color="auto"/>
            <w:bottom w:val="none" w:sz="0" w:space="0" w:color="auto"/>
            <w:right w:val="none" w:sz="0" w:space="0" w:color="auto"/>
          </w:divBdr>
          <w:divsChild>
            <w:div w:id="1260874939">
              <w:marLeft w:val="0"/>
              <w:marRight w:val="0"/>
              <w:marTop w:val="0"/>
              <w:marBottom w:val="0"/>
              <w:divBdr>
                <w:top w:val="none" w:sz="0" w:space="0" w:color="auto"/>
                <w:left w:val="none" w:sz="0" w:space="0" w:color="auto"/>
                <w:bottom w:val="none" w:sz="0" w:space="0" w:color="auto"/>
                <w:right w:val="none" w:sz="0" w:space="0" w:color="auto"/>
              </w:divBdr>
            </w:div>
            <w:div w:id="1471245802">
              <w:marLeft w:val="0"/>
              <w:marRight w:val="0"/>
              <w:marTop w:val="0"/>
              <w:marBottom w:val="0"/>
              <w:divBdr>
                <w:top w:val="none" w:sz="0" w:space="0" w:color="auto"/>
                <w:left w:val="none" w:sz="0" w:space="0" w:color="auto"/>
                <w:bottom w:val="none" w:sz="0" w:space="0" w:color="auto"/>
                <w:right w:val="none" w:sz="0" w:space="0" w:color="auto"/>
              </w:divBdr>
            </w:div>
          </w:divsChild>
        </w:div>
        <w:div w:id="40642783">
          <w:marLeft w:val="0"/>
          <w:marRight w:val="0"/>
          <w:marTop w:val="0"/>
          <w:marBottom w:val="0"/>
          <w:divBdr>
            <w:top w:val="none" w:sz="0" w:space="0" w:color="auto"/>
            <w:left w:val="none" w:sz="0" w:space="0" w:color="auto"/>
            <w:bottom w:val="none" w:sz="0" w:space="0" w:color="auto"/>
            <w:right w:val="none" w:sz="0" w:space="0" w:color="auto"/>
          </w:divBdr>
        </w:div>
        <w:div w:id="109667616">
          <w:marLeft w:val="0"/>
          <w:marRight w:val="0"/>
          <w:marTop w:val="60"/>
          <w:marBottom w:val="0"/>
          <w:divBdr>
            <w:top w:val="none" w:sz="0" w:space="0" w:color="auto"/>
            <w:left w:val="none" w:sz="0" w:space="0" w:color="auto"/>
            <w:bottom w:val="none" w:sz="0" w:space="0" w:color="auto"/>
            <w:right w:val="none" w:sz="0" w:space="0" w:color="auto"/>
          </w:divBdr>
        </w:div>
        <w:div w:id="941571127">
          <w:marLeft w:val="0"/>
          <w:marRight w:val="0"/>
          <w:marTop w:val="0"/>
          <w:marBottom w:val="0"/>
          <w:divBdr>
            <w:top w:val="none" w:sz="0" w:space="0" w:color="auto"/>
            <w:left w:val="none" w:sz="0" w:space="0" w:color="auto"/>
            <w:bottom w:val="none" w:sz="0" w:space="0" w:color="auto"/>
            <w:right w:val="none" w:sz="0" w:space="0" w:color="auto"/>
          </w:divBdr>
          <w:divsChild>
            <w:div w:id="820082619">
              <w:marLeft w:val="0"/>
              <w:marRight w:val="0"/>
              <w:marTop w:val="0"/>
              <w:marBottom w:val="0"/>
              <w:divBdr>
                <w:top w:val="none" w:sz="0" w:space="0" w:color="auto"/>
                <w:left w:val="none" w:sz="0" w:space="0" w:color="auto"/>
                <w:bottom w:val="none" w:sz="0" w:space="0" w:color="auto"/>
                <w:right w:val="none" w:sz="0" w:space="0" w:color="auto"/>
              </w:divBdr>
            </w:div>
            <w:div w:id="2096121876">
              <w:marLeft w:val="0"/>
              <w:marRight w:val="0"/>
              <w:marTop w:val="0"/>
              <w:marBottom w:val="0"/>
              <w:divBdr>
                <w:top w:val="none" w:sz="0" w:space="0" w:color="auto"/>
                <w:left w:val="none" w:sz="0" w:space="0" w:color="auto"/>
                <w:bottom w:val="none" w:sz="0" w:space="0" w:color="auto"/>
                <w:right w:val="none" w:sz="0" w:space="0" w:color="auto"/>
              </w:divBdr>
            </w:div>
          </w:divsChild>
        </w:div>
        <w:div w:id="843545792">
          <w:marLeft w:val="0"/>
          <w:marRight w:val="0"/>
          <w:marTop w:val="0"/>
          <w:marBottom w:val="0"/>
          <w:divBdr>
            <w:top w:val="none" w:sz="0" w:space="0" w:color="auto"/>
            <w:left w:val="none" w:sz="0" w:space="0" w:color="auto"/>
            <w:bottom w:val="none" w:sz="0" w:space="0" w:color="auto"/>
            <w:right w:val="none" w:sz="0" w:space="0" w:color="auto"/>
          </w:divBdr>
        </w:div>
        <w:div w:id="1900707029">
          <w:marLeft w:val="0"/>
          <w:marRight w:val="0"/>
          <w:marTop w:val="60"/>
          <w:marBottom w:val="0"/>
          <w:divBdr>
            <w:top w:val="none" w:sz="0" w:space="0" w:color="auto"/>
            <w:left w:val="none" w:sz="0" w:space="0" w:color="auto"/>
            <w:bottom w:val="none" w:sz="0" w:space="0" w:color="auto"/>
            <w:right w:val="none" w:sz="0" w:space="0" w:color="auto"/>
          </w:divBdr>
        </w:div>
        <w:div w:id="58793357">
          <w:marLeft w:val="0"/>
          <w:marRight w:val="0"/>
          <w:marTop w:val="0"/>
          <w:marBottom w:val="0"/>
          <w:divBdr>
            <w:top w:val="none" w:sz="0" w:space="0" w:color="auto"/>
            <w:left w:val="none" w:sz="0" w:space="0" w:color="auto"/>
            <w:bottom w:val="none" w:sz="0" w:space="0" w:color="auto"/>
            <w:right w:val="none" w:sz="0" w:space="0" w:color="auto"/>
          </w:divBdr>
          <w:divsChild>
            <w:div w:id="733700277">
              <w:marLeft w:val="0"/>
              <w:marRight w:val="0"/>
              <w:marTop w:val="0"/>
              <w:marBottom w:val="0"/>
              <w:divBdr>
                <w:top w:val="none" w:sz="0" w:space="0" w:color="auto"/>
                <w:left w:val="none" w:sz="0" w:space="0" w:color="auto"/>
                <w:bottom w:val="none" w:sz="0" w:space="0" w:color="auto"/>
                <w:right w:val="none" w:sz="0" w:space="0" w:color="auto"/>
              </w:divBdr>
            </w:div>
            <w:div w:id="365566811">
              <w:marLeft w:val="0"/>
              <w:marRight w:val="0"/>
              <w:marTop w:val="0"/>
              <w:marBottom w:val="0"/>
              <w:divBdr>
                <w:top w:val="none" w:sz="0" w:space="0" w:color="auto"/>
                <w:left w:val="none" w:sz="0" w:space="0" w:color="auto"/>
                <w:bottom w:val="none" w:sz="0" w:space="0" w:color="auto"/>
                <w:right w:val="none" w:sz="0" w:space="0" w:color="auto"/>
              </w:divBdr>
            </w:div>
          </w:divsChild>
        </w:div>
        <w:div w:id="963926174">
          <w:marLeft w:val="0"/>
          <w:marRight w:val="0"/>
          <w:marTop w:val="0"/>
          <w:marBottom w:val="0"/>
          <w:divBdr>
            <w:top w:val="none" w:sz="0" w:space="0" w:color="auto"/>
            <w:left w:val="none" w:sz="0" w:space="0" w:color="auto"/>
            <w:bottom w:val="none" w:sz="0" w:space="0" w:color="auto"/>
            <w:right w:val="none" w:sz="0" w:space="0" w:color="auto"/>
          </w:divBdr>
        </w:div>
        <w:div w:id="1319920127">
          <w:marLeft w:val="0"/>
          <w:marRight w:val="0"/>
          <w:marTop w:val="60"/>
          <w:marBottom w:val="0"/>
          <w:divBdr>
            <w:top w:val="none" w:sz="0" w:space="0" w:color="auto"/>
            <w:left w:val="none" w:sz="0" w:space="0" w:color="auto"/>
            <w:bottom w:val="none" w:sz="0" w:space="0" w:color="auto"/>
            <w:right w:val="none" w:sz="0" w:space="0" w:color="auto"/>
          </w:divBdr>
        </w:div>
        <w:div w:id="2086536591">
          <w:marLeft w:val="0"/>
          <w:marRight w:val="0"/>
          <w:marTop w:val="0"/>
          <w:marBottom w:val="0"/>
          <w:divBdr>
            <w:top w:val="none" w:sz="0" w:space="0" w:color="auto"/>
            <w:left w:val="none" w:sz="0" w:space="0" w:color="auto"/>
            <w:bottom w:val="none" w:sz="0" w:space="0" w:color="auto"/>
            <w:right w:val="none" w:sz="0" w:space="0" w:color="auto"/>
          </w:divBdr>
          <w:divsChild>
            <w:div w:id="715206373">
              <w:marLeft w:val="0"/>
              <w:marRight w:val="0"/>
              <w:marTop w:val="0"/>
              <w:marBottom w:val="0"/>
              <w:divBdr>
                <w:top w:val="none" w:sz="0" w:space="0" w:color="auto"/>
                <w:left w:val="none" w:sz="0" w:space="0" w:color="auto"/>
                <w:bottom w:val="none" w:sz="0" w:space="0" w:color="auto"/>
                <w:right w:val="none" w:sz="0" w:space="0" w:color="auto"/>
              </w:divBdr>
            </w:div>
            <w:div w:id="235212901">
              <w:marLeft w:val="0"/>
              <w:marRight w:val="0"/>
              <w:marTop w:val="0"/>
              <w:marBottom w:val="0"/>
              <w:divBdr>
                <w:top w:val="none" w:sz="0" w:space="0" w:color="auto"/>
                <w:left w:val="none" w:sz="0" w:space="0" w:color="auto"/>
                <w:bottom w:val="none" w:sz="0" w:space="0" w:color="auto"/>
                <w:right w:val="none" w:sz="0" w:space="0" w:color="auto"/>
              </w:divBdr>
            </w:div>
          </w:divsChild>
        </w:div>
        <w:div w:id="1001204794">
          <w:marLeft w:val="0"/>
          <w:marRight w:val="0"/>
          <w:marTop w:val="0"/>
          <w:marBottom w:val="0"/>
          <w:divBdr>
            <w:top w:val="none" w:sz="0" w:space="0" w:color="auto"/>
            <w:left w:val="none" w:sz="0" w:space="0" w:color="auto"/>
            <w:bottom w:val="none" w:sz="0" w:space="0" w:color="auto"/>
            <w:right w:val="none" w:sz="0" w:space="0" w:color="auto"/>
          </w:divBdr>
        </w:div>
        <w:div w:id="801465678">
          <w:marLeft w:val="0"/>
          <w:marRight w:val="0"/>
          <w:marTop w:val="60"/>
          <w:marBottom w:val="0"/>
          <w:divBdr>
            <w:top w:val="none" w:sz="0" w:space="0" w:color="auto"/>
            <w:left w:val="none" w:sz="0" w:space="0" w:color="auto"/>
            <w:bottom w:val="none" w:sz="0" w:space="0" w:color="auto"/>
            <w:right w:val="none" w:sz="0" w:space="0" w:color="auto"/>
          </w:divBdr>
        </w:div>
        <w:div w:id="1468086601">
          <w:marLeft w:val="0"/>
          <w:marRight w:val="0"/>
          <w:marTop w:val="0"/>
          <w:marBottom w:val="0"/>
          <w:divBdr>
            <w:top w:val="none" w:sz="0" w:space="0" w:color="auto"/>
            <w:left w:val="none" w:sz="0" w:space="0" w:color="auto"/>
            <w:bottom w:val="none" w:sz="0" w:space="0" w:color="auto"/>
            <w:right w:val="none" w:sz="0" w:space="0" w:color="auto"/>
          </w:divBdr>
          <w:divsChild>
            <w:div w:id="88813588">
              <w:marLeft w:val="0"/>
              <w:marRight w:val="0"/>
              <w:marTop w:val="0"/>
              <w:marBottom w:val="0"/>
              <w:divBdr>
                <w:top w:val="none" w:sz="0" w:space="0" w:color="auto"/>
                <w:left w:val="none" w:sz="0" w:space="0" w:color="auto"/>
                <w:bottom w:val="none" w:sz="0" w:space="0" w:color="auto"/>
                <w:right w:val="none" w:sz="0" w:space="0" w:color="auto"/>
              </w:divBdr>
            </w:div>
            <w:div w:id="36970727">
              <w:marLeft w:val="0"/>
              <w:marRight w:val="0"/>
              <w:marTop w:val="0"/>
              <w:marBottom w:val="0"/>
              <w:divBdr>
                <w:top w:val="none" w:sz="0" w:space="0" w:color="auto"/>
                <w:left w:val="none" w:sz="0" w:space="0" w:color="auto"/>
                <w:bottom w:val="none" w:sz="0" w:space="0" w:color="auto"/>
                <w:right w:val="none" w:sz="0" w:space="0" w:color="auto"/>
              </w:divBdr>
            </w:div>
          </w:divsChild>
        </w:div>
        <w:div w:id="1157107995">
          <w:marLeft w:val="0"/>
          <w:marRight w:val="0"/>
          <w:marTop w:val="0"/>
          <w:marBottom w:val="0"/>
          <w:divBdr>
            <w:top w:val="none" w:sz="0" w:space="0" w:color="auto"/>
            <w:left w:val="none" w:sz="0" w:space="0" w:color="auto"/>
            <w:bottom w:val="none" w:sz="0" w:space="0" w:color="auto"/>
            <w:right w:val="none" w:sz="0" w:space="0" w:color="auto"/>
          </w:divBdr>
        </w:div>
        <w:div w:id="885068235">
          <w:marLeft w:val="0"/>
          <w:marRight w:val="0"/>
          <w:marTop w:val="60"/>
          <w:marBottom w:val="0"/>
          <w:divBdr>
            <w:top w:val="none" w:sz="0" w:space="0" w:color="auto"/>
            <w:left w:val="none" w:sz="0" w:space="0" w:color="auto"/>
            <w:bottom w:val="none" w:sz="0" w:space="0" w:color="auto"/>
            <w:right w:val="none" w:sz="0" w:space="0" w:color="auto"/>
          </w:divBdr>
        </w:div>
        <w:div w:id="196041602">
          <w:marLeft w:val="0"/>
          <w:marRight w:val="0"/>
          <w:marTop w:val="0"/>
          <w:marBottom w:val="0"/>
          <w:divBdr>
            <w:top w:val="none" w:sz="0" w:space="0" w:color="auto"/>
            <w:left w:val="none" w:sz="0" w:space="0" w:color="auto"/>
            <w:bottom w:val="none" w:sz="0" w:space="0" w:color="auto"/>
            <w:right w:val="none" w:sz="0" w:space="0" w:color="auto"/>
          </w:divBdr>
          <w:divsChild>
            <w:div w:id="772894853">
              <w:marLeft w:val="0"/>
              <w:marRight w:val="0"/>
              <w:marTop w:val="0"/>
              <w:marBottom w:val="0"/>
              <w:divBdr>
                <w:top w:val="none" w:sz="0" w:space="0" w:color="auto"/>
                <w:left w:val="none" w:sz="0" w:space="0" w:color="auto"/>
                <w:bottom w:val="none" w:sz="0" w:space="0" w:color="auto"/>
                <w:right w:val="none" w:sz="0" w:space="0" w:color="auto"/>
              </w:divBdr>
            </w:div>
            <w:div w:id="1223057392">
              <w:marLeft w:val="0"/>
              <w:marRight w:val="0"/>
              <w:marTop w:val="0"/>
              <w:marBottom w:val="0"/>
              <w:divBdr>
                <w:top w:val="none" w:sz="0" w:space="0" w:color="auto"/>
                <w:left w:val="none" w:sz="0" w:space="0" w:color="auto"/>
                <w:bottom w:val="none" w:sz="0" w:space="0" w:color="auto"/>
                <w:right w:val="none" w:sz="0" w:space="0" w:color="auto"/>
              </w:divBdr>
            </w:div>
          </w:divsChild>
        </w:div>
        <w:div w:id="733352939">
          <w:marLeft w:val="0"/>
          <w:marRight w:val="0"/>
          <w:marTop w:val="0"/>
          <w:marBottom w:val="0"/>
          <w:divBdr>
            <w:top w:val="none" w:sz="0" w:space="0" w:color="auto"/>
            <w:left w:val="none" w:sz="0" w:space="0" w:color="auto"/>
            <w:bottom w:val="none" w:sz="0" w:space="0" w:color="auto"/>
            <w:right w:val="none" w:sz="0" w:space="0" w:color="auto"/>
          </w:divBdr>
        </w:div>
        <w:div w:id="889345537">
          <w:marLeft w:val="0"/>
          <w:marRight w:val="0"/>
          <w:marTop w:val="60"/>
          <w:marBottom w:val="0"/>
          <w:divBdr>
            <w:top w:val="none" w:sz="0" w:space="0" w:color="auto"/>
            <w:left w:val="none" w:sz="0" w:space="0" w:color="auto"/>
            <w:bottom w:val="none" w:sz="0" w:space="0" w:color="auto"/>
            <w:right w:val="none" w:sz="0" w:space="0" w:color="auto"/>
          </w:divBdr>
        </w:div>
        <w:div w:id="1009522191">
          <w:marLeft w:val="0"/>
          <w:marRight w:val="0"/>
          <w:marTop w:val="0"/>
          <w:marBottom w:val="0"/>
          <w:divBdr>
            <w:top w:val="none" w:sz="0" w:space="0" w:color="auto"/>
            <w:left w:val="none" w:sz="0" w:space="0" w:color="auto"/>
            <w:bottom w:val="none" w:sz="0" w:space="0" w:color="auto"/>
            <w:right w:val="none" w:sz="0" w:space="0" w:color="auto"/>
          </w:divBdr>
          <w:divsChild>
            <w:div w:id="361980374">
              <w:marLeft w:val="0"/>
              <w:marRight w:val="0"/>
              <w:marTop w:val="0"/>
              <w:marBottom w:val="0"/>
              <w:divBdr>
                <w:top w:val="none" w:sz="0" w:space="0" w:color="auto"/>
                <w:left w:val="none" w:sz="0" w:space="0" w:color="auto"/>
                <w:bottom w:val="none" w:sz="0" w:space="0" w:color="auto"/>
                <w:right w:val="none" w:sz="0" w:space="0" w:color="auto"/>
              </w:divBdr>
            </w:div>
            <w:div w:id="1806698855">
              <w:marLeft w:val="0"/>
              <w:marRight w:val="0"/>
              <w:marTop w:val="0"/>
              <w:marBottom w:val="0"/>
              <w:divBdr>
                <w:top w:val="none" w:sz="0" w:space="0" w:color="auto"/>
                <w:left w:val="none" w:sz="0" w:space="0" w:color="auto"/>
                <w:bottom w:val="none" w:sz="0" w:space="0" w:color="auto"/>
                <w:right w:val="none" w:sz="0" w:space="0" w:color="auto"/>
              </w:divBdr>
            </w:div>
          </w:divsChild>
        </w:div>
        <w:div w:id="1319923138">
          <w:marLeft w:val="0"/>
          <w:marRight w:val="0"/>
          <w:marTop w:val="0"/>
          <w:marBottom w:val="0"/>
          <w:divBdr>
            <w:top w:val="none" w:sz="0" w:space="0" w:color="auto"/>
            <w:left w:val="none" w:sz="0" w:space="0" w:color="auto"/>
            <w:bottom w:val="none" w:sz="0" w:space="0" w:color="auto"/>
            <w:right w:val="none" w:sz="0" w:space="0" w:color="auto"/>
          </w:divBdr>
        </w:div>
        <w:div w:id="1361853331">
          <w:marLeft w:val="0"/>
          <w:marRight w:val="0"/>
          <w:marTop w:val="60"/>
          <w:marBottom w:val="0"/>
          <w:divBdr>
            <w:top w:val="none" w:sz="0" w:space="0" w:color="auto"/>
            <w:left w:val="none" w:sz="0" w:space="0" w:color="auto"/>
            <w:bottom w:val="none" w:sz="0" w:space="0" w:color="auto"/>
            <w:right w:val="none" w:sz="0" w:space="0" w:color="auto"/>
          </w:divBdr>
        </w:div>
        <w:div w:id="1466117319">
          <w:marLeft w:val="0"/>
          <w:marRight w:val="0"/>
          <w:marTop w:val="0"/>
          <w:marBottom w:val="0"/>
          <w:divBdr>
            <w:top w:val="none" w:sz="0" w:space="0" w:color="auto"/>
            <w:left w:val="none" w:sz="0" w:space="0" w:color="auto"/>
            <w:bottom w:val="none" w:sz="0" w:space="0" w:color="auto"/>
            <w:right w:val="none" w:sz="0" w:space="0" w:color="auto"/>
          </w:divBdr>
          <w:divsChild>
            <w:div w:id="477456026">
              <w:marLeft w:val="0"/>
              <w:marRight w:val="0"/>
              <w:marTop w:val="0"/>
              <w:marBottom w:val="0"/>
              <w:divBdr>
                <w:top w:val="none" w:sz="0" w:space="0" w:color="auto"/>
                <w:left w:val="none" w:sz="0" w:space="0" w:color="auto"/>
                <w:bottom w:val="none" w:sz="0" w:space="0" w:color="auto"/>
                <w:right w:val="none" w:sz="0" w:space="0" w:color="auto"/>
              </w:divBdr>
            </w:div>
            <w:div w:id="908884279">
              <w:marLeft w:val="0"/>
              <w:marRight w:val="0"/>
              <w:marTop w:val="0"/>
              <w:marBottom w:val="0"/>
              <w:divBdr>
                <w:top w:val="none" w:sz="0" w:space="0" w:color="auto"/>
                <w:left w:val="none" w:sz="0" w:space="0" w:color="auto"/>
                <w:bottom w:val="none" w:sz="0" w:space="0" w:color="auto"/>
                <w:right w:val="none" w:sz="0" w:space="0" w:color="auto"/>
              </w:divBdr>
            </w:div>
          </w:divsChild>
        </w:div>
        <w:div w:id="1931500960">
          <w:marLeft w:val="0"/>
          <w:marRight w:val="0"/>
          <w:marTop w:val="0"/>
          <w:marBottom w:val="0"/>
          <w:divBdr>
            <w:top w:val="none" w:sz="0" w:space="0" w:color="auto"/>
            <w:left w:val="none" w:sz="0" w:space="0" w:color="auto"/>
            <w:bottom w:val="none" w:sz="0" w:space="0" w:color="auto"/>
            <w:right w:val="none" w:sz="0" w:space="0" w:color="auto"/>
          </w:divBdr>
        </w:div>
        <w:div w:id="696547565">
          <w:marLeft w:val="0"/>
          <w:marRight w:val="0"/>
          <w:marTop w:val="60"/>
          <w:marBottom w:val="0"/>
          <w:divBdr>
            <w:top w:val="none" w:sz="0" w:space="0" w:color="auto"/>
            <w:left w:val="none" w:sz="0" w:space="0" w:color="auto"/>
            <w:bottom w:val="none" w:sz="0" w:space="0" w:color="auto"/>
            <w:right w:val="none" w:sz="0" w:space="0" w:color="auto"/>
          </w:divBdr>
          <w:divsChild>
            <w:div w:id="1701127732">
              <w:marLeft w:val="0"/>
              <w:marRight w:val="360"/>
              <w:marTop w:val="0"/>
              <w:marBottom w:val="0"/>
              <w:divBdr>
                <w:top w:val="none" w:sz="0" w:space="0" w:color="auto"/>
                <w:left w:val="none" w:sz="0" w:space="0" w:color="auto"/>
                <w:bottom w:val="none" w:sz="0" w:space="0" w:color="auto"/>
                <w:right w:val="none" w:sz="0" w:space="0" w:color="auto"/>
              </w:divBdr>
            </w:div>
          </w:divsChild>
        </w:div>
        <w:div w:id="1177579260">
          <w:marLeft w:val="0"/>
          <w:marRight w:val="0"/>
          <w:marTop w:val="0"/>
          <w:marBottom w:val="0"/>
          <w:divBdr>
            <w:top w:val="none" w:sz="0" w:space="0" w:color="auto"/>
            <w:left w:val="none" w:sz="0" w:space="0" w:color="auto"/>
            <w:bottom w:val="none" w:sz="0" w:space="0" w:color="auto"/>
            <w:right w:val="none" w:sz="0" w:space="0" w:color="auto"/>
          </w:divBdr>
          <w:divsChild>
            <w:div w:id="985278442">
              <w:marLeft w:val="0"/>
              <w:marRight w:val="0"/>
              <w:marTop w:val="0"/>
              <w:marBottom w:val="0"/>
              <w:divBdr>
                <w:top w:val="none" w:sz="0" w:space="0" w:color="auto"/>
                <w:left w:val="none" w:sz="0" w:space="0" w:color="auto"/>
                <w:bottom w:val="none" w:sz="0" w:space="0" w:color="auto"/>
                <w:right w:val="none" w:sz="0" w:space="0" w:color="auto"/>
              </w:divBdr>
            </w:div>
            <w:div w:id="1540047048">
              <w:marLeft w:val="0"/>
              <w:marRight w:val="0"/>
              <w:marTop w:val="0"/>
              <w:marBottom w:val="0"/>
              <w:divBdr>
                <w:top w:val="none" w:sz="0" w:space="0" w:color="auto"/>
                <w:left w:val="none" w:sz="0" w:space="0" w:color="auto"/>
                <w:bottom w:val="none" w:sz="0" w:space="0" w:color="auto"/>
                <w:right w:val="none" w:sz="0" w:space="0" w:color="auto"/>
              </w:divBdr>
            </w:div>
          </w:divsChild>
        </w:div>
        <w:div w:id="1770471166">
          <w:marLeft w:val="0"/>
          <w:marRight w:val="0"/>
          <w:marTop w:val="0"/>
          <w:marBottom w:val="0"/>
          <w:divBdr>
            <w:top w:val="none" w:sz="0" w:space="0" w:color="auto"/>
            <w:left w:val="none" w:sz="0" w:space="0" w:color="auto"/>
            <w:bottom w:val="none" w:sz="0" w:space="0" w:color="auto"/>
            <w:right w:val="none" w:sz="0" w:space="0" w:color="auto"/>
          </w:divBdr>
        </w:div>
        <w:div w:id="859779250">
          <w:marLeft w:val="0"/>
          <w:marRight w:val="0"/>
          <w:marTop w:val="60"/>
          <w:marBottom w:val="0"/>
          <w:divBdr>
            <w:top w:val="none" w:sz="0" w:space="0" w:color="auto"/>
            <w:left w:val="none" w:sz="0" w:space="0" w:color="auto"/>
            <w:bottom w:val="none" w:sz="0" w:space="0" w:color="auto"/>
            <w:right w:val="none" w:sz="0" w:space="0" w:color="auto"/>
          </w:divBdr>
        </w:div>
        <w:div w:id="1911961986">
          <w:marLeft w:val="0"/>
          <w:marRight w:val="0"/>
          <w:marTop w:val="0"/>
          <w:marBottom w:val="0"/>
          <w:divBdr>
            <w:top w:val="none" w:sz="0" w:space="0" w:color="auto"/>
            <w:left w:val="none" w:sz="0" w:space="0" w:color="auto"/>
            <w:bottom w:val="none" w:sz="0" w:space="0" w:color="auto"/>
            <w:right w:val="none" w:sz="0" w:space="0" w:color="auto"/>
          </w:divBdr>
          <w:divsChild>
            <w:div w:id="1069422700">
              <w:marLeft w:val="0"/>
              <w:marRight w:val="0"/>
              <w:marTop w:val="0"/>
              <w:marBottom w:val="0"/>
              <w:divBdr>
                <w:top w:val="none" w:sz="0" w:space="0" w:color="auto"/>
                <w:left w:val="none" w:sz="0" w:space="0" w:color="auto"/>
                <w:bottom w:val="none" w:sz="0" w:space="0" w:color="auto"/>
                <w:right w:val="none" w:sz="0" w:space="0" w:color="auto"/>
              </w:divBdr>
            </w:div>
            <w:div w:id="81535198">
              <w:marLeft w:val="0"/>
              <w:marRight w:val="0"/>
              <w:marTop w:val="0"/>
              <w:marBottom w:val="0"/>
              <w:divBdr>
                <w:top w:val="none" w:sz="0" w:space="0" w:color="auto"/>
                <w:left w:val="none" w:sz="0" w:space="0" w:color="auto"/>
                <w:bottom w:val="none" w:sz="0" w:space="0" w:color="auto"/>
                <w:right w:val="none" w:sz="0" w:space="0" w:color="auto"/>
              </w:divBdr>
            </w:div>
          </w:divsChild>
        </w:div>
        <w:div w:id="1243489022">
          <w:marLeft w:val="0"/>
          <w:marRight w:val="0"/>
          <w:marTop w:val="0"/>
          <w:marBottom w:val="0"/>
          <w:divBdr>
            <w:top w:val="none" w:sz="0" w:space="0" w:color="auto"/>
            <w:left w:val="none" w:sz="0" w:space="0" w:color="auto"/>
            <w:bottom w:val="none" w:sz="0" w:space="0" w:color="auto"/>
            <w:right w:val="none" w:sz="0" w:space="0" w:color="auto"/>
          </w:divBdr>
        </w:div>
        <w:div w:id="1900096355">
          <w:marLeft w:val="0"/>
          <w:marRight w:val="0"/>
          <w:marTop w:val="60"/>
          <w:marBottom w:val="0"/>
          <w:divBdr>
            <w:top w:val="none" w:sz="0" w:space="0" w:color="auto"/>
            <w:left w:val="none" w:sz="0" w:space="0" w:color="auto"/>
            <w:bottom w:val="none" w:sz="0" w:space="0" w:color="auto"/>
            <w:right w:val="none" w:sz="0" w:space="0" w:color="auto"/>
          </w:divBdr>
        </w:div>
        <w:div w:id="846599851">
          <w:marLeft w:val="0"/>
          <w:marRight w:val="0"/>
          <w:marTop w:val="0"/>
          <w:marBottom w:val="0"/>
          <w:divBdr>
            <w:top w:val="none" w:sz="0" w:space="0" w:color="auto"/>
            <w:left w:val="none" w:sz="0" w:space="0" w:color="auto"/>
            <w:bottom w:val="none" w:sz="0" w:space="0" w:color="auto"/>
            <w:right w:val="none" w:sz="0" w:space="0" w:color="auto"/>
          </w:divBdr>
          <w:divsChild>
            <w:div w:id="2023511774">
              <w:marLeft w:val="0"/>
              <w:marRight w:val="0"/>
              <w:marTop w:val="0"/>
              <w:marBottom w:val="0"/>
              <w:divBdr>
                <w:top w:val="none" w:sz="0" w:space="0" w:color="auto"/>
                <w:left w:val="none" w:sz="0" w:space="0" w:color="auto"/>
                <w:bottom w:val="none" w:sz="0" w:space="0" w:color="auto"/>
                <w:right w:val="none" w:sz="0" w:space="0" w:color="auto"/>
              </w:divBdr>
            </w:div>
            <w:div w:id="662901829">
              <w:marLeft w:val="0"/>
              <w:marRight w:val="0"/>
              <w:marTop w:val="0"/>
              <w:marBottom w:val="0"/>
              <w:divBdr>
                <w:top w:val="none" w:sz="0" w:space="0" w:color="auto"/>
                <w:left w:val="none" w:sz="0" w:space="0" w:color="auto"/>
                <w:bottom w:val="none" w:sz="0" w:space="0" w:color="auto"/>
                <w:right w:val="none" w:sz="0" w:space="0" w:color="auto"/>
              </w:divBdr>
            </w:div>
          </w:divsChild>
        </w:div>
        <w:div w:id="528685576">
          <w:marLeft w:val="0"/>
          <w:marRight w:val="0"/>
          <w:marTop w:val="0"/>
          <w:marBottom w:val="0"/>
          <w:divBdr>
            <w:top w:val="none" w:sz="0" w:space="0" w:color="auto"/>
            <w:left w:val="none" w:sz="0" w:space="0" w:color="auto"/>
            <w:bottom w:val="none" w:sz="0" w:space="0" w:color="auto"/>
            <w:right w:val="none" w:sz="0" w:space="0" w:color="auto"/>
          </w:divBdr>
        </w:div>
        <w:div w:id="556287115">
          <w:marLeft w:val="0"/>
          <w:marRight w:val="0"/>
          <w:marTop w:val="60"/>
          <w:marBottom w:val="0"/>
          <w:divBdr>
            <w:top w:val="none" w:sz="0" w:space="0" w:color="auto"/>
            <w:left w:val="none" w:sz="0" w:space="0" w:color="auto"/>
            <w:bottom w:val="none" w:sz="0" w:space="0" w:color="auto"/>
            <w:right w:val="none" w:sz="0" w:space="0" w:color="auto"/>
          </w:divBdr>
          <w:divsChild>
            <w:div w:id="1065760389">
              <w:marLeft w:val="0"/>
              <w:marRight w:val="360"/>
              <w:marTop w:val="0"/>
              <w:marBottom w:val="0"/>
              <w:divBdr>
                <w:top w:val="none" w:sz="0" w:space="0" w:color="auto"/>
                <w:left w:val="none" w:sz="0" w:space="0" w:color="auto"/>
                <w:bottom w:val="none" w:sz="0" w:space="0" w:color="auto"/>
                <w:right w:val="none" w:sz="0" w:space="0" w:color="auto"/>
              </w:divBdr>
            </w:div>
          </w:divsChild>
        </w:div>
        <w:div w:id="1021784299">
          <w:marLeft w:val="0"/>
          <w:marRight w:val="0"/>
          <w:marTop w:val="0"/>
          <w:marBottom w:val="0"/>
          <w:divBdr>
            <w:top w:val="none" w:sz="0" w:space="0" w:color="auto"/>
            <w:left w:val="none" w:sz="0" w:space="0" w:color="auto"/>
            <w:bottom w:val="none" w:sz="0" w:space="0" w:color="auto"/>
            <w:right w:val="none" w:sz="0" w:space="0" w:color="auto"/>
          </w:divBdr>
          <w:divsChild>
            <w:div w:id="517618467">
              <w:marLeft w:val="0"/>
              <w:marRight w:val="0"/>
              <w:marTop w:val="0"/>
              <w:marBottom w:val="0"/>
              <w:divBdr>
                <w:top w:val="none" w:sz="0" w:space="0" w:color="auto"/>
                <w:left w:val="none" w:sz="0" w:space="0" w:color="auto"/>
                <w:bottom w:val="none" w:sz="0" w:space="0" w:color="auto"/>
                <w:right w:val="none" w:sz="0" w:space="0" w:color="auto"/>
              </w:divBdr>
            </w:div>
            <w:div w:id="1439133999">
              <w:marLeft w:val="0"/>
              <w:marRight w:val="0"/>
              <w:marTop w:val="0"/>
              <w:marBottom w:val="0"/>
              <w:divBdr>
                <w:top w:val="none" w:sz="0" w:space="0" w:color="auto"/>
                <w:left w:val="none" w:sz="0" w:space="0" w:color="auto"/>
                <w:bottom w:val="none" w:sz="0" w:space="0" w:color="auto"/>
                <w:right w:val="none" w:sz="0" w:space="0" w:color="auto"/>
              </w:divBdr>
            </w:div>
          </w:divsChild>
        </w:div>
        <w:div w:id="933898661">
          <w:marLeft w:val="0"/>
          <w:marRight w:val="0"/>
          <w:marTop w:val="0"/>
          <w:marBottom w:val="0"/>
          <w:divBdr>
            <w:top w:val="none" w:sz="0" w:space="0" w:color="auto"/>
            <w:left w:val="none" w:sz="0" w:space="0" w:color="auto"/>
            <w:bottom w:val="none" w:sz="0" w:space="0" w:color="auto"/>
            <w:right w:val="none" w:sz="0" w:space="0" w:color="auto"/>
          </w:divBdr>
        </w:div>
        <w:div w:id="808671737">
          <w:marLeft w:val="0"/>
          <w:marRight w:val="0"/>
          <w:marTop w:val="60"/>
          <w:marBottom w:val="0"/>
          <w:divBdr>
            <w:top w:val="none" w:sz="0" w:space="0" w:color="auto"/>
            <w:left w:val="none" w:sz="0" w:space="0" w:color="auto"/>
            <w:bottom w:val="none" w:sz="0" w:space="0" w:color="auto"/>
            <w:right w:val="none" w:sz="0" w:space="0" w:color="auto"/>
          </w:divBdr>
          <w:divsChild>
            <w:div w:id="1112284994">
              <w:marLeft w:val="0"/>
              <w:marRight w:val="360"/>
              <w:marTop w:val="0"/>
              <w:marBottom w:val="0"/>
              <w:divBdr>
                <w:top w:val="none" w:sz="0" w:space="0" w:color="auto"/>
                <w:left w:val="none" w:sz="0" w:space="0" w:color="auto"/>
                <w:bottom w:val="none" w:sz="0" w:space="0" w:color="auto"/>
                <w:right w:val="none" w:sz="0" w:space="0" w:color="auto"/>
              </w:divBdr>
            </w:div>
          </w:divsChild>
        </w:div>
        <w:div w:id="1854145364">
          <w:marLeft w:val="0"/>
          <w:marRight w:val="0"/>
          <w:marTop w:val="0"/>
          <w:marBottom w:val="0"/>
          <w:divBdr>
            <w:top w:val="none" w:sz="0" w:space="0" w:color="auto"/>
            <w:left w:val="none" w:sz="0" w:space="0" w:color="auto"/>
            <w:bottom w:val="none" w:sz="0" w:space="0" w:color="auto"/>
            <w:right w:val="none" w:sz="0" w:space="0" w:color="auto"/>
          </w:divBdr>
          <w:divsChild>
            <w:div w:id="1097099266">
              <w:marLeft w:val="0"/>
              <w:marRight w:val="0"/>
              <w:marTop w:val="0"/>
              <w:marBottom w:val="0"/>
              <w:divBdr>
                <w:top w:val="none" w:sz="0" w:space="0" w:color="auto"/>
                <w:left w:val="none" w:sz="0" w:space="0" w:color="auto"/>
                <w:bottom w:val="none" w:sz="0" w:space="0" w:color="auto"/>
                <w:right w:val="none" w:sz="0" w:space="0" w:color="auto"/>
              </w:divBdr>
            </w:div>
            <w:div w:id="698630165">
              <w:marLeft w:val="0"/>
              <w:marRight w:val="0"/>
              <w:marTop w:val="0"/>
              <w:marBottom w:val="0"/>
              <w:divBdr>
                <w:top w:val="none" w:sz="0" w:space="0" w:color="auto"/>
                <w:left w:val="none" w:sz="0" w:space="0" w:color="auto"/>
                <w:bottom w:val="none" w:sz="0" w:space="0" w:color="auto"/>
                <w:right w:val="none" w:sz="0" w:space="0" w:color="auto"/>
              </w:divBdr>
            </w:div>
          </w:divsChild>
        </w:div>
        <w:div w:id="1032000440">
          <w:marLeft w:val="0"/>
          <w:marRight w:val="0"/>
          <w:marTop w:val="0"/>
          <w:marBottom w:val="0"/>
          <w:divBdr>
            <w:top w:val="none" w:sz="0" w:space="0" w:color="auto"/>
            <w:left w:val="none" w:sz="0" w:space="0" w:color="auto"/>
            <w:bottom w:val="none" w:sz="0" w:space="0" w:color="auto"/>
            <w:right w:val="none" w:sz="0" w:space="0" w:color="auto"/>
          </w:divBdr>
        </w:div>
        <w:div w:id="258219256">
          <w:marLeft w:val="0"/>
          <w:marRight w:val="0"/>
          <w:marTop w:val="60"/>
          <w:marBottom w:val="0"/>
          <w:divBdr>
            <w:top w:val="none" w:sz="0" w:space="0" w:color="auto"/>
            <w:left w:val="none" w:sz="0" w:space="0" w:color="auto"/>
            <w:bottom w:val="none" w:sz="0" w:space="0" w:color="auto"/>
            <w:right w:val="none" w:sz="0" w:space="0" w:color="auto"/>
          </w:divBdr>
        </w:div>
        <w:div w:id="210967718">
          <w:marLeft w:val="0"/>
          <w:marRight w:val="0"/>
          <w:marTop w:val="0"/>
          <w:marBottom w:val="0"/>
          <w:divBdr>
            <w:top w:val="none" w:sz="0" w:space="0" w:color="auto"/>
            <w:left w:val="none" w:sz="0" w:space="0" w:color="auto"/>
            <w:bottom w:val="none" w:sz="0" w:space="0" w:color="auto"/>
            <w:right w:val="none" w:sz="0" w:space="0" w:color="auto"/>
          </w:divBdr>
          <w:divsChild>
            <w:div w:id="1788114635">
              <w:marLeft w:val="0"/>
              <w:marRight w:val="0"/>
              <w:marTop w:val="0"/>
              <w:marBottom w:val="0"/>
              <w:divBdr>
                <w:top w:val="none" w:sz="0" w:space="0" w:color="auto"/>
                <w:left w:val="none" w:sz="0" w:space="0" w:color="auto"/>
                <w:bottom w:val="none" w:sz="0" w:space="0" w:color="auto"/>
                <w:right w:val="none" w:sz="0" w:space="0" w:color="auto"/>
              </w:divBdr>
            </w:div>
            <w:div w:id="127555677">
              <w:marLeft w:val="0"/>
              <w:marRight w:val="0"/>
              <w:marTop w:val="0"/>
              <w:marBottom w:val="0"/>
              <w:divBdr>
                <w:top w:val="none" w:sz="0" w:space="0" w:color="auto"/>
                <w:left w:val="none" w:sz="0" w:space="0" w:color="auto"/>
                <w:bottom w:val="none" w:sz="0" w:space="0" w:color="auto"/>
                <w:right w:val="none" w:sz="0" w:space="0" w:color="auto"/>
              </w:divBdr>
            </w:div>
          </w:divsChild>
        </w:div>
        <w:div w:id="321128170">
          <w:marLeft w:val="0"/>
          <w:marRight w:val="0"/>
          <w:marTop w:val="0"/>
          <w:marBottom w:val="0"/>
          <w:divBdr>
            <w:top w:val="none" w:sz="0" w:space="0" w:color="auto"/>
            <w:left w:val="none" w:sz="0" w:space="0" w:color="auto"/>
            <w:bottom w:val="none" w:sz="0" w:space="0" w:color="auto"/>
            <w:right w:val="none" w:sz="0" w:space="0" w:color="auto"/>
          </w:divBdr>
        </w:div>
        <w:div w:id="921180899">
          <w:marLeft w:val="0"/>
          <w:marRight w:val="0"/>
          <w:marTop w:val="60"/>
          <w:marBottom w:val="0"/>
          <w:divBdr>
            <w:top w:val="none" w:sz="0" w:space="0" w:color="auto"/>
            <w:left w:val="none" w:sz="0" w:space="0" w:color="auto"/>
            <w:bottom w:val="none" w:sz="0" w:space="0" w:color="auto"/>
            <w:right w:val="none" w:sz="0" w:space="0" w:color="auto"/>
          </w:divBdr>
        </w:div>
        <w:div w:id="634484050">
          <w:marLeft w:val="0"/>
          <w:marRight w:val="0"/>
          <w:marTop w:val="0"/>
          <w:marBottom w:val="0"/>
          <w:divBdr>
            <w:top w:val="none" w:sz="0" w:space="0" w:color="auto"/>
            <w:left w:val="none" w:sz="0" w:space="0" w:color="auto"/>
            <w:bottom w:val="none" w:sz="0" w:space="0" w:color="auto"/>
            <w:right w:val="none" w:sz="0" w:space="0" w:color="auto"/>
          </w:divBdr>
          <w:divsChild>
            <w:div w:id="383985344">
              <w:marLeft w:val="0"/>
              <w:marRight w:val="0"/>
              <w:marTop w:val="0"/>
              <w:marBottom w:val="0"/>
              <w:divBdr>
                <w:top w:val="none" w:sz="0" w:space="0" w:color="auto"/>
                <w:left w:val="none" w:sz="0" w:space="0" w:color="auto"/>
                <w:bottom w:val="none" w:sz="0" w:space="0" w:color="auto"/>
                <w:right w:val="none" w:sz="0" w:space="0" w:color="auto"/>
              </w:divBdr>
            </w:div>
            <w:div w:id="353270834">
              <w:marLeft w:val="0"/>
              <w:marRight w:val="0"/>
              <w:marTop w:val="0"/>
              <w:marBottom w:val="0"/>
              <w:divBdr>
                <w:top w:val="none" w:sz="0" w:space="0" w:color="auto"/>
                <w:left w:val="none" w:sz="0" w:space="0" w:color="auto"/>
                <w:bottom w:val="none" w:sz="0" w:space="0" w:color="auto"/>
                <w:right w:val="none" w:sz="0" w:space="0" w:color="auto"/>
              </w:divBdr>
            </w:div>
          </w:divsChild>
        </w:div>
        <w:div w:id="2116712420">
          <w:marLeft w:val="0"/>
          <w:marRight w:val="0"/>
          <w:marTop w:val="0"/>
          <w:marBottom w:val="0"/>
          <w:divBdr>
            <w:top w:val="none" w:sz="0" w:space="0" w:color="auto"/>
            <w:left w:val="none" w:sz="0" w:space="0" w:color="auto"/>
            <w:bottom w:val="none" w:sz="0" w:space="0" w:color="auto"/>
            <w:right w:val="none" w:sz="0" w:space="0" w:color="auto"/>
          </w:divBdr>
        </w:div>
        <w:div w:id="56635507">
          <w:marLeft w:val="0"/>
          <w:marRight w:val="0"/>
          <w:marTop w:val="60"/>
          <w:marBottom w:val="0"/>
          <w:divBdr>
            <w:top w:val="none" w:sz="0" w:space="0" w:color="auto"/>
            <w:left w:val="none" w:sz="0" w:space="0" w:color="auto"/>
            <w:bottom w:val="none" w:sz="0" w:space="0" w:color="auto"/>
            <w:right w:val="none" w:sz="0" w:space="0" w:color="auto"/>
          </w:divBdr>
        </w:div>
        <w:div w:id="1479570786">
          <w:marLeft w:val="0"/>
          <w:marRight w:val="0"/>
          <w:marTop w:val="0"/>
          <w:marBottom w:val="0"/>
          <w:divBdr>
            <w:top w:val="none" w:sz="0" w:space="0" w:color="auto"/>
            <w:left w:val="none" w:sz="0" w:space="0" w:color="auto"/>
            <w:bottom w:val="none" w:sz="0" w:space="0" w:color="auto"/>
            <w:right w:val="none" w:sz="0" w:space="0" w:color="auto"/>
          </w:divBdr>
          <w:divsChild>
            <w:div w:id="843278666">
              <w:marLeft w:val="0"/>
              <w:marRight w:val="0"/>
              <w:marTop w:val="0"/>
              <w:marBottom w:val="0"/>
              <w:divBdr>
                <w:top w:val="none" w:sz="0" w:space="0" w:color="auto"/>
                <w:left w:val="none" w:sz="0" w:space="0" w:color="auto"/>
                <w:bottom w:val="none" w:sz="0" w:space="0" w:color="auto"/>
                <w:right w:val="none" w:sz="0" w:space="0" w:color="auto"/>
              </w:divBdr>
            </w:div>
            <w:div w:id="1418559092">
              <w:marLeft w:val="0"/>
              <w:marRight w:val="0"/>
              <w:marTop w:val="0"/>
              <w:marBottom w:val="0"/>
              <w:divBdr>
                <w:top w:val="none" w:sz="0" w:space="0" w:color="auto"/>
                <w:left w:val="none" w:sz="0" w:space="0" w:color="auto"/>
                <w:bottom w:val="none" w:sz="0" w:space="0" w:color="auto"/>
                <w:right w:val="none" w:sz="0" w:space="0" w:color="auto"/>
              </w:divBdr>
            </w:div>
          </w:divsChild>
        </w:div>
        <w:div w:id="1792897537">
          <w:marLeft w:val="0"/>
          <w:marRight w:val="0"/>
          <w:marTop w:val="0"/>
          <w:marBottom w:val="0"/>
          <w:divBdr>
            <w:top w:val="none" w:sz="0" w:space="0" w:color="auto"/>
            <w:left w:val="none" w:sz="0" w:space="0" w:color="auto"/>
            <w:bottom w:val="none" w:sz="0" w:space="0" w:color="auto"/>
            <w:right w:val="none" w:sz="0" w:space="0" w:color="auto"/>
          </w:divBdr>
        </w:div>
        <w:div w:id="1099182699">
          <w:marLeft w:val="0"/>
          <w:marRight w:val="0"/>
          <w:marTop w:val="60"/>
          <w:marBottom w:val="0"/>
          <w:divBdr>
            <w:top w:val="none" w:sz="0" w:space="0" w:color="auto"/>
            <w:left w:val="none" w:sz="0" w:space="0" w:color="auto"/>
            <w:bottom w:val="none" w:sz="0" w:space="0" w:color="auto"/>
            <w:right w:val="none" w:sz="0" w:space="0" w:color="auto"/>
          </w:divBdr>
        </w:div>
        <w:div w:id="1750038961">
          <w:marLeft w:val="0"/>
          <w:marRight w:val="0"/>
          <w:marTop w:val="0"/>
          <w:marBottom w:val="0"/>
          <w:divBdr>
            <w:top w:val="none" w:sz="0" w:space="0" w:color="auto"/>
            <w:left w:val="none" w:sz="0" w:space="0" w:color="auto"/>
            <w:bottom w:val="none" w:sz="0" w:space="0" w:color="auto"/>
            <w:right w:val="none" w:sz="0" w:space="0" w:color="auto"/>
          </w:divBdr>
          <w:divsChild>
            <w:div w:id="1412435768">
              <w:marLeft w:val="0"/>
              <w:marRight w:val="0"/>
              <w:marTop w:val="0"/>
              <w:marBottom w:val="0"/>
              <w:divBdr>
                <w:top w:val="none" w:sz="0" w:space="0" w:color="auto"/>
                <w:left w:val="none" w:sz="0" w:space="0" w:color="auto"/>
                <w:bottom w:val="none" w:sz="0" w:space="0" w:color="auto"/>
                <w:right w:val="none" w:sz="0" w:space="0" w:color="auto"/>
              </w:divBdr>
            </w:div>
            <w:div w:id="1867063671">
              <w:marLeft w:val="0"/>
              <w:marRight w:val="0"/>
              <w:marTop w:val="0"/>
              <w:marBottom w:val="0"/>
              <w:divBdr>
                <w:top w:val="none" w:sz="0" w:space="0" w:color="auto"/>
                <w:left w:val="none" w:sz="0" w:space="0" w:color="auto"/>
                <w:bottom w:val="none" w:sz="0" w:space="0" w:color="auto"/>
                <w:right w:val="none" w:sz="0" w:space="0" w:color="auto"/>
              </w:divBdr>
            </w:div>
          </w:divsChild>
        </w:div>
        <w:div w:id="972249534">
          <w:marLeft w:val="0"/>
          <w:marRight w:val="0"/>
          <w:marTop w:val="0"/>
          <w:marBottom w:val="0"/>
          <w:divBdr>
            <w:top w:val="none" w:sz="0" w:space="0" w:color="auto"/>
            <w:left w:val="none" w:sz="0" w:space="0" w:color="auto"/>
            <w:bottom w:val="none" w:sz="0" w:space="0" w:color="auto"/>
            <w:right w:val="none" w:sz="0" w:space="0" w:color="auto"/>
          </w:divBdr>
        </w:div>
        <w:div w:id="749011474">
          <w:marLeft w:val="0"/>
          <w:marRight w:val="0"/>
          <w:marTop w:val="60"/>
          <w:marBottom w:val="0"/>
          <w:divBdr>
            <w:top w:val="none" w:sz="0" w:space="0" w:color="auto"/>
            <w:left w:val="none" w:sz="0" w:space="0" w:color="auto"/>
            <w:bottom w:val="none" w:sz="0" w:space="0" w:color="auto"/>
            <w:right w:val="none" w:sz="0" w:space="0" w:color="auto"/>
          </w:divBdr>
          <w:divsChild>
            <w:div w:id="1270235715">
              <w:marLeft w:val="0"/>
              <w:marRight w:val="360"/>
              <w:marTop w:val="0"/>
              <w:marBottom w:val="0"/>
              <w:divBdr>
                <w:top w:val="none" w:sz="0" w:space="0" w:color="auto"/>
                <w:left w:val="none" w:sz="0" w:space="0" w:color="auto"/>
                <w:bottom w:val="none" w:sz="0" w:space="0" w:color="auto"/>
                <w:right w:val="none" w:sz="0" w:space="0" w:color="auto"/>
              </w:divBdr>
              <w:divsChild>
                <w:div w:id="173350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163571">
          <w:marLeft w:val="0"/>
          <w:marRight w:val="0"/>
          <w:marTop w:val="0"/>
          <w:marBottom w:val="0"/>
          <w:divBdr>
            <w:top w:val="none" w:sz="0" w:space="0" w:color="auto"/>
            <w:left w:val="none" w:sz="0" w:space="0" w:color="auto"/>
            <w:bottom w:val="none" w:sz="0" w:space="0" w:color="auto"/>
            <w:right w:val="none" w:sz="0" w:space="0" w:color="auto"/>
          </w:divBdr>
          <w:divsChild>
            <w:div w:id="1938637056">
              <w:marLeft w:val="0"/>
              <w:marRight w:val="0"/>
              <w:marTop w:val="0"/>
              <w:marBottom w:val="0"/>
              <w:divBdr>
                <w:top w:val="none" w:sz="0" w:space="0" w:color="auto"/>
                <w:left w:val="none" w:sz="0" w:space="0" w:color="auto"/>
                <w:bottom w:val="none" w:sz="0" w:space="0" w:color="auto"/>
                <w:right w:val="none" w:sz="0" w:space="0" w:color="auto"/>
              </w:divBdr>
            </w:div>
            <w:div w:id="1144159316">
              <w:marLeft w:val="0"/>
              <w:marRight w:val="0"/>
              <w:marTop w:val="0"/>
              <w:marBottom w:val="0"/>
              <w:divBdr>
                <w:top w:val="none" w:sz="0" w:space="0" w:color="auto"/>
                <w:left w:val="none" w:sz="0" w:space="0" w:color="auto"/>
                <w:bottom w:val="none" w:sz="0" w:space="0" w:color="auto"/>
                <w:right w:val="none" w:sz="0" w:space="0" w:color="auto"/>
              </w:divBdr>
            </w:div>
          </w:divsChild>
        </w:div>
        <w:div w:id="1044674975">
          <w:marLeft w:val="0"/>
          <w:marRight w:val="0"/>
          <w:marTop w:val="0"/>
          <w:marBottom w:val="0"/>
          <w:divBdr>
            <w:top w:val="none" w:sz="0" w:space="0" w:color="auto"/>
            <w:left w:val="none" w:sz="0" w:space="0" w:color="auto"/>
            <w:bottom w:val="none" w:sz="0" w:space="0" w:color="auto"/>
            <w:right w:val="none" w:sz="0" w:space="0" w:color="auto"/>
          </w:divBdr>
        </w:div>
        <w:div w:id="1886940762">
          <w:marLeft w:val="0"/>
          <w:marRight w:val="0"/>
          <w:marTop w:val="60"/>
          <w:marBottom w:val="0"/>
          <w:divBdr>
            <w:top w:val="none" w:sz="0" w:space="0" w:color="auto"/>
            <w:left w:val="none" w:sz="0" w:space="0" w:color="auto"/>
            <w:bottom w:val="none" w:sz="0" w:space="0" w:color="auto"/>
            <w:right w:val="none" w:sz="0" w:space="0" w:color="auto"/>
          </w:divBdr>
        </w:div>
        <w:div w:id="1888253841">
          <w:marLeft w:val="0"/>
          <w:marRight w:val="0"/>
          <w:marTop w:val="0"/>
          <w:marBottom w:val="0"/>
          <w:divBdr>
            <w:top w:val="none" w:sz="0" w:space="0" w:color="auto"/>
            <w:left w:val="none" w:sz="0" w:space="0" w:color="auto"/>
            <w:bottom w:val="none" w:sz="0" w:space="0" w:color="auto"/>
            <w:right w:val="none" w:sz="0" w:space="0" w:color="auto"/>
          </w:divBdr>
          <w:divsChild>
            <w:div w:id="698549477">
              <w:marLeft w:val="0"/>
              <w:marRight w:val="0"/>
              <w:marTop w:val="0"/>
              <w:marBottom w:val="0"/>
              <w:divBdr>
                <w:top w:val="none" w:sz="0" w:space="0" w:color="auto"/>
                <w:left w:val="none" w:sz="0" w:space="0" w:color="auto"/>
                <w:bottom w:val="none" w:sz="0" w:space="0" w:color="auto"/>
                <w:right w:val="none" w:sz="0" w:space="0" w:color="auto"/>
              </w:divBdr>
            </w:div>
            <w:div w:id="1256551849">
              <w:marLeft w:val="0"/>
              <w:marRight w:val="0"/>
              <w:marTop w:val="0"/>
              <w:marBottom w:val="0"/>
              <w:divBdr>
                <w:top w:val="none" w:sz="0" w:space="0" w:color="auto"/>
                <w:left w:val="none" w:sz="0" w:space="0" w:color="auto"/>
                <w:bottom w:val="none" w:sz="0" w:space="0" w:color="auto"/>
                <w:right w:val="none" w:sz="0" w:space="0" w:color="auto"/>
              </w:divBdr>
            </w:div>
          </w:divsChild>
        </w:div>
        <w:div w:id="295524238">
          <w:marLeft w:val="0"/>
          <w:marRight w:val="0"/>
          <w:marTop w:val="0"/>
          <w:marBottom w:val="0"/>
          <w:divBdr>
            <w:top w:val="none" w:sz="0" w:space="0" w:color="auto"/>
            <w:left w:val="none" w:sz="0" w:space="0" w:color="auto"/>
            <w:bottom w:val="none" w:sz="0" w:space="0" w:color="auto"/>
            <w:right w:val="none" w:sz="0" w:space="0" w:color="auto"/>
          </w:divBdr>
        </w:div>
        <w:div w:id="237862697">
          <w:marLeft w:val="0"/>
          <w:marRight w:val="0"/>
          <w:marTop w:val="60"/>
          <w:marBottom w:val="0"/>
          <w:divBdr>
            <w:top w:val="none" w:sz="0" w:space="0" w:color="auto"/>
            <w:left w:val="none" w:sz="0" w:space="0" w:color="auto"/>
            <w:bottom w:val="none" w:sz="0" w:space="0" w:color="auto"/>
            <w:right w:val="none" w:sz="0" w:space="0" w:color="auto"/>
          </w:divBdr>
        </w:div>
        <w:div w:id="2087799376">
          <w:marLeft w:val="0"/>
          <w:marRight w:val="0"/>
          <w:marTop w:val="0"/>
          <w:marBottom w:val="0"/>
          <w:divBdr>
            <w:top w:val="none" w:sz="0" w:space="0" w:color="auto"/>
            <w:left w:val="none" w:sz="0" w:space="0" w:color="auto"/>
            <w:bottom w:val="none" w:sz="0" w:space="0" w:color="auto"/>
            <w:right w:val="none" w:sz="0" w:space="0" w:color="auto"/>
          </w:divBdr>
          <w:divsChild>
            <w:div w:id="1765878587">
              <w:marLeft w:val="0"/>
              <w:marRight w:val="0"/>
              <w:marTop w:val="0"/>
              <w:marBottom w:val="0"/>
              <w:divBdr>
                <w:top w:val="none" w:sz="0" w:space="0" w:color="auto"/>
                <w:left w:val="none" w:sz="0" w:space="0" w:color="auto"/>
                <w:bottom w:val="none" w:sz="0" w:space="0" w:color="auto"/>
                <w:right w:val="none" w:sz="0" w:space="0" w:color="auto"/>
              </w:divBdr>
            </w:div>
            <w:div w:id="264583228">
              <w:marLeft w:val="0"/>
              <w:marRight w:val="0"/>
              <w:marTop w:val="0"/>
              <w:marBottom w:val="0"/>
              <w:divBdr>
                <w:top w:val="none" w:sz="0" w:space="0" w:color="auto"/>
                <w:left w:val="none" w:sz="0" w:space="0" w:color="auto"/>
                <w:bottom w:val="none" w:sz="0" w:space="0" w:color="auto"/>
                <w:right w:val="none" w:sz="0" w:space="0" w:color="auto"/>
              </w:divBdr>
            </w:div>
          </w:divsChild>
        </w:div>
        <w:div w:id="1974483870">
          <w:marLeft w:val="0"/>
          <w:marRight w:val="0"/>
          <w:marTop w:val="0"/>
          <w:marBottom w:val="0"/>
          <w:divBdr>
            <w:top w:val="none" w:sz="0" w:space="0" w:color="auto"/>
            <w:left w:val="none" w:sz="0" w:space="0" w:color="auto"/>
            <w:bottom w:val="none" w:sz="0" w:space="0" w:color="auto"/>
            <w:right w:val="none" w:sz="0" w:space="0" w:color="auto"/>
          </w:divBdr>
        </w:div>
        <w:div w:id="1125154147">
          <w:marLeft w:val="0"/>
          <w:marRight w:val="0"/>
          <w:marTop w:val="60"/>
          <w:marBottom w:val="0"/>
          <w:divBdr>
            <w:top w:val="none" w:sz="0" w:space="0" w:color="auto"/>
            <w:left w:val="none" w:sz="0" w:space="0" w:color="auto"/>
            <w:bottom w:val="none" w:sz="0" w:space="0" w:color="auto"/>
            <w:right w:val="none" w:sz="0" w:space="0" w:color="auto"/>
          </w:divBdr>
        </w:div>
        <w:div w:id="1684474709">
          <w:marLeft w:val="0"/>
          <w:marRight w:val="0"/>
          <w:marTop w:val="0"/>
          <w:marBottom w:val="0"/>
          <w:divBdr>
            <w:top w:val="none" w:sz="0" w:space="0" w:color="auto"/>
            <w:left w:val="none" w:sz="0" w:space="0" w:color="auto"/>
            <w:bottom w:val="none" w:sz="0" w:space="0" w:color="auto"/>
            <w:right w:val="none" w:sz="0" w:space="0" w:color="auto"/>
          </w:divBdr>
          <w:divsChild>
            <w:div w:id="1536305184">
              <w:marLeft w:val="0"/>
              <w:marRight w:val="0"/>
              <w:marTop w:val="0"/>
              <w:marBottom w:val="0"/>
              <w:divBdr>
                <w:top w:val="none" w:sz="0" w:space="0" w:color="auto"/>
                <w:left w:val="none" w:sz="0" w:space="0" w:color="auto"/>
                <w:bottom w:val="none" w:sz="0" w:space="0" w:color="auto"/>
                <w:right w:val="none" w:sz="0" w:space="0" w:color="auto"/>
              </w:divBdr>
            </w:div>
            <w:div w:id="1606234718">
              <w:marLeft w:val="0"/>
              <w:marRight w:val="0"/>
              <w:marTop w:val="0"/>
              <w:marBottom w:val="0"/>
              <w:divBdr>
                <w:top w:val="none" w:sz="0" w:space="0" w:color="auto"/>
                <w:left w:val="none" w:sz="0" w:space="0" w:color="auto"/>
                <w:bottom w:val="none" w:sz="0" w:space="0" w:color="auto"/>
                <w:right w:val="none" w:sz="0" w:space="0" w:color="auto"/>
              </w:divBdr>
            </w:div>
          </w:divsChild>
        </w:div>
        <w:div w:id="991523263">
          <w:marLeft w:val="0"/>
          <w:marRight w:val="0"/>
          <w:marTop w:val="0"/>
          <w:marBottom w:val="0"/>
          <w:divBdr>
            <w:top w:val="none" w:sz="0" w:space="0" w:color="auto"/>
            <w:left w:val="none" w:sz="0" w:space="0" w:color="auto"/>
            <w:bottom w:val="none" w:sz="0" w:space="0" w:color="auto"/>
            <w:right w:val="none" w:sz="0" w:space="0" w:color="auto"/>
          </w:divBdr>
        </w:div>
        <w:div w:id="1441291925">
          <w:marLeft w:val="0"/>
          <w:marRight w:val="0"/>
          <w:marTop w:val="60"/>
          <w:marBottom w:val="0"/>
          <w:divBdr>
            <w:top w:val="none" w:sz="0" w:space="0" w:color="auto"/>
            <w:left w:val="none" w:sz="0" w:space="0" w:color="auto"/>
            <w:bottom w:val="none" w:sz="0" w:space="0" w:color="auto"/>
            <w:right w:val="none" w:sz="0" w:space="0" w:color="auto"/>
          </w:divBdr>
        </w:div>
        <w:div w:id="1424258270">
          <w:marLeft w:val="0"/>
          <w:marRight w:val="0"/>
          <w:marTop w:val="0"/>
          <w:marBottom w:val="0"/>
          <w:divBdr>
            <w:top w:val="none" w:sz="0" w:space="0" w:color="auto"/>
            <w:left w:val="none" w:sz="0" w:space="0" w:color="auto"/>
            <w:bottom w:val="none" w:sz="0" w:space="0" w:color="auto"/>
            <w:right w:val="none" w:sz="0" w:space="0" w:color="auto"/>
          </w:divBdr>
          <w:divsChild>
            <w:div w:id="220749984">
              <w:marLeft w:val="0"/>
              <w:marRight w:val="0"/>
              <w:marTop w:val="0"/>
              <w:marBottom w:val="0"/>
              <w:divBdr>
                <w:top w:val="none" w:sz="0" w:space="0" w:color="auto"/>
                <w:left w:val="none" w:sz="0" w:space="0" w:color="auto"/>
                <w:bottom w:val="none" w:sz="0" w:space="0" w:color="auto"/>
                <w:right w:val="none" w:sz="0" w:space="0" w:color="auto"/>
              </w:divBdr>
            </w:div>
            <w:div w:id="11762966">
              <w:marLeft w:val="0"/>
              <w:marRight w:val="0"/>
              <w:marTop w:val="0"/>
              <w:marBottom w:val="0"/>
              <w:divBdr>
                <w:top w:val="none" w:sz="0" w:space="0" w:color="auto"/>
                <w:left w:val="none" w:sz="0" w:space="0" w:color="auto"/>
                <w:bottom w:val="none" w:sz="0" w:space="0" w:color="auto"/>
                <w:right w:val="none" w:sz="0" w:space="0" w:color="auto"/>
              </w:divBdr>
            </w:div>
          </w:divsChild>
        </w:div>
        <w:div w:id="312148094">
          <w:marLeft w:val="0"/>
          <w:marRight w:val="0"/>
          <w:marTop w:val="0"/>
          <w:marBottom w:val="0"/>
          <w:divBdr>
            <w:top w:val="none" w:sz="0" w:space="0" w:color="auto"/>
            <w:left w:val="none" w:sz="0" w:space="0" w:color="auto"/>
            <w:bottom w:val="none" w:sz="0" w:space="0" w:color="auto"/>
            <w:right w:val="none" w:sz="0" w:space="0" w:color="auto"/>
          </w:divBdr>
        </w:div>
        <w:div w:id="1997411516">
          <w:marLeft w:val="0"/>
          <w:marRight w:val="0"/>
          <w:marTop w:val="60"/>
          <w:marBottom w:val="0"/>
          <w:divBdr>
            <w:top w:val="none" w:sz="0" w:space="0" w:color="auto"/>
            <w:left w:val="none" w:sz="0" w:space="0" w:color="auto"/>
            <w:bottom w:val="none" w:sz="0" w:space="0" w:color="auto"/>
            <w:right w:val="none" w:sz="0" w:space="0" w:color="auto"/>
          </w:divBdr>
        </w:div>
        <w:div w:id="729890855">
          <w:marLeft w:val="0"/>
          <w:marRight w:val="0"/>
          <w:marTop w:val="0"/>
          <w:marBottom w:val="0"/>
          <w:divBdr>
            <w:top w:val="none" w:sz="0" w:space="0" w:color="auto"/>
            <w:left w:val="none" w:sz="0" w:space="0" w:color="auto"/>
            <w:bottom w:val="none" w:sz="0" w:space="0" w:color="auto"/>
            <w:right w:val="none" w:sz="0" w:space="0" w:color="auto"/>
          </w:divBdr>
          <w:divsChild>
            <w:div w:id="88284127">
              <w:marLeft w:val="0"/>
              <w:marRight w:val="0"/>
              <w:marTop w:val="0"/>
              <w:marBottom w:val="0"/>
              <w:divBdr>
                <w:top w:val="none" w:sz="0" w:space="0" w:color="auto"/>
                <w:left w:val="none" w:sz="0" w:space="0" w:color="auto"/>
                <w:bottom w:val="none" w:sz="0" w:space="0" w:color="auto"/>
                <w:right w:val="none" w:sz="0" w:space="0" w:color="auto"/>
              </w:divBdr>
            </w:div>
            <w:div w:id="1444615531">
              <w:marLeft w:val="0"/>
              <w:marRight w:val="0"/>
              <w:marTop w:val="0"/>
              <w:marBottom w:val="0"/>
              <w:divBdr>
                <w:top w:val="none" w:sz="0" w:space="0" w:color="auto"/>
                <w:left w:val="none" w:sz="0" w:space="0" w:color="auto"/>
                <w:bottom w:val="none" w:sz="0" w:space="0" w:color="auto"/>
                <w:right w:val="none" w:sz="0" w:space="0" w:color="auto"/>
              </w:divBdr>
            </w:div>
          </w:divsChild>
        </w:div>
        <w:div w:id="826552799">
          <w:marLeft w:val="0"/>
          <w:marRight w:val="0"/>
          <w:marTop w:val="0"/>
          <w:marBottom w:val="0"/>
          <w:divBdr>
            <w:top w:val="none" w:sz="0" w:space="0" w:color="auto"/>
            <w:left w:val="none" w:sz="0" w:space="0" w:color="auto"/>
            <w:bottom w:val="none" w:sz="0" w:space="0" w:color="auto"/>
            <w:right w:val="none" w:sz="0" w:space="0" w:color="auto"/>
          </w:divBdr>
        </w:div>
        <w:div w:id="1942491465">
          <w:marLeft w:val="0"/>
          <w:marRight w:val="0"/>
          <w:marTop w:val="60"/>
          <w:marBottom w:val="0"/>
          <w:divBdr>
            <w:top w:val="none" w:sz="0" w:space="0" w:color="auto"/>
            <w:left w:val="none" w:sz="0" w:space="0" w:color="auto"/>
            <w:bottom w:val="none" w:sz="0" w:space="0" w:color="auto"/>
            <w:right w:val="none" w:sz="0" w:space="0" w:color="auto"/>
          </w:divBdr>
          <w:divsChild>
            <w:div w:id="1220090641">
              <w:marLeft w:val="0"/>
              <w:marRight w:val="360"/>
              <w:marTop w:val="0"/>
              <w:marBottom w:val="0"/>
              <w:divBdr>
                <w:top w:val="none" w:sz="0" w:space="0" w:color="auto"/>
                <w:left w:val="none" w:sz="0" w:space="0" w:color="auto"/>
                <w:bottom w:val="none" w:sz="0" w:space="0" w:color="auto"/>
                <w:right w:val="none" w:sz="0" w:space="0" w:color="auto"/>
              </w:divBdr>
            </w:div>
          </w:divsChild>
        </w:div>
        <w:div w:id="508132600">
          <w:marLeft w:val="0"/>
          <w:marRight w:val="0"/>
          <w:marTop w:val="0"/>
          <w:marBottom w:val="0"/>
          <w:divBdr>
            <w:top w:val="none" w:sz="0" w:space="0" w:color="auto"/>
            <w:left w:val="none" w:sz="0" w:space="0" w:color="auto"/>
            <w:bottom w:val="none" w:sz="0" w:space="0" w:color="auto"/>
            <w:right w:val="none" w:sz="0" w:space="0" w:color="auto"/>
          </w:divBdr>
          <w:divsChild>
            <w:div w:id="550382379">
              <w:marLeft w:val="0"/>
              <w:marRight w:val="0"/>
              <w:marTop w:val="0"/>
              <w:marBottom w:val="0"/>
              <w:divBdr>
                <w:top w:val="none" w:sz="0" w:space="0" w:color="auto"/>
                <w:left w:val="none" w:sz="0" w:space="0" w:color="auto"/>
                <w:bottom w:val="none" w:sz="0" w:space="0" w:color="auto"/>
                <w:right w:val="none" w:sz="0" w:space="0" w:color="auto"/>
              </w:divBdr>
            </w:div>
            <w:div w:id="919867050">
              <w:marLeft w:val="0"/>
              <w:marRight w:val="0"/>
              <w:marTop w:val="0"/>
              <w:marBottom w:val="0"/>
              <w:divBdr>
                <w:top w:val="none" w:sz="0" w:space="0" w:color="auto"/>
                <w:left w:val="none" w:sz="0" w:space="0" w:color="auto"/>
                <w:bottom w:val="none" w:sz="0" w:space="0" w:color="auto"/>
                <w:right w:val="none" w:sz="0" w:space="0" w:color="auto"/>
              </w:divBdr>
            </w:div>
          </w:divsChild>
        </w:div>
        <w:div w:id="1773821944">
          <w:marLeft w:val="0"/>
          <w:marRight w:val="0"/>
          <w:marTop w:val="0"/>
          <w:marBottom w:val="0"/>
          <w:divBdr>
            <w:top w:val="none" w:sz="0" w:space="0" w:color="auto"/>
            <w:left w:val="none" w:sz="0" w:space="0" w:color="auto"/>
            <w:bottom w:val="none" w:sz="0" w:space="0" w:color="auto"/>
            <w:right w:val="none" w:sz="0" w:space="0" w:color="auto"/>
          </w:divBdr>
        </w:div>
        <w:div w:id="1068499296">
          <w:marLeft w:val="0"/>
          <w:marRight w:val="0"/>
          <w:marTop w:val="0"/>
          <w:marBottom w:val="0"/>
          <w:divBdr>
            <w:top w:val="none" w:sz="0" w:space="0" w:color="auto"/>
            <w:left w:val="none" w:sz="0" w:space="0" w:color="auto"/>
            <w:bottom w:val="none" w:sz="0" w:space="0" w:color="auto"/>
            <w:right w:val="none" w:sz="0" w:space="0" w:color="auto"/>
          </w:divBdr>
        </w:div>
        <w:div w:id="1316689079">
          <w:marLeft w:val="0"/>
          <w:marRight w:val="0"/>
          <w:marTop w:val="60"/>
          <w:marBottom w:val="0"/>
          <w:divBdr>
            <w:top w:val="none" w:sz="0" w:space="0" w:color="auto"/>
            <w:left w:val="none" w:sz="0" w:space="0" w:color="auto"/>
            <w:bottom w:val="none" w:sz="0" w:space="0" w:color="auto"/>
            <w:right w:val="none" w:sz="0" w:space="0" w:color="auto"/>
          </w:divBdr>
        </w:div>
        <w:div w:id="875578249">
          <w:marLeft w:val="0"/>
          <w:marRight w:val="0"/>
          <w:marTop w:val="0"/>
          <w:marBottom w:val="0"/>
          <w:divBdr>
            <w:top w:val="none" w:sz="0" w:space="0" w:color="auto"/>
            <w:left w:val="none" w:sz="0" w:space="0" w:color="auto"/>
            <w:bottom w:val="none" w:sz="0" w:space="0" w:color="auto"/>
            <w:right w:val="none" w:sz="0" w:space="0" w:color="auto"/>
          </w:divBdr>
          <w:divsChild>
            <w:div w:id="1186942161">
              <w:marLeft w:val="0"/>
              <w:marRight w:val="0"/>
              <w:marTop w:val="0"/>
              <w:marBottom w:val="0"/>
              <w:divBdr>
                <w:top w:val="none" w:sz="0" w:space="0" w:color="auto"/>
                <w:left w:val="none" w:sz="0" w:space="0" w:color="auto"/>
                <w:bottom w:val="none" w:sz="0" w:space="0" w:color="auto"/>
                <w:right w:val="none" w:sz="0" w:space="0" w:color="auto"/>
              </w:divBdr>
            </w:div>
            <w:div w:id="517693048">
              <w:marLeft w:val="0"/>
              <w:marRight w:val="0"/>
              <w:marTop w:val="0"/>
              <w:marBottom w:val="0"/>
              <w:divBdr>
                <w:top w:val="none" w:sz="0" w:space="0" w:color="auto"/>
                <w:left w:val="none" w:sz="0" w:space="0" w:color="auto"/>
                <w:bottom w:val="none" w:sz="0" w:space="0" w:color="auto"/>
                <w:right w:val="none" w:sz="0" w:space="0" w:color="auto"/>
              </w:divBdr>
            </w:div>
          </w:divsChild>
        </w:div>
        <w:div w:id="80223355">
          <w:marLeft w:val="0"/>
          <w:marRight w:val="0"/>
          <w:marTop w:val="0"/>
          <w:marBottom w:val="0"/>
          <w:divBdr>
            <w:top w:val="none" w:sz="0" w:space="0" w:color="auto"/>
            <w:left w:val="none" w:sz="0" w:space="0" w:color="auto"/>
            <w:bottom w:val="none" w:sz="0" w:space="0" w:color="auto"/>
            <w:right w:val="none" w:sz="0" w:space="0" w:color="auto"/>
          </w:divBdr>
        </w:div>
        <w:div w:id="924264548">
          <w:marLeft w:val="0"/>
          <w:marRight w:val="0"/>
          <w:marTop w:val="60"/>
          <w:marBottom w:val="0"/>
          <w:divBdr>
            <w:top w:val="none" w:sz="0" w:space="0" w:color="auto"/>
            <w:left w:val="none" w:sz="0" w:space="0" w:color="auto"/>
            <w:bottom w:val="none" w:sz="0" w:space="0" w:color="auto"/>
            <w:right w:val="none" w:sz="0" w:space="0" w:color="auto"/>
          </w:divBdr>
        </w:div>
        <w:div w:id="1896433488">
          <w:marLeft w:val="0"/>
          <w:marRight w:val="0"/>
          <w:marTop w:val="0"/>
          <w:marBottom w:val="0"/>
          <w:divBdr>
            <w:top w:val="none" w:sz="0" w:space="0" w:color="auto"/>
            <w:left w:val="none" w:sz="0" w:space="0" w:color="auto"/>
            <w:bottom w:val="none" w:sz="0" w:space="0" w:color="auto"/>
            <w:right w:val="none" w:sz="0" w:space="0" w:color="auto"/>
          </w:divBdr>
          <w:divsChild>
            <w:div w:id="206919236">
              <w:marLeft w:val="0"/>
              <w:marRight w:val="0"/>
              <w:marTop w:val="0"/>
              <w:marBottom w:val="0"/>
              <w:divBdr>
                <w:top w:val="none" w:sz="0" w:space="0" w:color="auto"/>
                <w:left w:val="none" w:sz="0" w:space="0" w:color="auto"/>
                <w:bottom w:val="none" w:sz="0" w:space="0" w:color="auto"/>
                <w:right w:val="none" w:sz="0" w:space="0" w:color="auto"/>
              </w:divBdr>
            </w:div>
            <w:div w:id="177279660">
              <w:marLeft w:val="0"/>
              <w:marRight w:val="0"/>
              <w:marTop w:val="0"/>
              <w:marBottom w:val="0"/>
              <w:divBdr>
                <w:top w:val="none" w:sz="0" w:space="0" w:color="auto"/>
                <w:left w:val="none" w:sz="0" w:space="0" w:color="auto"/>
                <w:bottom w:val="none" w:sz="0" w:space="0" w:color="auto"/>
                <w:right w:val="none" w:sz="0" w:space="0" w:color="auto"/>
              </w:divBdr>
            </w:div>
          </w:divsChild>
        </w:div>
        <w:div w:id="1509976671">
          <w:marLeft w:val="0"/>
          <w:marRight w:val="0"/>
          <w:marTop w:val="0"/>
          <w:marBottom w:val="0"/>
          <w:divBdr>
            <w:top w:val="none" w:sz="0" w:space="0" w:color="auto"/>
            <w:left w:val="none" w:sz="0" w:space="0" w:color="auto"/>
            <w:bottom w:val="none" w:sz="0" w:space="0" w:color="auto"/>
            <w:right w:val="none" w:sz="0" w:space="0" w:color="auto"/>
          </w:divBdr>
        </w:div>
        <w:div w:id="878587250">
          <w:marLeft w:val="0"/>
          <w:marRight w:val="0"/>
          <w:marTop w:val="60"/>
          <w:marBottom w:val="0"/>
          <w:divBdr>
            <w:top w:val="none" w:sz="0" w:space="0" w:color="auto"/>
            <w:left w:val="none" w:sz="0" w:space="0" w:color="auto"/>
            <w:bottom w:val="none" w:sz="0" w:space="0" w:color="auto"/>
            <w:right w:val="none" w:sz="0" w:space="0" w:color="auto"/>
          </w:divBdr>
          <w:divsChild>
            <w:div w:id="76095041">
              <w:marLeft w:val="0"/>
              <w:marRight w:val="360"/>
              <w:marTop w:val="0"/>
              <w:marBottom w:val="0"/>
              <w:divBdr>
                <w:top w:val="none" w:sz="0" w:space="0" w:color="auto"/>
                <w:left w:val="none" w:sz="0" w:space="0" w:color="auto"/>
                <w:bottom w:val="none" w:sz="0" w:space="0" w:color="auto"/>
                <w:right w:val="none" w:sz="0" w:space="0" w:color="auto"/>
              </w:divBdr>
              <w:divsChild>
                <w:div w:id="152882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720350">
          <w:marLeft w:val="0"/>
          <w:marRight w:val="0"/>
          <w:marTop w:val="0"/>
          <w:marBottom w:val="0"/>
          <w:divBdr>
            <w:top w:val="none" w:sz="0" w:space="0" w:color="auto"/>
            <w:left w:val="none" w:sz="0" w:space="0" w:color="auto"/>
            <w:bottom w:val="none" w:sz="0" w:space="0" w:color="auto"/>
            <w:right w:val="none" w:sz="0" w:space="0" w:color="auto"/>
          </w:divBdr>
          <w:divsChild>
            <w:div w:id="1981686362">
              <w:marLeft w:val="0"/>
              <w:marRight w:val="0"/>
              <w:marTop w:val="0"/>
              <w:marBottom w:val="0"/>
              <w:divBdr>
                <w:top w:val="none" w:sz="0" w:space="0" w:color="auto"/>
                <w:left w:val="none" w:sz="0" w:space="0" w:color="auto"/>
                <w:bottom w:val="none" w:sz="0" w:space="0" w:color="auto"/>
                <w:right w:val="none" w:sz="0" w:space="0" w:color="auto"/>
              </w:divBdr>
            </w:div>
            <w:div w:id="1625115628">
              <w:marLeft w:val="0"/>
              <w:marRight w:val="0"/>
              <w:marTop w:val="0"/>
              <w:marBottom w:val="0"/>
              <w:divBdr>
                <w:top w:val="none" w:sz="0" w:space="0" w:color="auto"/>
                <w:left w:val="none" w:sz="0" w:space="0" w:color="auto"/>
                <w:bottom w:val="none" w:sz="0" w:space="0" w:color="auto"/>
                <w:right w:val="none" w:sz="0" w:space="0" w:color="auto"/>
              </w:divBdr>
            </w:div>
          </w:divsChild>
        </w:div>
        <w:div w:id="1229418504">
          <w:marLeft w:val="0"/>
          <w:marRight w:val="0"/>
          <w:marTop w:val="0"/>
          <w:marBottom w:val="0"/>
          <w:divBdr>
            <w:top w:val="none" w:sz="0" w:space="0" w:color="auto"/>
            <w:left w:val="none" w:sz="0" w:space="0" w:color="auto"/>
            <w:bottom w:val="none" w:sz="0" w:space="0" w:color="auto"/>
            <w:right w:val="none" w:sz="0" w:space="0" w:color="auto"/>
          </w:divBdr>
        </w:div>
        <w:div w:id="385879825">
          <w:marLeft w:val="0"/>
          <w:marRight w:val="0"/>
          <w:marTop w:val="60"/>
          <w:marBottom w:val="0"/>
          <w:divBdr>
            <w:top w:val="none" w:sz="0" w:space="0" w:color="auto"/>
            <w:left w:val="none" w:sz="0" w:space="0" w:color="auto"/>
            <w:bottom w:val="none" w:sz="0" w:space="0" w:color="auto"/>
            <w:right w:val="none" w:sz="0" w:space="0" w:color="auto"/>
          </w:divBdr>
        </w:div>
        <w:div w:id="1778284553">
          <w:marLeft w:val="0"/>
          <w:marRight w:val="0"/>
          <w:marTop w:val="0"/>
          <w:marBottom w:val="0"/>
          <w:divBdr>
            <w:top w:val="none" w:sz="0" w:space="0" w:color="auto"/>
            <w:left w:val="none" w:sz="0" w:space="0" w:color="auto"/>
            <w:bottom w:val="none" w:sz="0" w:space="0" w:color="auto"/>
            <w:right w:val="none" w:sz="0" w:space="0" w:color="auto"/>
          </w:divBdr>
          <w:divsChild>
            <w:div w:id="363870825">
              <w:marLeft w:val="0"/>
              <w:marRight w:val="0"/>
              <w:marTop w:val="0"/>
              <w:marBottom w:val="0"/>
              <w:divBdr>
                <w:top w:val="none" w:sz="0" w:space="0" w:color="auto"/>
                <w:left w:val="none" w:sz="0" w:space="0" w:color="auto"/>
                <w:bottom w:val="none" w:sz="0" w:space="0" w:color="auto"/>
                <w:right w:val="none" w:sz="0" w:space="0" w:color="auto"/>
              </w:divBdr>
            </w:div>
            <w:div w:id="1588342586">
              <w:marLeft w:val="0"/>
              <w:marRight w:val="0"/>
              <w:marTop w:val="0"/>
              <w:marBottom w:val="0"/>
              <w:divBdr>
                <w:top w:val="none" w:sz="0" w:space="0" w:color="auto"/>
                <w:left w:val="none" w:sz="0" w:space="0" w:color="auto"/>
                <w:bottom w:val="none" w:sz="0" w:space="0" w:color="auto"/>
                <w:right w:val="none" w:sz="0" w:space="0" w:color="auto"/>
              </w:divBdr>
            </w:div>
          </w:divsChild>
        </w:div>
        <w:div w:id="693379990">
          <w:marLeft w:val="0"/>
          <w:marRight w:val="0"/>
          <w:marTop w:val="0"/>
          <w:marBottom w:val="0"/>
          <w:divBdr>
            <w:top w:val="none" w:sz="0" w:space="0" w:color="auto"/>
            <w:left w:val="none" w:sz="0" w:space="0" w:color="auto"/>
            <w:bottom w:val="none" w:sz="0" w:space="0" w:color="auto"/>
            <w:right w:val="none" w:sz="0" w:space="0" w:color="auto"/>
          </w:divBdr>
        </w:div>
        <w:div w:id="1227182783">
          <w:marLeft w:val="0"/>
          <w:marRight w:val="0"/>
          <w:marTop w:val="60"/>
          <w:marBottom w:val="0"/>
          <w:divBdr>
            <w:top w:val="none" w:sz="0" w:space="0" w:color="auto"/>
            <w:left w:val="none" w:sz="0" w:space="0" w:color="auto"/>
            <w:bottom w:val="none" w:sz="0" w:space="0" w:color="auto"/>
            <w:right w:val="none" w:sz="0" w:space="0" w:color="auto"/>
          </w:divBdr>
        </w:div>
        <w:div w:id="1532913213">
          <w:marLeft w:val="0"/>
          <w:marRight w:val="0"/>
          <w:marTop w:val="0"/>
          <w:marBottom w:val="0"/>
          <w:divBdr>
            <w:top w:val="none" w:sz="0" w:space="0" w:color="auto"/>
            <w:left w:val="none" w:sz="0" w:space="0" w:color="auto"/>
            <w:bottom w:val="none" w:sz="0" w:space="0" w:color="auto"/>
            <w:right w:val="none" w:sz="0" w:space="0" w:color="auto"/>
          </w:divBdr>
          <w:divsChild>
            <w:div w:id="130906312">
              <w:marLeft w:val="0"/>
              <w:marRight w:val="0"/>
              <w:marTop w:val="0"/>
              <w:marBottom w:val="0"/>
              <w:divBdr>
                <w:top w:val="none" w:sz="0" w:space="0" w:color="auto"/>
                <w:left w:val="none" w:sz="0" w:space="0" w:color="auto"/>
                <w:bottom w:val="none" w:sz="0" w:space="0" w:color="auto"/>
                <w:right w:val="none" w:sz="0" w:space="0" w:color="auto"/>
              </w:divBdr>
            </w:div>
            <w:div w:id="1199507939">
              <w:marLeft w:val="0"/>
              <w:marRight w:val="0"/>
              <w:marTop w:val="0"/>
              <w:marBottom w:val="0"/>
              <w:divBdr>
                <w:top w:val="none" w:sz="0" w:space="0" w:color="auto"/>
                <w:left w:val="none" w:sz="0" w:space="0" w:color="auto"/>
                <w:bottom w:val="none" w:sz="0" w:space="0" w:color="auto"/>
                <w:right w:val="none" w:sz="0" w:space="0" w:color="auto"/>
              </w:divBdr>
            </w:div>
          </w:divsChild>
        </w:div>
        <w:div w:id="1171484480">
          <w:marLeft w:val="0"/>
          <w:marRight w:val="0"/>
          <w:marTop w:val="0"/>
          <w:marBottom w:val="0"/>
          <w:divBdr>
            <w:top w:val="none" w:sz="0" w:space="0" w:color="auto"/>
            <w:left w:val="none" w:sz="0" w:space="0" w:color="auto"/>
            <w:bottom w:val="none" w:sz="0" w:space="0" w:color="auto"/>
            <w:right w:val="none" w:sz="0" w:space="0" w:color="auto"/>
          </w:divBdr>
        </w:div>
        <w:div w:id="218128804">
          <w:marLeft w:val="0"/>
          <w:marRight w:val="0"/>
          <w:marTop w:val="60"/>
          <w:marBottom w:val="0"/>
          <w:divBdr>
            <w:top w:val="none" w:sz="0" w:space="0" w:color="auto"/>
            <w:left w:val="none" w:sz="0" w:space="0" w:color="auto"/>
            <w:bottom w:val="none" w:sz="0" w:space="0" w:color="auto"/>
            <w:right w:val="none" w:sz="0" w:space="0" w:color="auto"/>
          </w:divBdr>
        </w:div>
        <w:div w:id="155995305">
          <w:marLeft w:val="0"/>
          <w:marRight w:val="0"/>
          <w:marTop w:val="0"/>
          <w:marBottom w:val="0"/>
          <w:divBdr>
            <w:top w:val="none" w:sz="0" w:space="0" w:color="auto"/>
            <w:left w:val="none" w:sz="0" w:space="0" w:color="auto"/>
            <w:bottom w:val="none" w:sz="0" w:space="0" w:color="auto"/>
            <w:right w:val="none" w:sz="0" w:space="0" w:color="auto"/>
          </w:divBdr>
          <w:divsChild>
            <w:div w:id="1928076832">
              <w:marLeft w:val="0"/>
              <w:marRight w:val="0"/>
              <w:marTop w:val="0"/>
              <w:marBottom w:val="0"/>
              <w:divBdr>
                <w:top w:val="none" w:sz="0" w:space="0" w:color="auto"/>
                <w:left w:val="none" w:sz="0" w:space="0" w:color="auto"/>
                <w:bottom w:val="none" w:sz="0" w:space="0" w:color="auto"/>
                <w:right w:val="none" w:sz="0" w:space="0" w:color="auto"/>
              </w:divBdr>
            </w:div>
            <w:div w:id="1373118830">
              <w:marLeft w:val="0"/>
              <w:marRight w:val="0"/>
              <w:marTop w:val="0"/>
              <w:marBottom w:val="0"/>
              <w:divBdr>
                <w:top w:val="none" w:sz="0" w:space="0" w:color="auto"/>
                <w:left w:val="none" w:sz="0" w:space="0" w:color="auto"/>
                <w:bottom w:val="none" w:sz="0" w:space="0" w:color="auto"/>
                <w:right w:val="none" w:sz="0" w:space="0" w:color="auto"/>
              </w:divBdr>
            </w:div>
          </w:divsChild>
        </w:div>
        <w:div w:id="2073693313">
          <w:marLeft w:val="0"/>
          <w:marRight w:val="0"/>
          <w:marTop w:val="0"/>
          <w:marBottom w:val="0"/>
          <w:divBdr>
            <w:top w:val="none" w:sz="0" w:space="0" w:color="auto"/>
            <w:left w:val="none" w:sz="0" w:space="0" w:color="auto"/>
            <w:bottom w:val="none" w:sz="0" w:space="0" w:color="auto"/>
            <w:right w:val="none" w:sz="0" w:space="0" w:color="auto"/>
          </w:divBdr>
        </w:div>
        <w:div w:id="1307470956">
          <w:marLeft w:val="0"/>
          <w:marRight w:val="0"/>
          <w:marTop w:val="0"/>
          <w:marBottom w:val="0"/>
          <w:divBdr>
            <w:top w:val="none" w:sz="0" w:space="0" w:color="auto"/>
            <w:left w:val="none" w:sz="0" w:space="0" w:color="auto"/>
            <w:bottom w:val="none" w:sz="0" w:space="0" w:color="auto"/>
            <w:right w:val="none" w:sz="0" w:space="0" w:color="auto"/>
          </w:divBdr>
        </w:div>
        <w:div w:id="384566488">
          <w:marLeft w:val="0"/>
          <w:marRight w:val="0"/>
          <w:marTop w:val="60"/>
          <w:marBottom w:val="0"/>
          <w:divBdr>
            <w:top w:val="none" w:sz="0" w:space="0" w:color="auto"/>
            <w:left w:val="none" w:sz="0" w:space="0" w:color="auto"/>
            <w:bottom w:val="none" w:sz="0" w:space="0" w:color="auto"/>
            <w:right w:val="none" w:sz="0" w:space="0" w:color="auto"/>
          </w:divBdr>
        </w:div>
        <w:div w:id="825786077">
          <w:marLeft w:val="0"/>
          <w:marRight w:val="0"/>
          <w:marTop w:val="0"/>
          <w:marBottom w:val="0"/>
          <w:divBdr>
            <w:top w:val="none" w:sz="0" w:space="0" w:color="auto"/>
            <w:left w:val="none" w:sz="0" w:space="0" w:color="auto"/>
            <w:bottom w:val="none" w:sz="0" w:space="0" w:color="auto"/>
            <w:right w:val="none" w:sz="0" w:space="0" w:color="auto"/>
          </w:divBdr>
          <w:divsChild>
            <w:div w:id="1333291659">
              <w:marLeft w:val="0"/>
              <w:marRight w:val="0"/>
              <w:marTop w:val="0"/>
              <w:marBottom w:val="0"/>
              <w:divBdr>
                <w:top w:val="none" w:sz="0" w:space="0" w:color="auto"/>
                <w:left w:val="none" w:sz="0" w:space="0" w:color="auto"/>
                <w:bottom w:val="none" w:sz="0" w:space="0" w:color="auto"/>
                <w:right w:val="none" w:sz="0" w:space="0" w:color="auto"/>
              </w:divBdr>
            </w:div>
            <w:div w:id="136997777">
              <w:marLeft w:val="0"/>
              <w:marRight w:val="0"/>
              <w:marTop w:val="0"/>
              <w:marBottom w:val="0"/>
              <w:divBdr>
                <w:top w:val="none" w:sz="0" w:space="0" w:color="auto"/>
                <w:left w:val="none" w:sz="0" w:space="0" w:color="auto"/>
                <w:bottom w:val="none" w:sz="0" w:space="0" w:color="auto"/>
                <w:right w:val="none" w:sz="0" w:space="0" w:color="auto"/>
              </w:divBdr>
            </w:div>
          </w:divsChild>
        </w:div>
        <w:div w:id="92479458">
          <w:marLeft w:val="0"/>
          <w:marRight w:val="0"/>
          <w:marTop w:val="0"/>
          <w:marBottom w:val="0"/>
          <w:divBdr>
            <w:top w:val="none" w:sz="0" w:space="0" w:color="auto"/>
            <w:left w:val="none" w:sz="0" w:space="0" w:color="auto"/>
            <w:bottom w:val="none" w:sz="0" w:space="0" w:color="auto"/>
            <w:right w:val="none" w:sz="0" w:space="0" w:color="auto"/>
          </w:divBdr>
        </w:div>
        <w:div w:id="764106449">
          <w:marLeft w:val="0"/>
          <w:marRight w:val="0"/>
          <w:marTop w:val="60"/>
          <w:marBottom w:val="0"/>
          <w:divBdr>
            <w:top w:val="none" w:sz="0" w:space="0" w:color="auto"/>
            <w:left w:val="none" w:sz="0" w:space="0" w:color="auto"/>
            <w:bottom w:val="none" w:sz="0" w:space="0" w:color="auto"/>
            <w:right w:val="none" w:sz="0" w:space="0" w:color="auto"/>
          </w:divBdr>
        </w:div>
        <w:div w:id="2026443445">
          <w:marLeft w:val="0"/>
          <w:marRight w:val="0"/>
          <w:marTop w:val="0"/>
          <w:marBottom w:val="0"/>
          <w:divBdr>
            <w:top w:val="none" w:sz="0" w:space="0" w:color="auto"/>
            <w:left w:val="none" w:sz="0" w:space="0" w:color="auto"/>
            <w:bottom w:val="none" w:sz="0" w:space="0" w:color="auto"/>
            <w:right w:val="none" w:sz="0" w:space="0" w:color="auto"/>
          </w:divBdr>
          <w:divsChild>
            <w:div w:id="925847853">
              <w:marLeft w:val="0"/>
              <w:marRight w:val="0"/>
              <w:marTop w:val="0"/>
              <w:marBottom w:val="0"/>
              <w:divBdr>
                <w:top w:val="none" w:sz="0" w:space="0" w:color="auto"/>
                <w:left w:val="none" w:sz="0" w:space="0" w:color="auto"/>
                <w:bottom w:val="none" w:sz="0" w:space="0" w:color="auto"/>
                <w:right w:val="none" w:sz="0" w:space="0" w:color="auto"/>
              </w:divBdr>
            </w:div>
            <w:div w:id="1561133553">
              <w:marLeft w:val="0"/>
              <w:marRight w:val="0"/>
              <w:marTop w:val="0"/>
              <w:marBottom w:val="0"/>
              <w:divBdr>
                <w:top w:val="none" w:sz="0" w:space="0" w:color="auto"/>
                <w:left w:val="none" w:sz="0" w:space="0" w:color="auto"/>
                <w:bottom w:val="none" w:sz="0" w:space="0" w:color="auto"/>
                <w:right w:val="none" w:sz="0" w:space="0" w:color="auto"/>
              </w:divBdr>
            </w:div>
          </w:divsChild>
        </w:div>
        <w:div w:id="991712006">
          <w:marLeft w:val="0"/>
          <w:marRight w:val="0"/>
          <w:marTop w:val="0"/>
          <w:marBottom w:val="0"/>
          <w:divBdr>
            <w:top w:val="none" w:sz="0" w:space="0" w:color="auto"/>
            <w:left w:val="none" w:sz="0" w:space="0" w:color="auto"/>
            <w:bottom w:val="none" w:sz="0" w:space="0" w:color="auto"/>
            <w:right w:val="none" w:sz="0" w:space="0" w:color="auto"/>
          </w:divBdr>
        </w:div>
        <w:div w:id="678238602">
          <w:marLeft w:val="0"/>
          <w:marRight w:val="0"/>
          <w:marTop w:val="60"/>
          <w:marBottom w:val="0"/>
          <w:divBdr>
            <w:top w:val="none" w:sz="0" w:space="0" w:color="auto"/>
            <w:left w:val="none" w:sz="0" w:space="0" w:color="auto"/>
            <w:bottom w:val="none" w:sz="0" w:space="0" w:color="auto"/>
            <w:right w:val="none" w:sz="0" w:space="0" w:color="auto"/>
          </w:divBdr>
          <w:divsChild>
            <w:div w:id="840584542">
              <w:marLeft w:val="0"/>
              <w:marRight w:val="360"/>
              <w:marTop w:val="0"/>
              <w:marBottom w:val="0"/>
              <w:divBdr>
                <w:top w:val="none" w:sz="0" w:space="0" w:color="auto"/>
                <w:left w:val="none" w:sz="0" w:space="0" w:color="auto"/>
                <w:bottom w:val="none" w:sz="0" w:space="0" w:color="auto"/>
                <w:right w:val="none" w:sz="0" w:space="0" w:color="auto"/>
              </w:divBdr>
            </w:div>
          </w:divsChild>
        </w:div>
        <w:div w:id="1570387623">
          <w:marLeft w:val="0"/>
          <w:marRight w:val="0"/>
          <w:marTop w:val="0"/>
          <w:marBottom w:val="0"/>
          <w:divBdr>
            <w:top w:val="none" w:sz="0" w:space="0" w:color="auto"/>
            <w:left w:val="none" w:sz="0" w:space="0" w:color="auto"/>
            <w:bottom w:val="none" w:sz="0" w:space="0" w:color="auto"/>
            <w:right w:val="none" w:sz="0" w:space="0" w:color="auto"/>
          </w:divBdr>
        </w:div>
        <w:div w:id="1047878799">
          <w:marLeft w:val="0"/>
          <w:marRight w:val="0"/>
          <w:marTop w:val="0"/>
          <w:marBottom w:val="0"/>
          <w:divBdr>
            <w:top w:val="none" w:sz="0" w:space="0" w:color="auto"/>
            <w:left w:val="none" w:sz="0" w:space="0" w:color="auto"/>
            <w:bottom w:val="none" w:sz="0" w:space="0" w:color="auto"/>
            <w:right w:val="none" w:sz="0" w:space="0" w:color="auto"/>
          </w:divBdr>
        </w:div>
      </w:divsChild>
    </w:div>
    <w:div w:id="634019251">
      <w:bodyDiv w:val="1"/>
      <w:marLeft w:val="0"/>
      <w:marRight w:val="0"/>
      <w:marTop w:val="0"/>
      <w:marBottom w:val="0"/>
      <w:divBdr>
        <w:top w:val="none" w:sz="0" w:space="0" w:color="auto"/>
        <w:left w:val="none" w:sz="0" w:space="0" w:color="auto"/>
        <w:bottom w:val="none" w:sz="0" w:space="0" w:color="auto"/>
        <w:right w:val="none" w:sz="0" w:space="0" w:color="auto"/>
      </w:divBdr>
      <w:divsChild>
        <w:div w:id="1811630925">
          <w:marLeft w:val="0"/>
          <w:marRight w:val="0"/>
          <w:marTop w:val="400"/>
          <w:marBottom w:val="400"/>
          <w:divBdr>
            <w:top w:val="none" w:sz="0" w:space="0" w:color="auto"/>
            <w:left w:val="none" w:sz="0" w:space="0" w:color="auto"/>
            <w:bottom w:val="none" w:sz="0" w:space="0" w:color="auto"/>
            <w:right w:val="none" w:sz="0" w:space="0" w:color="auto"/>
          </w:divBdr>
          <w:divsChild>
            <w:div w:id="1393314923">
              <w:marLeft w:val="0"/>
              <w:marRight w:val="0"/>
              <w:marTop w:val="0"/>
              <w:marBottom w:val="0"/>
              <w:divBdr>
                <w:top w:val="none" w:sz="0" w:space="0" w:color="auto"/>
                <w:left w:val="none" w:sz="0" w:space="0" w:color="auto"/>
                <w:bottom w:val="none" w:sz="0" w:space="0" w:color="auto"/>
                <w:right w:val="none" w:sz="0" w:space="0" w:color="auto"/>
              </w:divBdr>
              <w:divsChild>
                <w:div w:id="2019848350">
                  <w:marLeft w:val="0"/>
                  <w:marRight w:val="0"/>
                  <w:marTop w:val="400"/>
                  <w:marBottom w:val="400"/>
                  <w:divBdr>
                    <w:top w:val="none" w:sz="0" w:space="0" w:color="auto"/>
                    <w:left w:val="none" w:sz="0" w:space="0" w:color="auto"/>
                    <w:bottom w:val="none" w:sz="0" w:space="0" w:color="auto"/>
                    <w:right w:val="none" w:sz="0" w:space="0" w:color="auto"/>
                  </w:divBdr>
                </w:div>
                <w:div w:id="27486510">
                  <w:marLeft w:val="0"/>
                  <w:marRight w:val="0"/>
                  <w:marTop w:val="400"/>
                  <w:marBottom w:val="400"/>
                  <w:divBdr>
                    <w:top w:val="none" w:sz="0" w:space="0" w:color="auto"/>
                    <w:left w:val="none" w:sz="0" w:space="0" w:color="auto"/>
                    <w:bottom w:val="none" w:sz="0" w:space="0" w:color="auto"/>
                    <w:right w:val="none" w:sz="0" w:space="0" w:color="auto"/>
                  </w:divBdr>
                </w:div>
                <w:div w:id="710764106">
                  <w:marLeft w:val="0"/>
                  <w:marRight w:val="0"/>
                  <w:marTop w:val="400"/>
                  <w:marBottom w:val="400"/>
                  <w:divBdr>
                    <w:top w:val="none" w:sz="0" w:space="0" w:color="auto"/>
                    <w:left w:val="none" w:sz="0" w:space="0" w:color="auto"/>
                    <w:bottom w:val="none" w:sz="0" w:space="0" w:color="auto"/>
                    <w:right w:val="none" w:sz="0" w:space="0" w:color="auto"/>
                  </w:divBdr>
                </w:div>
                <w:div w:id="950474168">
                  <w:marLeft w:val="0"/>
                  <w:marRight w:val="0"/>
                  <w:marTop w:val="400"/>
                  <w:marBottom w:val="400"/>
                  <w:divBdr>
                    <w:top w:val="none" w:sz="0" w:space="0" w:color="auto"/>
                    <w:left w:val="none" w:sz="0" w:space="0" w:color="auto"/>
                    <w:bottom w:val="none" w:sz="0" w:space="0" w:color="auto"/>
                    <w:right w:val="none" w:sz="0" w:space="0" w:color="auto"/>
                  </w:divBdr>
                </w:div>
              </w:divsChild>
            </w:div>
            <w:div w:id="1291209753">
              <w:marLeft w:val="0"/>
              <w:marRight w:val="0"/>
              <w:marTop w:val="400"/>
              <w:marBottom w:val="400"/>
              <w:divBdr>
                <w:top w:val="none" w:sz="0" w:space="0" w:color="auto"/>
                <w:left w:val="none" w:sz="0" w:space="0" w:color="auto"/>
                <w:bottom w:val="none" w:sz="0" w:space="0" w:color="auto"/>
                <w:right w:val="none" w:sz="0" w:space="0" w:color="auto"/>
              </w:divBdr>
            </w:div>
          </w:divsChild>
        </w:div>
        <w:div w:id="1602224703">
          <w:marLeft w:val="0"/>
          <w:marRight w:val="0"/>
          <w:marTop w:val="400"/>
          <w:marBottom w:val="400"/>
          <w:divBdr>
            <w:top w:val="none" w:sz="0" w:space="0" w:color="auto"/>
            <w:left w:val="none" w:sz="0" w:space="0" w:color="auto"/>
            <w:bottom w:val="none" w:sz="0" w:space="0" w:color="auto"/>
            <w:right w:val="none" w:sz="0" w:space="0" w:color="auto"/>
          </w:divBdr>
        </w:div>
        <w:div w:id="1151557544">
          <w:marLeft w:val="0"/>
          <w:marRight w:val="0"/>
          <w:marTop w:val="400"/>
          <w:marBottom w:val="400"/>
          <w:divBdr>
            <w:top w:val="none" w:sz="0" w:space="0" w:color="auto"/>
            <w:left w:val="none" w:sz="0" w:space="0" w:color="auto"/>
            <w:bottom w:val="none" w:sz="0" w:space="0" w:color="auto"/>
            <w:right w:val="none" w:sz="0" w:space="0" w:color="auto"/>
          </w:divBdr>
          <w:divsChild>
            <w:div w:id="786973949">
              <w:marLeft w:val="0"/>
              <w:marRight w:val="0"/>
              <w:marTop w:val="400"/>
              <w:marBottom w:val="400"/>
              <w:divBdr>
                <w:top w:val="none" w:sz="0" w:space="0" w:color="auto"/>
                <w:left w:val="none" w:sz="0" w:space="0" w:color="auto"/>
                <w:bottom w:val="none" w:sz="0" w:space="0" w:color="auto"/>
                <w:right w:val="none" w:sz="0" w:space="0" w:color="auto"/>
              </w:divBdr>
            </w:div>
            <w:div w:id="328337831">
              <w:marLeft w:val="0"/>
              <w:marRight w:val="0"/>
              <w:marTop w:val="400"/>
              <w:marBottom w:val="400"/>
              <w:divBdr>
                <w:top w:val="none" w:sz="0" w:space="0" w:color="auto"/>
                <w:left w:val="none" w:sz="0" w:space="0" w:color="auto"/>
                <w:bottom w:val="none" w:sz="0" w:space="0" w:color="auto"/>
                <w:right w:val="none" w:sz="0" w:space="0" w:color="auto"/>
              </w:divBdr>
              <w:divsChild>
                <w:div w:id="1309824197">
                  <w:marLeft w:val="0"/>
                  <w:marRight w:val="0"/>
                  <w:marTop w:val="400"/>
                  <w:marBottom w:val="400"/>
                  <w:divBdr>
                    <w:top w:val="single" w:sz="6" w:space="20" w:color="EAC3AF"/>
                    <w:left w:val="single" w:sz="6" w:space="20" w:color="EAC3AF"/>
                    <w:bottom w:val="single" w:sz="6" w:space="20" w:color="EAC3AF"/>
                    <w:right w:val="single" w:sz="6" w:space="20" w:color="EAC3AF"/>
                  </w:divBdr>
                  <w:divsChild>
                    <w:div w:id="65760049">
                      <w:marLeft w:val="0"/>
                      <w:marRight w:val="0"/>
                      <w:marTop w:val="200"/>
                      <w:marBottom w:val="0"/>
                      <w:divBdr>
                        <w:top w:val="none" w:sz="0" w:space="0" w:color="auto"/>
                        <w:left w:val="none" w:sz="0" w:space="0" w:color="auto"/>
                        <w:bottom w:val="none" w:sz="0" w:space="0" w:color="auto"/>
                        <w:right w:val="none" w:sz="0" w:space="0" w:color="auto"/>
                      </w:divBdr>
                      <w:divsChild>
                        <w:div w:id="1903322770">
                          <w:marLeft w:val="0"/>
                          <w:marRight w:val="0"/>
                          <w:marTop w:val="0"/>
                          <w:marBottom w:val="0"/>
                          <w:divBdr>
                            <w:top w:val="none" w:sz="0" w:space="0" w:color="auto"/>
                            <w:left w:val="none" w:sz="0" w:space="0" w:color="auto"/>
                            <w:bottom w:val="none" w:sz="0" w:space="0" w:color="auto"/>
                            <w:right w:val="none" w:sz="0" w:space="0" w:color="auto"/>
                          </w:divBdr>
                        </w:div>
                        <w:div w:id="481430472">
                          <w:marLeft w:val="0"/>
                          <w:marRight w:val="0"/>
                          <w:marTop w:val="200"/>
                          <w:marBottom w:val="0"/>
                          <w:divBdr>
                            <w:top w:val="none" w:sz="0" w:space="0" w:color="auto"/>
                            <w:left w:val="none" w:sz="0" w:space="0" w:color="auto"/>
                            <w:bottom w:val="none" w:sz="0" w:space="0" w:color="auto"/>
                            <w:right w:val="none" w:sz="0" w:space="0" w:color="auto"/>
                          </w:divBdr>
                        </w:div>
                      </w:divsChild>
                    </w:div>
                  </w:divsChild>
                </w:div>
                <w:div w:id="225577531">
                  <w:marLeft w:val="0"/>
                  <w:marRight w:val="0"/>
                  <w:marTop w:val="400"/>
                  <w:marBottom w:val="400"/>
                  <w:divBdr>
                    <w:top w:val="single" w:sz="6" w:space="20" w:color="EAC3AF"/>
                    <w:left w:val="single" w:sz="6" w:space="20" w:color="EAC3AF"/>
                    <w:bottom w:val="single" w:sz="6" w:space="20" w:color="EAC3AF"/>
                    <w:right w:val="single" w:sz="6" w:space="20" w:color="EAC3AF"/>
                  </w:divBdr>
                  <w:divsChild>
                    <w:div w:id="398096536">
                      <w:marLeft w:val="0"/>
                      <w:marRight w:val="0"/>
                      <w:marTop w:val="200"/>
                      <w:marBottom w:val="200"/>
                      <w:divBdr>
                        <w:top w:val="none" w:sz="0" w:space="0" w:color="auto"/>
                        <w:left w:val="none" w:sz="0" w:space="0" w:color="auto"/>
                        <w:bottom w:val="none" w:sz="0" w:space="0" w:color="auto"/>
                        <w:right w:val="none" w:sz="0" w:space="0" w:color="auto"/>
                      </w:divBdr>
                    </w:div>
                    <w:div w:id="404882249">
                      <w:marLeft w:val="0"/>
                      <w:marRight w:val="0"/>
                      <w:marTop w:val="0"/>
                      <w:marBottom w:val="0"/>
                      <w:divBdr>
                        <w:top w:val="none" w:sz="0" w:space="0" w:color="auto"/>
                        <w:left w:val="none" w:sz="0" w:space="0" w:color="auto"/>
                        <w:bottom w:val="none" w:sz="0" w:space="0" w:color="auto"/>
                        <w:right w:val="none" w:sz="0" w:space="0" w:color="auto"/>
                      </w:divBdr>
                    </w:div>
                    <w:div w:id="298154263">
                      <w:marLeft w:val="200"/>
                      <w:marRight w:val="200"/>
                      <w:marTop w:val="200"/>
                      <w:marBottom w:val="0"/>
                      <w:divBdr>
                        <w:top w:val="none" w:sz="0" w:space="0" w:color="auto"/>
                        <w:left w:val="none" w:sz="0" w:space="0" w:color="auto"/>
                        <w:bottom w:val="none" w:sz="0" w:space="0" w:color="auto"/>
                        <w:right w:val="none" w:sz="0" w:space="0" w:color="auto"/>
                      </w:divBdr>
                    </w:div>
                  </w:divsChild>
                </w:div>
              </w:divsChild>
            </w:div>
            <w:div w:id="185679134">
              <w:marLeft w:val="0"/>
              <w:marRight w:val="0"/>
              <w:marTop w:val="400"/>
              <w:marBottom w:val="400"/>
              <w:divBdr>
                <w:top w:val="none" w:sz="0" w:space="0" w:color="auto"/>
                <w:left w:val="none" w:sz="0" w:space="0" w:color="auto"/>
                <w:bottom w:val="none" w:sz="0" w:space="0" w:color="auto"/>
                <w:right w:val="none" w:sz="0" w:space="0" w:color="auto"/>
              </w:divBdr>
              <w:divsChild>
                <w:div w:id="1382559341">
                  <w:marLeft w:val="0"/>
                  <w:marRight w:val="0"/>
                  <w:marTop w:val="400"/>
                  <w:marBottom w:val="400"/>
                  <w:divBdr>
                    <w:top w:val="none" w:sz="0" w:space="0" w:color="auto"/>
                    <w:left w:val="none" w:sz="0" w:space="0" w:color="auto"/>
                    <w:bottom w:val="none" w:sz="0" w:space="0" w:color="auto"/>
                    <w:right w:val="none" w:sz="0" w:space="0" w:color="auto"/>
                  </w:divBdr>
                  <w:divsChild>
                    <w:div w:id="184102293">
                      <w:marLeft w:val="0"/>
                      <w:marRight w:val="0"/>
                      <w:marTop w:val="400"/>
                      <w:marBottom w:val="400"/>
                      <w:divBdr>
                        <w:top w:val="none" w:sz="0" w:space="0" w:color="auto"/>
                        <w:left w:val="none" w:sz="0" w:space="0" w:color="auto"/>
                        <w:bottom w:val="none" w:sz="0" w:space="0" w:color="auto"/>
                        <w:right w:val="none" w:sz="0" w:space="0" w:color="auto"/>
                      </w:divBdr>
                      <w:divsChild>
                        <w:div w:id="132802206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110815">
                  <w:marLeft w:val="0"/>
                  <w:marRight w:val="0"/>
                  <w:marTop w:val="400"/>
                  <w:marBottom w:val="400"/>
                  <w:divBdr>
                    <w:top w:val="none" w:sz="0" w:space="0" w:color="auto"/>
                    <w:left w:val="none" w:sz="0" w:space="0" w:color="auto"/>
                    <w:bottom w:val="none" w:sz="0" w:space="0" w:color="auto"/>
                    <w:right w:val="none" w:sz="0" w:space="0" w:color="auto"/>
                  </w:divBdr>
                  <w:divsChild>
                    <w:div w:id="804783392">
                      <w:marLeft w:val="0"/>
                      <w:marRight w:val="0"/>
                      <w:marTop w:val="400"/>
                      <w:marBottom w:val="400"/>
                      <w:divBdr>
                        <w:top w:val="single" w:sz="6" w:space="20" w:color="EAC3AF"/>
                        <w:left w:val="single" w:sz="6" w:space="20" w:color="EAC3AF"/>
                        <w:bottom w:val="single" w:sz="6" w:space="20" w:color="EAC3AF"/>
                        <w:right w:val="single" w:sz="6" w:space="20" w:color="EAC3AF"/>
                      </w:divBdr>
                      <w:divsChild>
                        <w:div w:id="13315286">
                          <w:marLeft w:val="0"/>
                          <w:marRight w:val="0"/>
                          <w:marTop w:val="200"/>
                          <w:marBottom w:val="0"/>
                          <w:divBdr>
                            <w:top w:val="none" w:sz="0" w:space="0" w:color="auto"/>
                            <w:left w:val="none" w:sz="0" w:space="0" w:color="auto"/>
                            <w:bottom w:val="none" w:sz="0" w:space="0" w:color="auto"/>
                            <w:right w:val="none" w:sz="0" w:space="0" w:color="auto"/>
                          </w:divBdr>
                          <w:divsChild>
                            <w:div w:id="1935093466">
                              <w:marLeft w:val="0"/>
                              <w:marRight w:val="0"/>
                              <w:marTop w:val="0"/>
                              <w:marBottom w:val="0"/>
                              <w:divBdr>
                                <w:top w:val="none" w:sz="0" w:space="0" w:color="auto"/>
                                <w:left w:val="none" w:sz="0" w:space="0" w:color="auto"/>
                                <w:bottom w:val="none" w:sz="0" w:space="0" w:color="auto"/>
                                <w:right w:val="none" w:sz="0" w:space="0" w:color="auto"/>
                              </w:divBdr>
                            </w:div>
                            <w:div w:id="73669554">
                              <w:marLeft w:val="0"/>
                              <w:marRight w:val="0"/>
                              <w:marTop w:val="200"/>
                              <w:marBottom w:val="0"/>
                              <w:divBdr>
                                <w:top w:val="none" w:sz="0" w:space="0" w:color="auto"/>
                                <w:left w:val="none" w:sz="0" w:space="0" w:color="auto"/>
                                <w:bottom w:val="none" w:sz="0" w:space="0" w:color="auto"/>
                                <w:right w:val="none" w:sz="0" w:space="0" w:color="auto"/>
                              </w:divBdr>
                            </w:div>
                          </w:divsChild>
                        </w:div>
                      </w:divsChild>
                    </w:div>
                    <w:div w:id="854000663">
                      <w:marLeft w:val="0"/>
                      <w:marRight w:val="0"/>
                      <w:marTop w:val="400"/>
                      <w:marBottom w:val="400"/>
                      <w:divBdr>
                        <w:top w:val="none" w:sz="0" w:space="0" w:color="auto"/>
                        <w:left w:val="none" w:sz="0" w:space="0" w:color="auto"/>
                        <w:bottom w:val="none" w:sz="0" w:space="0" w:color="auto"/>
                        <w:right w:val="none" w:sz="0" w:space="0" w:color="auto"/>
                      </w:divBdr>
                      <w:divsChild>
                        <w:div w:id="7607602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009718762">
              <w:marLeft w:val="0"/>
              <w:marRight w:val="0"/>
              <w:marTop w:val="400"/>
              <w:marBottom w:val="400"/>
              <w:divBdr>
                <w:top w:val="none" w:sz="0" w:space="0" w:color="auto"/>
                <w:left w:val="none" w:sz="0" w:space="0" w:color="auto"/>
                <w:bottom w:val="none" w:sz="0" w:space="0" w:color="auto"/>
                <w:right w:val="none" w:sz="0" w:space="0" w:color="auto"/>
              </w:divBdr>
              <w:divsChild>
                <w:div w:id="423691275">
                  <w:marLeft w:val="0"/>
                  <w:marRight w:val="0"/>
                  <w:marTop w:val="400"/>
                  <w:marBottom w:val="400"/>
                  <w:divBdr>
                    <w:top w:val="single" w:sz="6" w:space="20" w:color="EAC3AF"/>
                    <w:left w:val="single" w:sz="6" w:space="20" w:color="EAC3AF"/>
                    <w:bottom w:val="single" w:sz="6" w:space="20" w:color="EAC3AF"/>
                    <w:right w:val="single" w:sz="6" w:space="20" w:color="EAC3AF"/>
                  </w:divBdr>
                  <w:divsChild>
                    <w:div w:id="1527329319">
                      <w:marLeft w:val="0"/>
                      <w:marRight w:val="0"/>
                      <w:marTop w:val="200"/>
                      <w:marBottom w:val="0"/>
                      <w:divBdr>
                        <w:top w:val="none" w:sz="0" w:space="0" w:color="auto"/>
                        <w:left w:val="none" w:sz="0" w:space="0" w:color="auto"/>
                        <w:bottom w:val="none" w:sz="0" w:space="0" w:color="auto"/>
                        <w:right w:val="none" w:sz="0" w:space="0" w:color="auto"/>
                      </w:divBdr>
                      <w:divsChild>
                        <w:div w:id="993029267">
                          <w:marLeft w:val="0"/>
                          <w:marRight w:val="0"/>
                          <w:marTop w:val="0"/>
                          <w:marBottom w:val="0"/>
                          <w:divBdr>
                            <w:top w:val="none" w:sz="0" w:space="0" w:color="auto"/>
                            <w:left w:val="none" w:sz="0" w:space="0" w:color="auto"/>
                            <w:bottom w:val="none" w:sz="0" w:space="0" w:color="auto"/>
                            <w:right w:val="none" w:sz="0" w:space="0" w:color="auto"/>
                          </w:divBdr>
                        </w:div>
                        <w:div w:id="1720133604">
                          <w:marLeft w:val="0"/>
                          <w:marRight w:val="0"/>
                          <w:marTop w:val="200"/>
                          <w:marBottom w:val="0"/>
                          <w:divBdr>
                            <w:top w:val="none" w:sz="0" w:space="0" w:color="auto"/>
                            <w:left w:val="none" w:sz="0" w:space="0" w:color="auto"/>
                            <w:bottom w:val="none" w:sz="0" w:space="0" w:color="auto"/>
                            <w:right w:val="none" w:sz="0" w:space="0" w:color="auto"/>
                          </w:divBdr>
                        </w:div>
                      </w:divsChild>
                    </w:div>
                  </w:divsChild>
                </w:div>
                <w:div w:id="1644197674">
                  <w:marLeft w:val="0"/>
                  <w:marRight w:val="0"/>
                  <w:marTop w:val="400"/>
                  <w:marBottom w:val="400"/>
                  <w:divBdr>
                    <w:top w:val="none" w:sz="0" w:space="0" w:color="auto"/>
                    <w:left w:val="none" w:sz="0" w:space="0" w:color="auto"/>
                    <w:bottom w:val="none" w:sz="0" w:space="0" w:color="auto"/>
                    <w:right w:val="none" w:sz="0" w:space="0" w:color="auto"/>
                  </w:divBdr>
                  <w:divsChild>
                    <w:div w:id="80389168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334800609">
          <w:marLeft w:val="0"/>
          <w:marRight w:val="0"/>
          <w:marTop w:val="400"/>
          <w:marBottom w:val="400"/>
          <w:divBdr>
            <w:top w:val="none" w:sz="0" w:space="0" w:color="auto"/>
            <w:left w:val="none" w:sz="0" w:space="0" w:color="auto"/>
            <w:bottom w:val="none" w:sz="0" w:space="0" w:color="auto"/>
            <w:right w:val="none" w:sz="0" w:space="0" w:color="auto"/>
          </w:divBdr>
          <w:divsChild>
            <w:div w:id="435293197">
              <w:marLeft w:val="0"/>
              <w:marRight w:val="0"/>
              <w:marTop w:val="400"/>
              <w:marBottom w:val="400"/>
              <w:divBdr>
                <w:top w:val="none" w:sz="0" w:space="0" w:color="auto"/>
                <w:left w:val="none" w:sz="0" w:space="0" w:color="auto"/>
                <w:bottom w:val="none" w:sz="0" w:space="0" w:color="auto"/>
                <w:right w:val="none" w:sz="0" w:space="0" w:color="auto"/>
              </w:divBdr>
              <w:divsChild>
                <w:div w:id="1781415354">
                  <w:marLeft w:val="0"/>
                  <w:marRight w:val="0"/>
                  <w:marTop w:val="400"/>
                  <w:marBottom w:val="400"/>
                  <w:divBdr>
                    <w:top w:val="single" w:sz="6" w:space="20" w:color="EAC3AF"/>
                    <w:left w:val="single" w:sz="6" w:space="20" w:color="EAC3AF"/>
                    <w:bottom w:val="single" w:sz="6" w:space="20" w:color="EAC3AF"/>
                    <w:right w:val="single" w:sz="6" w:space="20" w:color="EAC3AF"/>
                  </w:divBdr>
                  <w:divsChild>
                    <w:div w:id="1511531987">
                      <w:marLeft w:val="0"/>
                      <w:marRight w:val="0"/>
                      <w:marTop w:val="200"/>
                      <w:marBottom w:val="200"/>
                      <w:divBdr>
                        <w:top w:val="none" w:sz="0" w:space="0" w:color="auto"/>
                        <w:left w:val="none" w:sz="0" w:space="0" w:color="auto"/>
                        <w:bottom w:val="none" w:sz="0" w:space="0" w:color="auto"/>
                        <w:right w:val="none" w:sz="0" w:space="0" w:color="auto"/>
                      </w:divBdr>
                    </w:div>
                    <w:div w:id="103963082">
                      <w:marLeft w:val="0"/>
                      <w:marRight w:val="0"/>
                      <w:marTop w:val="0"/>
                      <w:marBottom w:val="0"/>
                      <w:divBdr>
                        <w:top w:val="none" w:sz="0" w:space="0" w:color="auto"/>
                        <w:left w:val="none" w:sz="0" w:space="0" w:color="auto"/>
                        <w:bottom w:val="none" w:sz="0" w:space="0" w:color="auto"/>
                        <w:right w:val="none" w:sz="0" w:space="0" w:color="auto"/>
                      </w:divBdr>
                    </w:div>
                    <w:div w:id="1269969409">
                      <w:marLeft w:val="200"/>
                      <w:marRight w:val="200"/>
                      <w:marTop w:val="200"/>
                      <w:marBottom w:val="0"/>
                      <w:divBdr>
                        <w:top w:val="none" w:sz="0" w:space="0" w:color="auto"/>
                        <w:left w:val="none" w:sz="0" w:space="0" w:color="auto"/>
                        <w:bottom w:val="none" w:sz="0" w:space="0" w:color="auto"/>
                        <w:right w:val="none" w:sz="0" w:space="0" w:color="auto"/>
                      </w:divBdr>
                    </w:div>
                  </w:divsChild>
                </w:div>
                <w:div w:id="2127961056">
                  <w:marLeft w:val="0"/>
                  <w:marRight w:val="0"/>
                  <w:marTop w:val="400"/>
                  <w:marBottom w:val="400"/>
                  <w:divBdr>
                    <w:top w:val="single" w:sz="6" w:space="20" w:color="EAC3AF"/>
                    <w:left w:val="single" w:sz="6" w:space="20" w:color="EAC3AF"/>
                    <w:bottom w:val="single" w:sz="6" w:space="20" w:color="EAC3AF"/>
                    <w:right w:val="single" w:sz="6" w:space="20" w:color="EAC3AF"/>
                  </w:divBdr>
                  <w:divsChild>
                    <w:div w:id="327560555">
                      <w:marLeft w:val="0"/>
                      <w:marRight w:val="0"/>
                      <w:marTop w:val="200"/>
                      <w:marBottom w:val="0"/>
                      <w:divBdr>
                        <w:top w:val="none" w:sz="0" w:space="0" w:color="auto"/>
                        <w:left w:val="none" w:sz="0" w:space="0" w:color="auto"/>
                        <w:bottom w:val="none" w:sz="0" w:space="0" w:color="auto"/>
                        <w:right w:val="none" w:sz="0" w:space="0" w:color="auto"/>
                      </w:divBdr>
                      <w:divsChild>
                        <w:div w:id="1132136607">
                          <w:marLeft w:val="0"/>
                          <w:marRight w:val="0"/>
                          <w:marTop w:val="0"/>
                          <w:marBottom w:val="0"/>
                          <w:divBdr>
                            <w:top w:val="none" w:sz="0" w:space="0" w:color="auto"/>
                            <w:left w:val="none" w:sz="0" w:space="0" w:color="auto"/>
                            <w:bottom w:val="none" w:sz="0" w:space="0" w:color="auto"/>
                            <w:right w:val="none" w:sz="0" w:space="0" w:color="auto"/>
                          </w:divBdr>
                        </w:div>
                        <w:div w:id="1075784524">
                          <w:marLeft w:val="0"/>
                          <w:marRight w:val="0"/>
                          <w:marTop w:val="200"/>
                          <w:marBottom w:val="0"/>
                          <w:divBdr>
                            <w:top w:val="none" w:sz="0" w:space="0" w:color="auto"/>
                            <w:left w:val="none" w:sz="0" w:space="0" w:color="auto"/>
                            <w:bottom w:val="none" w:sz="0" w:space="0" w:color="auto"/>
                            <w:right w:val="none" w:sz="0" w:space="0" w:color="auto"/>
                          </w:divBdr>
                        </w:div>
                      </w:divsChild>
                    </w:div>
                  </w:divsChild>
                </w:div>
                <w:div w:id="1214272171">
                  <w:marLeft w:val="0"/>
                  <w:marRight w:val="0"/>
                  <w:marTop w:val="400"/>
                  <w:marBottom w:val="400"/>
                  <w:divBdr>
                    <w:top w:val="single" w:sz="6" w:space="20" w:color="EAC3AF"/>
                    <w:left w:val="single" w:sz="6" w:space="20" w:color="EAC3AF"/>
                    <w:bottom w:val="single" w:sz="6" w:space="20" w:color="EAC3AF"/>
                    <w:right w:val="single" w:sz="6" w:space="20" w:color="EAC3AF"/>
                  </w:divBdr>
                  <w:divsChild>
                    <w:div w:id="328169576">
                      <w:marLeft w:val="0"/>
                      <w:marRight w:val="0"/>
                      <w:marTop w:val="200"/>
                      <w:marBottom w:val="0"/>
                      <w:divBdr>
                        <w:top w:val="none" w:sz="0" w:space="0" w:color="auto"/>
                        <w:left w:val="none" w:sz="0" w:space="0" w:color="auto"/>
                        <w:bottom w:val="none" w:sz="0" w:space="0" w:color="auto"/>
                        <w:right w:val="none" w:sz="0" w:space="0" w:color="auto"/>
                      </w:divBdr>
                      <w:divsChild>
                        <w:div w:id="2046827179">
                          <w:marLeft w:val="0"/>
                          <w:marRight w:val="0"/>
                          <w:marTop w:val="0"/>
                          <w:marBottom w:val="0"/>
                          <w:divBdr>
                            <w:top w:val="none" w:sz="0" w:space="0" w:color="auto"/>
                            <w:left w:val="none" w:sz="0" w:space="0" w:color="auto"/>
                            <w:bottom w:val="none" w:sz="0" w:space="0" w:color="auto"/>
                            <w:right w:val="none" w:sz="0" w:space="0" w:color="auto"/>
                          </w:divBdr>
                        </w:div>
                        <w:div w:id="280966241">
                          <w:marLeft w:val="0"/>
                          <w:marRight w:val="0"/>
                          <w:marTop w:val="200"/>
                          <w:marBottom w:val="0"/>
                          <w:divBdr>
                            <w:top w:val="none" w:sz="0" w:space="0" w:color="auto"/>
                            <w:left w:val="none" w:sz="0" w:space="0" w:color="auto"/>
                            <w:bottom w:val="none" w:sz="0" w:space="0" w:color="auto"/>
                            <w:right w:val="none" w:sz="0" w:space="0" w:color="auto"/>
                          </w:divBdr>
                        </w:div>
                      </w:divsChild>
                    </w:div>
                  </w:divsChild>
                </w:div>
              </w:divsChild>
            </w:div>
            <w:div w:id="1012950065">
              <w:marLeft w:val="0"/>
              <w:marRight w:val="0"/>
              <w:marTop w:val="400"/>
              <w:marBottom w:val="400"/>
              <w:divBdr>
                <w:top w:val="none" w:sz="0" w:space="0" w:color="auto"/>
                <w:left w:val="none" w:sz="0" w:space="0" w:color="auto"/>
                <w:bottom w:val="none" w:sz="0" w:space="0" w:color="auto"/>
                <w:right w:val="none" w:sz="0" w:space="0" w:color="auto"/>
              </w:divBdr>
              <w:divsChild>
                <w:div w:id="1126120844">
                  <w:marLeft w:val="0"/>
                  <w:marRight w:val="0"/>
                  <w:marTop w:val="400"/>
                  <w:marBottom w:val="400"/>
                  <w:divBdr>
                    <w:top w:val="single" w:sz="6" w:space="20" w:color="EAC3AF"/>
                    <w:left w:val="single" w:sz="6" w:space="20" w:color="EAC3AF"/>
                    <w:bottom w:val="single" w:sz="6" w:space="20" w:color="EAC3AF"/>
                    <w:right w:val="single" w:sz="6" w:space="20" w:color="EAC3AF"/>
                  </w:divBdr>
                  <w:divsChild>
                    <w:div w:id="899630820">
                      <w:marLeft w:val="0"/>
                      <w:marRight w:val="0"/>
                      <w:marTop w:val="200"/>
                      <w:marBottom w:val="0"/>
                      <w:divBdr>
                        <w:top w:val="none" w:sz="0" w:space="0" w:color="auto"/>
                        <w:left w:val="none" w:sz="0" w:space="0" w:color="auto"/>
                        <w:bottom w:val="none" w:sz="0" w:space="0" w:color="auto"/>
                        <w:right w:val="none" w:sz="0" w:space="0" w:color="auto"/>
                      </w:divBdr>
                      <w:divsChild>
                        <w:div w:id="219250237">
                          <w:marLeft w:val="0"/>
                          <w:marRight w:val="0"/>
                          <w:marTop w:val="0"/>
                          <w:marBottom w:val="0"/>
                          <w:divBdr>
                            <w:top w:val="none" w:sz="0" w:space="0" w:color="auto"/>
                            <w:left w:val="none" w:sz="0" w:space="0" w:color="auto"/>
                            <w:bottom w:val="none" w:sz="0" w:space="0" w:color="auto"/>
                            <w:right w:val="none" w:sz="0" w:space="0" w:color="auto"/>
                          </w:divBdr>
                        </w:div>
                        <w:div w:id="526018749">
                          <w:marLeft w:val="0"/>
                          <w:marRight w:val="0"/>
                          <w:marTop w:val="200"/>
                          <w:marBottom w:val="0"/>
                          <w:divBdr>
                            <w:top w:val="none" w:sz="0" w:space="0" w:color="auto"/>
                            <w:left w:val="none" w:sz="0" w:space="0" w:color="auto"/>
                            <w:bottom w:val="none" w:sz="0" w:space="0" w:color="auto"/>
                            <w:right w:val="none" w:sz="0" w:space="0" w:color="auto"/>
                          </w:divBdr>
                        </w:div>
                      </w:divsChild>
                    </w:div>
                  </w:divsChild>
                </w:div>
              </w:divsChild>
            </w:div>
          </w:divsChild>
        </w:div>
        <w:div w:id="281810790">
          <w:marLeft w:val="0"/>
          <w:marRight w:val="0"/>
          <w:marTop w:val="400"/>
          <w:marBottom w:val="400"/>
          <w:divBdr>
            <w:top w:val="none" w:sz="0" w:space="0" w:color="auto"/>
            <w:left w:val="none" w:sz="0" w:space="0" w:color="auto"/>
            <w:bottom w:val="none" w:sz="0" w:space="0" w:color="auto"/>
            <w:right w:val="none" w:sz="0" w:space="0" w:color="auto"/>
          </w:divBdr>
        </w:div>
        <w:div w:id="1872495500">
          <w:marLeft w:val="0"/>
          <w:marRight w:val="0"/>
          <w:marTop w:val="400"/>
          <w:marBottom w:val="400"/>
          <w:divBdr>
            <w:top w:val="none" w:sz="0" w:space="0" w:color="auto"/>
            <w:left w:val="none" w:sz="0" w:space="0" w:color="auto"/>
            <w:bottom w:val="none" w:sz="0" w:space="0" w:color="auto"/>
            <w:right w:val="none" w:sz="0" w:space="0" w:color="auto"/>
          </w:divBdr>
          <w:divsChild>
            <w:div w:id="1148011968">
              <w:marLeft w:val="0"/>
              <w:marRight w:val="0"/>
              <w:marTop w:val="400"/>
              <w:marBottom w:val="400"/>
              <w:divBdr>
                <w:top w:val="none" w:sz="0" w:space="0" w:color="auto"/>
                <w:left w:val="none" w:sz="0" w:space="0" w:color="auto"/>
                <w:bottom w:val="none" w:sz="0" w:space="0" w:color="auto"/>
                <w:right w:val="none" w:sz="0" w:space="0" w:color="auto"/>
              </w:divBdr>
            </w:div>
          </w:divsChild>
        </w:div>
        <w:div w:id="685637896">
          <w:marLeft w:val="0"/>
          <w:marRight w:val="0"/>
          <w:marTop w:val="400"/>
          <w:marBottom w:val="400"/>
          <w:divBdr>
            <w:top w:val="none" w:sz="0" w:space="0" w:color="auto"/>
            <w:left w:val="none" w:sz="0" w:space="0" w:color="auto"/>
            <w:bottom w:val="none" w:sz="0" w:space="0" w:color="auto"/>
            <w:right w:val="none" w:sz="0" w:space="0" w:color="auto"/>
          </w:divBdr>
        </w:div>
        <w:div w:id="523786668">
          <w:marLeft w:val="0"/>
          <w:marRight w:val="0"/>
          <w:marTop w:val="400"/>
          <w:marBottom w:val="400"/>
          <w:divBdr>
            <w:top w:val="none" w:sz="0" w:space="0" w:color="auto"/>
            <w:left w:val="none" w:sz="0" w:space="0" w:color="auto"/>
            <w:bottom w:val="none" w:sz="0" w:space="0" w:color="auto"/>
            <w:right w:val="none" w:sz="0" w:space="0" w:color="auto"/>
          </w:divBdr>
          <w:divsChild>
            <w:div w:id="2075155717">
              <w:marLeft w:val="0"/>
              <w:marRight w:val="0"/>
              <w:marTop w:val="400"/>
              <w:marBottom w:val="400"/>
              <w:divBdr>
                <w:top w:val="single" w:sz="6" w:space="20" w:color="EAC3AF"/>
                <w:left w:val="single" w:sz="6" w:space="20" w:color="EAC3AF"/>
                <w:bottom w:val="single" w:sz="6" w:space="20" w:color="EAC3AF"/>
                <w:right w:val="single" w:sz="6" w:space="20" w:color="EAC3AF"/>
              </w:divBdr>
              <w:divsChild>
                <w:div w:id="642387472">
                  <w:marLeft w:val="0"/>
                  <w:marRight w:val="0"/>
                  <w:marTop w:val="200"/>
                  <w:marBottom w:val="0"/>
                  <w:divBdr>
                    <w:top w:val="none" w:sz="0" w:space="0" w:color="auto"/>
                    <w:left w:val="none" w:sz="0" w:space="0" w:color="auto"/>
                    <w:bottom w:val="none" w:sz="0" w:space="0" w:color="auto"/>
                    <w:right w:val="none" w:sz="0" w:space="0" w:color="auto"/>
                  </w:divBdr>
                </w:div>
              </w:divsChild>
            </w:div>
          </w:divsChild>
        </w:div>
        <w:div w:id="1401828733">
          <w:marLeft w:val="0"/>
          <w:marRight w:val="0"/>
          <w:marTop w:val="400"/>
          <w:marBottom w:val="400"/>
          <w:divBdr>
            <w:top w:val="none" w:sz="0" w:space="0" w:color="auto"/>
            <w:left w:val="none" w:sz="0" w:space="0" w:color="auto"/>
            <w:bottom w:val="none" w:sz="0" w:space="0" w:color="auto"/>
            <w:right w:val="none" w:sz="0" w:space="0" w:color="auto"/>
          </w:divBdr>
          <w:divsChild>
            <w:div w:id="65423978">
              <w:marLeft w:val="0"/>
              <w:marRight w:val="0"/>
              <w:marTop w:val="400"/>
              <w:marBottom w:val="400"/>
              <w:divBdr>
                <w:top w:val="none" w:sz="0" w:space="0" w:color="auto"/>
                <w:left w:val="none" w:sz="0" w:space="0" w:color="auto"/>
                <w:bottom w:val="none" w:sz="0" w:space="0" w:color="auto"/>
                <w:right w:val="none" w:sz="0" w:space="0" w:color="auto"/>
              </w:divBdr>
              <w:divsChild>
                <w:div w:id="914969912">
                  <w:marLeft w:val="0"/>
                  <w:marRight w:val="0"/>
                  <w:marTop w:val="200"/>
                  <w:marBottom w:val="200"/>
                  <w:divBdr>
                    <w:top w:val="none" w:sz="0" w:space="0" w:color="auto"/>
                    <w:left w:val="none" w:sz="0" w:space="0" w:color="auto"/>
                    <w:bottom w:val="none" w:sz="0" w:space="0" w:color="auto"/>
                    <w:right w:val="none" w:sz="0" w:space="0" w:color="auto"/>
                  </w:divBdr>
                </w:div>
                <w:div w:id="1581869215">
                  <w:marLeft w:val="0"/>
                  <w:marRight w:val="0"/>
                  <w:marTop w:val="200"/>
                  <w:marBottom w:val="200"/>
                  <w:divBdr>
                    <w:top w:val="none" w:sz="0" w:space="0" w:color="auto"/>
                    <w:left w:val="none" w:sz="0" w:space="0" w:color="auto"/>
                    <w:bottom w:val="none" w:sz="0" w:space="0" w:color="auto"/>
                    <w:right w:val="none" w:sz="0" w:space="0" w:color="auto"/>
                  </w:divBdr>
                </w:div>
                <w:div w:id="1031295565">
                  <w:marLeft w:val="0"/>
                  <w:marRight w:val="0"/>
                  <w:marTop w:val="200"/>
                  <w:marBottom w:val="200"/>
                  <w:divBdr>
                    <w:top w:val="none" w:sz="0" w:space="0" w:color="auto"/>
                    <w:left w:val="none" w:sz="0" w:space="0" w:color="auto"/>
                    <w:bottom w:val="none" w:sz="0" w:space="0" w:color="auto"/>
                    <w:right w:val="none" w:sz="0" w:space="0" w:color="auto"/>
                  </w:divBdr>
                </w:div>
                <w:div w:id="2137680208">
                  <w:marLeft w:val="0"/>
                  <w:marRight w:val="0"/>
                  <w:marTop w:val="200"/>
                  <w:marBottom w:val="200"/>
                  <w:divBdr>
                    <w:top w:val="none" w:sz="0" w:space="0" w:color="auto"/>
                    <w:left w:val="none" w:sz="0" w:space="0" w:color="auto"/>
                    <w:bottom w:val="none" w:sz="0" w:space="0" w:color="auto"/>
                    <w:right w:val="none" w:sz="0" w:space="0" w:color="auto"/>
                  </w:divBdr>
                </w:div>
                <w:div w:id="1387756510">
                  <w:marLeft w:val="0"/>
                  <w:marRight w:val="0"/>
                  <w:marTop w:val="200"/>
                  <w:marBottom w:val="200"/>
                  <w:divBdr>
                    <w:top w:val="none" w:sz="0" w:space="0" w:color="auto"/>
                    <w:left w:val="none" w:sz="0" w:space="0" w:color="auto"/>
                    <w:bottom w:val="none" w:sz="0" w:space="0" w:color="auto"/>
                    <w:right w:val="none" w:sz="0" w:space="0" w:color="auto"/>
                  </w:divBdr>
                </w:div>
                <w:div w:id="860514572">
                  <w:marLeft w:val="0"/>
                  <w:marRight w:val="0"/>
                  <w:marTop w:val="200"/>
                  <w:marBottom w:val="200"/>
                  <w:divBdr>
                    <w:top w:val="none" w:sz="0" w:space="0" w:color="auto"/>
                    <w:left w:val="none" w:sz="0" w:space="0" w:color="auto"/>
                    <w:bottom w:val="none" w:sz="0" w:space="0" w:color="auto"/>
                    <w:right w:val="none" w:sz="0" w:space="0" w:color="auto"/>
                  </w:divBdr>
                </w:div>
                <w:div w:id="723286903">
                  <w:marLeft w:val="0"/>
                  <w:marRight w:val="0"/>
                  <w:marTop w:val="200"/>
                  <w:marBottom w:val="200"/>
                  <w:divBdr>
                    <w:top w:val="none" w:sz="0" w:space="0" w:color="auto"/>
                    <w:left w:val="none" w:sz="0" w:space="0" w:color="auto"/>
                    <w:bottom w:val="none" w:sz="0" w:space="0" w:color="auto"/>
                    <w:right w:val="none" w:sz="0" w:space="0" w:color="auto"/>
                  </w:divBdr>
                </w:div>
                <w:div w:id="656685940">
                  <w:marLeft w:val="0"/>
                  <w:marRight w:val="0"/>
                  <w:marTop w:val="200"/>
                  <w:marBottom w:val="200"/>
                  <w:divBdr>
                    <w:top w:val="none" w:sz="0" w:space="0" w:color="auto"/>
                    <w:left w:val="none" w:sz="0" w:space="0" w:color="auto"/>
                    <w:bottom w:val="none" w:sz="0" w:space="0" w:color="auto"/>
                    <w:right w:val="none" w:sz="0" w:space="0" w:color="auto"/>
                  </w:divBdr>
                </w:div>
                <w:div w:id="1687292530">
                  <w:marLeft w:val="0"/>
                  <w:marRight w:val="0"/>
                  <w:marTop w:val="200"/>
                  <w:marBottom w:val="200"/>
                  <w:divBdr>
                    <w:top w:val="none" w:sz="0" w:space="0" w:color="auto"/>
                    <w:left w:val="none" w:sz="0" w:space="0" w:color="auto"/>
                    <w:bottom w:val="none" w:sz="0" w:space="0" w:color="auto"/>
                    <w:right w:val="none" w:sz="0" w:space="0" w:color="auto"/>
                  </w:divBdr>
                </w:div>
                <w:div w:id="1080563812">
                  <w:marLeft w:val="0"/>
                  <w:marRight w:val="0"/>
                  <w:marTop w:val="200"/>
                  <w:marBottom w:val="200"/>
                  <w:divBdr>
                    <w:top w:val="none" w:sz="0" w:space="0" w:color="auto"/>
                    <w:left w:val="none" w:sz="0" w:space="0" w:color="auto"/>
                    <w:bottom w:val="none" w:sz="0" w:space="0" w:color="auto"/>
                    <w:right w:val="none" w:sz="0" w:space="0" w:color="auto"/>
                  </w:divBdr>
                </w:div>
                <w:div w:id="1321696337">
                  <w:marLeft w:val="0"/>
                  <w:marRight w:val="0"/>
                  <w:marTop w:val="200"/>
                  <w:marBottom w:val="200"/>
                  <w:divBdr>
                    <w:top w:val="none" w:sz="0" w:space="0" w:color="auto"/>
                    <w:left w:val="none" w:sz="0" w:space="0" w:color="auto"/>
                    <w:bottom w:val="none" w:sz="0" w:space="0" w:color="auto"/>
                    <w:right w:val="none" w:sz="0" w:space="0" w:color="auto"/>
                  </w:divBdr>
                </w:div>
                <w:div w:id="1557006408">
                  <w:marLeft w:val="0"/>
                  <w:marRight w:val="0"/>
                  <w:marTop w:val="200"/>
                  <w:marBottom w:val="200"/>
                  <w:divBdr>
                    <w:top w:val="none" w:sz="0" w:space="0" w:color="auto"/>
                    <w:left w:val="none" w:sz="0" w:space="0" w:color="auto"/>
                    <w:bottom w:val="none" w:sz="0" w:space="0" w:color="auto"/>
                    <w:right w:val="none" w:sz="0" w:space="0" w:color="auto"/>
                  </w:divBdr>
                </w:div>
                <w:div w:id="697118174">
                  <w:marLeft w:val="0"/>
                  <w:marRight w:val="0"/>
                  <w:marTop w:val="200"/>
                  <w:marBottom w:val="200"/>
                  <w:divBdr>
                    <w:top w:val="none" w:sz="0" w:space="0" w:color="auto"/>
                    <w:left w:val="none" w:sz="0" w:space="0" w:color="auto"/>
                    <w:bottom w:val="none" w:sz="0" w:space="0" w:color="auto"/>
                    <w:right w:val="none" w:sz="0" w:space="0" w:color="auto"/>
                  </w:divBdr>
                </w:div>
                <w:div w:id="987592627">
                  <w:marLeft w:val="0"/>
                  <w:marRight w:val="0"/>
                  <w:marTop w:val="200"/>
                  <w:marBottom w:val="200"/>
                  <w:divBdr>
                    <w:top w:val="none" w:sz="0" w:space="0" w:color="auto"/>
                    <w:left w:val="none" w:sz="0" w:space="0" w:color="auto"/>
                    <w:bottom w:val="none" w:sz="0" w:space="0" w:color="auto"/>
                    <w:right w:val="none" w:sz="0" w:space="0" w:color="auto"/>
                  </w:divBdr>
                </w:div>
                <w:div w:id="876087576">
                  <w:marLeft w:val="0"/>
                  <w:marRight w:val="0"/>
                  <w:marTop w:val="200"/>
                  <w:marBottom w:val="200"/>
                  <w:divBdr>
                    <w:top w:val="none" w:sz="0" w:space="0" w:color="auto"/>
                    <w:left w:val="none" w:sz="0" w:space="0" w:color="auto"/>
                    <w:bottom w:val="none" w:sz="0" w:space="0" w:color="auto"/>
                    <w:right w:val="none" w:sz="0" w:space="0" w:color="auto"/>
                  </w:divBdr>
                </w:div>
                <w:div w:id="2028483037">
                  <w:marLeft w:val="0"/>
                  <w:marRight w:val="0"/>
                  <w:marTop w:val="200"/>
                  <w:marBottom w:val="200"/>
                  <w:divBdr>
                    <w:top w:val="none" w:sz="0" w:space="0" w:color="auto"/>
                    <w:left w:val="none" w:sz="0" w:space="0" w:color="auto"/>
                    <w:bottom w:val="none" w:sz="0" w:space="0" w:color="auto"/>
                    <w:right w:val="none" w:sz="0" w:space="0" w:color="auto"/>
                  </w:divBdr>
                </w:div>
                <w:div w:id="2057267737">
                  <w:marLeft w:val="0"/>
                  <w:marRight w:val="0"/>
                  <w:marTop w:val="200"/>
                  <w:marBottom w:val="200"/>
                  <w:divBdr>
                    <w:top w:val="none" w:sz="0" w:space="0" w:color="auto"/>
                    <w:left w:val="none" w:sz="0" w:space="0" w:color="auto"/>
                    <w:bottom w:val="none" w:sz="0" w:space="0" w:color="auto"/>
                    <w:right w:val="none" w:sz="0" w:space="0" w:color="auto"/>
                  </w:divBdr>
                </w:div>
                <w:div w:id="2038195032">
                  <w:marLeft w:val="0"/>
                  <w:marRight w:val="0"/>
                  <w:marTop w:val="200"/>
                  <w:marBottom w:val="200"/>
                  <w:divBdr>
                    <w:top w:val="none" w:sz="0" w:space="0" w:color="auto"/>
                    <w:left w:val="none" w:sz="0" w:space="0" w:color="auto"/>
                    <w:bottom w:val="none" w:sz="0" w:space="0" w:color="auto"/>
                    <w:right w:val="none" w:sz="0" w:space="0" w:color="auto"/>
                  </w:divBdr>
                </w:div>
                <w:div w:id="1225750996">
                  <w:marLeft w:val="0"/>
                  <w:marRight w:val="0"/>
                  <w:marTop w:val="200"/>
                  <w:marBottom w:val="200"/>
                  <w:divBdr>
                    <w:top w:val="none" w:sz="0" w:space="0" w:color="auto"/>
                    <w:left w:val="none" w:sz="0" w:space="0" w:color="auto"/>
                    <w:bottom w:val="none" w:sz="0" w:space="0" w:color="auto"/>
                    <w:right w:val="none" w:sz="0" w:space="0" w:color="auto"/>
                  </w:divBdr>
                </w:div>
                <w:div w:id="1546025594">
                  <w:marLeft w:val="0"/>
                  <w:marRight w:val="0"/>
                  <w:marTop w:val="200"/>
                  <w:marBottom w:val="200"/>
                  <w:divBdr>
                    <w:top w:val="none" w:sz="0" w:space="0" w:color="auto"/>
                    <w:left w:val="none" w:sz="0" w:space="0" w:color="auto"/>
                    <w:bottom w:val="none" w:sz="0" w:space="0" w:color="auto"/>
                    <w:right w:val="none" w:sz="0" w:space="0" w:color="auto"/>
                  </w:divBdr>
                </w:div>
                <w:div w:id="1012100219">
                  <w:marLeft w:val="0"/>
                  <w:marRight w:val="0"/>
                  <w:marTop w:val="200"/>
                  <w:marBottom w:val="200"/>
                  <w:divBdr>
                    <w:top w:val="none" w:sz="0" w:space="0" w:color="auto"/>
                    <w:left w:val="none" w:sz="0" w:space="0" w:color="auto"/>
                    <w:bottom w:val="none" w:sz="0" w:space="0" w:color="auto"/>
                    <w:right w:val="none" w:sz="0" w:space="0" w:color="auto"/>
                  </w:divBdr>
                </w:div>
                <w:div w:id="1336566142">
                  <w:marLeft w:val="0"/>
                  <w:marRight w:val="0"/>
                  <w:marTop w:val="200"/>
                  <w:marBottom w:val="200"/>
                  <w:divBdr>
                    <w:top w:val="none" w:sz="0" w:space="0" w:color="auto"/>
                    <w:left w:val="none" w:sz="0" w:space="0" w:color="auto"/>
                    <w:bottom w:val="none" w:sz="0" w:space="0" w:color="auto"/>
                    <w:right w:val="none" w:sz="0" w:space="0" w:color="auto"/>
                  </w:divBdr>
                </w:div>
                <w:div w:id="1358039048">
                  <w:marLeft w:val="0"/>
                  <w:marRight w:val="0"/>
                  <w:marTop w:val="200"/>
                  <w:marBottom w:val="200"/>
                  <w:divBdr>
                    <w:top w:val="none" w:sz="0" w:space="0" w:color="auto"/>
                    <w:left w:val="none" w:sz="0" w:space="0" w:color="auto"/>
                    <w:bottom w:val="none" w:sz="0" w:space="0" w:color="auto"/>
                    <w:right w:val="none" w:sz="0" w:space="0" w:color="auto"/>
                  </w:divBdr>
                </w:div>
                <w:div w:id="547305836">
                  <w:marLeft w:val="0"/>
                  <w:marRight w:val="0"/>
                  <w:marTop w:val="200"/>
                  <w:marBottom w:val="200"/>
                  <w:divBdr>
                    <w:top w:val="none" w:sz="0" w:space="0" w:color="auto"/>
                    <w:left w:val="none" w:sz="0" w:space="0" w:color="auto"/>
                    <w:bottom w:val="none" w:sz="0" w:space="0" w:color="auto"/>
                    <w:right w:val="none" w:sz="0" w:space="0" w:color="auto"/>
                  </w:divBdr>
                </w:div>
                <w:div w:id="2107920976">
                  <w:marLeft w:val="0"/>
                  <w:marRight w:val="0"/>
                  <w:marTop w:val="200"/>
                  <w:marBottom w:val="200"/>
                  <w:divBdr>
                    <w:top w:val="none" w:sz="0" w:space="0" w:color="auto"/>
                    <w:left w:val="none" w:sz="0" w:space="0" w:color="auto"/>
                    <w:bottom w:val="none" w:sz="0" w:space="0" w:color="auto"/>
                    <w:right w:val="none" w:sz="0" w:space="0" w:color="auto"/>
                  </w:divBdr>
                </w:div>
                <w:div w:id="1801532895">
                  <w:marLeft w:val="0"/>
                  <w:marRight w:val="0"/>
                  <w:marTop w:val="200"/>
                  <w:marBottom w:val="200"/>
                  <w:divBdr>
                    <w:top w:val="none" w:sz="0" w:space="0" w:color="auto"/>
                    <w:left w:val="none" w:sz="0" w:space="0" w:color="auto"/>
                    <w:bottom w:val="none" w:sz="0" w:space="0" w:color="auto"/>
                    <w:right w:val="none" w:sz="0" w:space="0" w:color="auto"/>
                  </w:divBdr>
                </w:div>
                <w:div w:id="887306475">
                  <w:marLeft w:val="0"/>
                  <w:marRight w:val="0"/>
                  <w:marTop w:val="200"/>
                  <w:marBottom w:val="200"/>
                  <w:divBdr>
                    <w:top w:val="none" w:sz="0" w:space="0" w:color="auto"/>
                    <w:left w:val="none" w:sz="0" w:space="0" w:color="auto"/>
                    <w:bottom w:val="none" w:sz="0" w:space="0" w:color="auto"/>
                    <w:right w:val="none" w:sz="0" w:space="0" w:color="auto"/>
                  </w:divBdr>
                </w:div>
                <w:div w:id="883174741">
                  <w:marLeft w:val="0"/>
                  <w:marRight w:val="0"/>
                  <w:marTop w:val="200"/>
                  <w:marBottom w:val="200"/>
                  <w:divBdr>
                    <w:top w:val="none" w:sz="0" w:space="0" w:color="auto"/>
                    <w:left w:val="none" w:sz="0" w:space="0" w:color="auto"/>
                    <w:bottom w:val="none" w:sz="0" w:space="0" w:color="auto"/>
                    <w:right w:val="none" w:sz="0" w:space="0" w:color="auto"/>
                  </w:divBdr>
                </w:div>
                <w:div w:id="793643717">
                  <w:marLeft w:val="0"/>
                  <w:marRight w:val="0"/>
                  <w:marTop w:val="200"/>
                  <w:marBottom w:val="200"/>
                  <w:divBdr>
                    <w:top w:val="none" w:sz="0" w:space="0" w:color="auto"/>
                    <w:left w:val="none" w:sz="0" w:space="0" w:color="auto"/>
                    <w:bottom w:val="none" w:sz="0" w:space="0" w:color="auto"/>
                    <w:right w:val="none" w:sz="0" w:space="0" w:color="auto"/>
                  </w:divBdr>
                </w:div>
                <w:div w:id="557859257">
                  <w:marLeft w:val="0"/>
                  <w:marRight w:val="0"/>
                  <w:marTop w:val="200"/>
                  <w:marBottom w:val="200"/>
                  <w:divBdr>
                    <w:top w:val="none" w:sz="0" w:space="0" w:color="auto"/>
                    <w:left w:val="none" w:sz="0" w:space="0" w:color="auto"/>
                    <w:bottom w:val="none" w:sz="0" w:space="0" w:color="auto"/>
                    <w:right w:val="none" w:sz="0" w:space="0" w:color="auto"/>
                  </w:divBdr>
                </w:div>
              </w:divsChild>
            </w:div>
          </w:divsChild>
        </w:div>
      </w:divsChild>
    </w:div>
    <w:div w:id="973565105">
      <w:bodyDiv w:val="1"/>
      <w:marLeft w:val="0"/>
      <w:marRight w:val="0"/>
      <w:marTop w:val="0"/>
      <w:marBottom w:val="0"/>
      <w:divBdr>
        <w:top w:val="none" w:sz="0" w:space="0" w:color="auto"/>
        <w:left w:val="none" w:sz="0" w:space="0" w:color="auto"/>
        <w:bottom w:val="none" w:sz="0" w:space="0" w:color="auto"/>
        <w:right w:val="none" w:sz="0" w:space="0" w:color="auto"/>
      </w:divBdr>
      <w:divsChild>
        <w:div w:id="465512765">
          <w:marLeft w:val="0"/>
          <w:marRight w:val="0"/>
          <w:marTop w:val="0"/>
          <w:marBottom w:val="0"/>
          <w:divBdr>
            <w:top w:val="none" w:sz="0" w:space="0" w:color="auto"/>
            <w:left w:val="none" w:sz="0" w:space="0" w:color="auto"/>
            <w:bottom w:val="none" w:sz="0" w:space="0" w:color="auto"/>
            <w:right w:val="none" w:sz="0" w:space="0" w:color="auto"/>
          </w:divBdr>
          <w:divsChild>
            <w:div w:id="569190520">
              <w:marLeft w:val="0"/>
              <w:marRight w:val="0"/>
              <w:marTop w:val="0"/>
              <w:marBottom w:val="0"/>
              <w:divBdr>
                <w:top w:val="none" w:sz="0" w:space="0" w:color="auto"/>
                <w:left w:val="none" w:sz="0" w:space="0" w:color="auto"/>
                <w:bottom w:val="none" w:sz="0" w:space="0" w:color="auto"/>
                <w:right w:val="none" w:sz="0" w:space="0" w:color="auto"/>
              </w:divBdr>
            </w:div>
          </w:divsChild>
        </w:div>
        <w:div w:id="785737693">
          <w:marLeft w:val="0"/>
          <w:marRight w:val="0"/>
          <w:marTop w:val="0"/>
          <w:marBottom w:val="0"/>
          <w:divBdr>
            <w:top w:val="none" w:sz="0" w:space="0" w:color="auto"/>
            <w:left w:val="none" w:sz="0" w:space="0" w:color="auto"/>
            <w:bottom w:val="none" w:sz="0" w:space="0" w:color="auto"/>
            <w:right w:val="none" w:sz="0" w:space="0" w:color="auto"/>
          </w:divBdr>
          <w:divsChild>
            <w:div w:id="524253801">
              <w:marLeft w:val="0"/>
              <w:marRight w:val="0"/>
              <w:marTop w:val="0"/>
              <w:marBottom w:val="0"/>
              <w:divBdr>
                <w:top w:val="none" w:sz="0" w:space="0" w:color="auto"/>
                <w:left w:val="none" w:sz="0" w:space="0" w:color="auto"/>
                <w:bottom w:val="none" w:sz="0" w:space="0" w:color="auto"/>
                <w:right w:val="none" w:sz="0" w:space="0" w:color="auto"/>
              </w:divBdr>
            </w:div>
          </w:divsChild>
        </w:div>
        <w:div w:id="962081504">
          <w:marLeft w:val="0"/>
          <w:marRight w:val="0"/>
          <w:marTop w:val="0"/>
          <w:marBottom w:val="0"/>
          <w:divBdr>
            <w:top w:val="none" w:sz="0" w:space="0" w:color="auto"/>
            <w:left w:val="none" w:sz="0" w:space="0" w:color="auto"/>
            <w:bottom w:val="none" w:sz="0" w:space="0" w:color="auto"/>
            <w:right w:val="none" w:sz="0" w:space="0" w:color="auto"/>
          </w:divBdr>
        </w:div>
        <w:div w:id="358822028">
          <w:marLeft w:val="0"/>
          <w:marRight w:val="0"/>
          <w:marTop w:val="0"/>
          <w:marBottom w:val="0"/>
          <w:divBdr>
            <w:top w:val="none" w:sz="0" w:space="0" w:color="auto"/>
            <w:left w:val="none" w:sz="0" w:space="0" w:color="auto"/>
            <w:bottom w:val="none" w:sz="0" w:space="0" w:color="auto"/>
            <w:right w:val="none" w:sz="0" w:space="0" w:color="auto"/>
          </w:divBdr>
        </w:div>
        <w:div w:id="143357622">
          <w:marLeft w:val="0"/>
          <w:marRight w:val="0"/>
          <w:marTop w:val="0"/>
          <w:marBottom w:val="0"/>
          <w:divBdr>
            <w:top w:val="none" w:sz="0" w:space="0" w:color="auto"/>
            <w:left w:val="none" w:sz="0" w:space="0" w:color="auto"/>
            <w:bottom w:val="none" w:sz="0" w:space="0" w:color="auto"/>
            <w:right w:val="none" w:sz="0" w:space="0" w:color="auto"/>
          </w:divBdr>
        </w:div>
        <w:div w:id="539055087">
          <w:marLeft w:val="0"/>
          <w:marRight w:val="0"/>
          <w:marTop w:val="0"/>
          <w:marBottom w:val="0"/>
          <w:divBdr>
            <w:top w:val="none" w:sz="0" w:space="0" w:color="auto"/>
            <w:left w:val="none" w:sz="0" w:space="0" w:color="auto"/>
            <w:bottom w:val="none" w:sz="0" w:space="0" w:color="auto"/>
            <w:right w:val="none" w:sz="0" w:space="0" w:color="auto"/>
          </w:divBdr>
        </w:div>
        <w:div w:id="1831604911">
          <w:marLeft w:val="0"/>
          <w:marRight w:val="0"/>
          <w:marTop w:val="0"/>
          <w:marBottom w:val="0"/>
          <w:divBdr>
            <w:top w:val="none" w:sz="0" w:space="0" w:color="auto"/>
            <w:left w:val="none" w:sz="0" w:space="0" w:color="auto"/>
            <w:bottom w:val="none" w:sz="0" w:space="0" w:color="auto"/>
            <w:right w:val="none" w:sz="0" w:space="0" w:color="auto"/>
          </w:divBdr>
        </w:div>
        <w:div w:id="1724450918">
          <w:marLeft w:val="0"/>
          <w:marRight w:val="0"/>
          <w:marTop w:val="0"/>
          <w:marBottom w:val="0"/>
          <w:divBdr>
            <w:top w:val="none" w:sz="0" w:space="0" w:color="auto"/>
            <w:left w:val="none" w:sz="0" w:space="0" w:color="auto"/>
            <w:bottom w:val="none" w:sz="0" w:space="0" w:color="auto"/>
            <w:right w:val="none" w:sz="0" w:space="0" w:color="auto"/>
          </w:divBdr>
        </w:div>
        <w:div w:id="1181159786">
          <w:marLeft w:val="0"/>
          <w:marRight w:val="0"/>
          <w:marTop w:val="0"/>
          <w:marBottom w:val="0"/>
          <w:divBdr>
            <w:top w:val="none" w:sz="0" w:space="0" w:color="auto"/>
            <w:left w:val="none" w:sz="0" w:space="0" w:color="auto"/>
            <w:bottom w:val="none" w:sz="0" w:space="0" w:color="auto"/>
            <w:right w:val="none" w:sz="0" w:space="0" w:color="auto"/>
          </w:divBdr>
          <w:divsChild>
            <w:div w:id="1271663730">
              <w:marLeft w:val="0"/>
              <w:marRight w:val="0"/>
              <w:marTop w:val="0"/>
              <w:marBottom w:val="0"/>
              <w:divBdr>
                <w:top w:val="none" w:sz="0" w:space="0" w:color="auto"/>
                <w:left w:val="none" w:sz="0" w:space="0" w:color="auto"/>
                <w:bottom w:val="none" w:sz="0" w:space="0" w:color="auto"/>
                <w:right w:val="none" w:sz="0" w:space="0" w:color="auto"/>
              </w:divBdr>
            </w:div>
          </w:divsChild>
        </w:div>
        <w:div w:id="138963149">
          <w:marLeft w:val="0"/>
          <w:marRight w:val="0"/>
          <w:marTop w:val="0"/>
          <w:marBottom w:val="0"/>
          <w:divBdr>
            <w:top w:val="none" w:sz="0" w:space="0" w:color="auto"/>
            <w:left w:val="none" w:sz="0" w:space="0" w:color="auto"/>
            <w:bottom w:val="none" w:sz="0" w:space="0" w:color="auto"/>
            <w:right w:val="none" w:sz="0" w:space="0" w:color="auto"/>
          </w:divBdr>
          <w:divsChild>
            <w:div w:id="14774353">
              <w:marLeft w:val="0"/>
              <w:marRight w:val="0"/>
              <w:marTop w:val="0"/>
              <w:marBottom w:val="0"/>
              <w:divBdr>
                <w:top w:val="none" w:sz="0" w:space="0" w:color="auto"/>
                <w:left w:val="none" w:sz="0" w:space="0" w:color="auto"/>
                <w:bottom w:val="none" w:sz="0" w:space="0" w:color="auto"/>
                <w:right w:val="none" w:sz="0" w:space="0" w:color="auto"/>
              </w:divBdr>
            </w:div>
          </w:divsChild>
        </w:div>
        <w:div w:id="350761200">
          <w:marLeft w:val="0"/>
          <w:marRight w:val="0"/>
          <w:marTop w:val="0"/>
          <w:marBottom w:val="0"/>
          <w:divBdr>
            <w:top w:val="none" w:sz="0" w:space="0" w:color="auto"/>
            <w:left w:val="none" w:sz="0" w:space="0" w:color="auto"/>
            <w:bottom w:val="none" w:sz="0" w:space="0" w:color="auto"/>
            <w:right w:val="none" w:sz="0" w:space="0" w:color="auto"/>
          </w:divBdr>
        </w:div>
        <w:div w:id="2079941259">
          <w:marLeft w:val="0"/>
          <w:marRight w:val="0"/>
          <w:marTop w:val="0"/>
          <w:marBottom w:val="0"/>
          <w:divBdr>
            <w:top w:val="none" w:sz="0" w:space="0" w:color="auto"/>
            <w:left w:val="none" w:sz="0" w:space="0" w:color="auto"/>
            <w:bottom w:val="none" w:sz="0" w:space="0" w:color="auto"/>
            <w:right w:val="none" w:sz="0" w:space="0" w:color="auto"/>
          </w:divBdr>
        </w:div>
        <w:div w:id="620573409">
          <w:marLeft w:val="0"/>
          <w:marRight w:val="0"/>
          <w:marTop w:val="0"/>
          <w:marBottom w:val="0"/>
          <w:divBdr>
            <w:top w:val="none" w:sz="0" w:space="0" w:color="auto"/>
            <w:left w:val="none" w:sz="0" w:space="0" w:color="auto"/>
            <w:bottom w:val="none" w:sz="0" w:space="0" w:color="auto"/>
            <w:right w:val="none" w:sz="0" w:space="0" w:color="auto"/>
          </w:divBdr>
          <w:divsChild>
            <w:div w:id="946737551">
              <w:marLeft w:val="0"/>
              <w:marRight w:val="0"/>
              <w:marTop w:val="0"/>
              <w:marBottom w:val="0"/>
              <w:divBdr>
                <w:top w:val="none" w:sz="0" w:space="0" w:color="auto"/>
                <w:left w:val="none" w:sz="0" w:space="0" w:color="auto"/>
                <w:bottom w:val="none" w:sz="0" w:space="0" w:color="auto"/>
                <w:right w:val="none" w:sz="0" w:space="0" w:color="auto"/>
              </w:divBdr>
            </w:div>
          </w:divsChild>
        </w:div>
        <w:div w:id="1952861099">
          <w:marLeft w:val="0"/>
          <w:marRight w:val="0"/>
          <w:marTop w:val="0"/>
          <w:marBottom w:val="0"/>
          <w:divBdr>
            <w:top w:val="none" w:sz="0" w:space="0" w:color="auto"/>
            <w:left w:val="none" w:sz="0" w:space="0" w:color="auto"/>
            <w:bottom w:val="none" w:sz="0" w:space="0" w:color="auto"/>
            <w:right w:val="none" w:sz="0" w:space="0" w:color="auto"/>
          </w:divBdr>
        </w:div>
        <w:div w:id="1589003753">
          <w:marLeft w:val="0"/>
          <w:marRight w:val="0"/>
          <w:marTop w:val="0"/>
          <w:marBottom w:val="0"/>
          <w:divBdr>
            <w:top w:val="none" w:sz="0" w:space="0" w:color="auto"/>
            <w:left w:val="none" w:sz="0" w:space="0" w:color="auto"/>
            <w:bottom w:val="none" w:sz="0" w:space="0" w:color="auto"/>
            <w:right w:val="none" w:sz="0" w:space="0" w:color="auto"/>
          </w:divBdr>
          <w:divsChild>
            <w:div w:id="402676701">
              <w:marLeft w:val="0"/>
              <w:marRight w:val="0"/>
              <w:marTop w:val="0"/>
              <w:marBottom w:val="0"/>
              <w:divBdr>
                <w:top w:val="none" w:sz="0" w:space="0" w:color="auto"/>
                <w:left w:val="none" w:sz="0" w:space="0" w:color="auto"/>
                <w:bottom w:val="none" w:sz="0" w:space="0" w:color="auto"/>
                <w:right w:val="none" w:sz="0" w:space="0" w:color="auto"/>
              </w:divBdr>
            </w:div>
          </w:divsChild>
        </w:div>
        <w:div w:id="1996567493">
          <w:marLeft w:val="0"/>
          <w:marRight w:val="0"/>
          <w:marTop w:val="0"/>
          <w:marBottom w:val="0"/>
          <w:divBdr>
            <w:top w:val="none" w:sz="0" w:space="0" w:color="auto"/>
            <w:left w:val="none" w:sz="0" w:space="0" w:color="auto"/>
            <w:bottom w:val="none" w:sz="0" w:space="0" w:color="auto"/>
            <w:right w:val="none" w:sz="0" w:space="0" w:color="auto"/>
          </w:divBdr>
          <w:divsChild>
            <w:div w:id="1019351081">
              <w:marLeft w:val="0"/>
              <w:marRight w:val="0"/>
              <w:marTop w:val="0"/>
              <w:marBottom w:val="0"/>
              <w:divBdr>
                <w:top w:val="none" w:sz="0" w:space="0" w:color="auto"/>
                <w:left w:val="none" w:sz="0" w:space="0" w:color="auto"/>
                <w:bottom w:val="none" w:sz="0" w:space="0" w:color="auto"/>
                <w:right w:val="none" w:sz="0" w:space="0" w:color="auto"/>
              </w:divBdr>
            </w:div>
          </w:divsChild>
        </w:div>
        <w:div w:id="1324819047">
          <w:marLeft w:val="0"/>
          <w:marRight w:val="0"/>
          <w:marTop w:val="0"/>
          <w:marBottom w:val="0"/>
          <w:divBdr>
            <w:top w:val="none" w:sz="0" w:space="0" w:color="auto"/>
            <w:left w:val="none" w:sz="0" w:space="0" w:color="auto"/>
            <w:bottom w:val="none" w:sz="0" w:space="0" w:color="auto"/>
            <w:right w:val="none" w:sz="0" w:space="0" w:color="auto"/>
          </w:divBdr>
          <w:divsChild>
            <w:div w:id="1523712169">
              <w:marLeft w:val="0"/>
              <w:marRight w:val="0"/>
              <w:marTop w:val="0"/>
              <w:marBottom w:val="0"/>
              <w:divBdr>
                <w:top w:val="none" w:sz="0" w:space="0" w:color="auto"/>
                <w:left w:val="none" w:sz="0" w:space="0" w:color="auto"/>
                <w:bottom w:val="none" w:sz="0" w:space="0" w:color="auto"/>
                <w:right w:val="none" w:sz="0" w:space="0" w:color="auto"/>
              </w:divBdr>
            </w:div>
          </w:divsChild>
        </w:div>
        <w:div w:id="306320632">
          <w:marLeft w:val="0"/>
          <w:marRight w:val="0"/>
          <w:marTop w:val="0"/>
          <w:marBottom w:val="0"/>
          <w:divBdr>
            <w:top w:val="none" w:sz="0" w:space="0" w:color="auto"/>
            <w:left w:val="none" w:sz="0" w:space="0" w:color="auto"/>
            <w:bottom w:val="none" w:sz="0" w:space="0" w:color="auto"/>
            <w:right w:val="none" w:sz="0" w:space="0" w:color="auto"/>
          </w:divBdr>
          <w:divsChild>
            <w:div w:id="1288269425">
              <w:marLeft w:val="0"/>
              <w:marRight w:val="0"/>
              <w:marTop w:val="0"/>
              <w:marBottom w:val="0"/>
              <w:divBdr>
                <w:top w:val="none" w:sz="0" w:space="0" w:color="auto"/>
                <w:left w:val="none" w:sz="0" w:space="0" w:color="auto"/>
                <w:bottom w:val="none" w:sz="0" w:space="0" w:color="auto"/>
                <w:right w:val="none" w:sz="0" w:space="0" w:color="auto"/>
              </w:divBdr>
            </w:div>
          </w:divsChild>
        </w:div>
        <w:div w:id="1810710139">
          <w:marLeft w:val="0"/>
          <w:marRight w:val="0"/>
          <w:marTop w:val="0"/>
          <w:marBottom w:val="0"/>
          <w:divBdr>
            <w:top w:val="none" w:sz="0" w:space="0" w:color="auto"/>
            <w:left w:val="none" w:sz="0" w:space="0" w:color="auto"/>
            <w:bottom w:val="none" w:sz="0" w:space="0" w:color="auto"/>
            <w:right w:val="none" w:sz="0" w:space="0" w:color="auto"/>
          </w:divBdr>
          <w:divsChild>
            <w:div w:id="731343132">
              <w:marLeft w:val="0"/>
              <w:marRight w:val="0"/>
              <w:marTop w:val="0"/>
              <w:marBottom w:val="0"/>
              <w:divBdr>
                <w:top w:val="none" w:sz="0" w:space="0" w:color="auto"/>
                <w:left w:val="none" w:sz="0" w:space="0" w:color="auto"/>
                <w:bottom w:val="none" w:sz="0" w:space="0" w:color="auto"/>
                <w:right w:val="none" w:sz="0" w:space="0" w:color="auto"/>
              </w:divBdr>
            </w:div>
          </w:divsChild>
        </w:div>
        <w:div w:id="1675568821">
          <w:marLeft w:val="0"/>
          <w:marRight w:val="0"/>
          <w:marTop w:val="0"/>
          <w:marBottom w:val="0"/>
          <w:divBdr>
            <w:top w:val="none" w:sz="0" w:space="0" w:color="auto"/>
            <w:left w:val="none" w:sz="0" w:space="0" w:color="auto"/>
            <w:bottom w:val="none" w:sz="0" w:space="0" w:color="auto"/>
            <w:right w:val="none" w:sz="0" w:space="0" w:color="auto"/>
          </w:divBdr>
          <w:divsChild>
            <w:div w:id="737944418">
              <w:marLeft w:val="0"/>
              <w:marRight w:val="0"/>
              <w:marTop w:val="0"/>
              <w:marBottom w:val="0"/>
              <w:divBdr>
                <w:top w:val="none" w:sz="0" w:space="0" w:color="auto"/>
                <w:left w:val="none" w:sz="0" w:space="0" w:color="auto"/>
                <w:bottom w:val="none" w:sz="0" w:space="0" w:color="auto"/>
                <w:right w:val="none" w:sz="0" w:space="0" w:color="auto"/>
              </w:divBdr>
            </w:div>
          </w:divsChild>
        </w:div>
        <w:div w:id="1908101642">
          <w:marLeft w:val="0"/>
          <w:marRight w:val="0"/>
          <w:marTop w:val="0"/>
          <w:marBottom w:val="0"/>
          <w:divBdr>
            <w:top w:val="none" w:sz="0" w:space="0" w:color="auto"/>
            <w:left w:val="none" w:sz="0" w:space="0" w:color="auto"/>
            <w:bottom w:val="none" w:sz="0" w:space="0" w:color="auto"/>
            <w:right w:val="none" w:sz="0" w:space="0" w:color="auto"/>
          </w:divBdr>
        </w:div>
        <w:div w:id="1565489602">
          <w:marLeft w:val="0"/>
          <w:marRight w:val="0"/>
          <w:marTop w:val="0"/>
          <w:marBottom w:val="0"/>
          <w:divBdr>
            <w:top w:val="none" w:sz="0" w:space="0" w:color="auto"/>
            <w:left w:val="none" w:sz="0" w:space="0" w:color="auto"/>
            <w:bottom w:val="none" w:sz="0" w:space="0" w:color="auto"/>
            <w:right w:val="none" w:sz="0" w:space="0" w:color="auto"/>
          </w:divBdr>
          <w:divsChild>
            <w:div w:id="1320766078">
              <w:marLeft w:val="0"/>
              <w:marRight w:val="0"/>
              <w:marTop w:val="0"/>
              <w:marBottom w:val="0"/>
              <w:divBdr>
                <w:top w:val="none" w:sz="0" w:space="0" w:color="auto"/>
                <w:left w:val="none" w:sz="0" w:space="0" w:color="auto"/>
                <w:bottom w:val="none" w:sz="0" w:space="0" w:color="auto"/>
                <w:right w:val="none" w:sz="0" w:space="0" w:color="auto"/>
              </w:divBdr>
            </w:div>
          </w:divsChild>
        </w:div>
        <w:div w:id="229654510">
          <w:marLeft w:val="0"/>
          <w:marRight w:val="0"/>
          <w:marTop w:val="150"/>
          <w:marBottom w:val="0"/>
          <w:divBdr>
            <w:top w:val="none" w:sz="0" w:space="0" w:color="auto"/>
            <w:left w:val="none" w:sz="0" w:space="0" w:color="auto"/>
            <w:bottom w:val="none" w:sz="0" w:space="0" w:color="auto"/>
            <w:right w:val="none" w:sz="0" w:space="0" w:color="auto"/>
          </w:divBdr>
          <w:divsChild>
            <w:div w:id="1450397552">
              <w:marLeft w:val="0"/>
              <w:marRight w:val="0"/>
              <w:marTop w:val="0"/>
              <w:marBottom w:val="0"/>
              <w:divBdr>
                <w:top w:val="none" w:sz="0" w:space="0" w:color="auto"/>
                <w:left w:val="none" w:sz="0" w:space="0" w:color="auto"/>
                <w:bottom w:val="none" w:sz="0" w:space="0" w:color="auto"/>
                <w:right w:val="none" w:sz="0" w:space="0" w:color="auto"/>
              </w:divBdr>
              <w:divsChild>
                <w:div w:id="265886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 w:id="2102679188">
      <w:bodyDiv w:val="1"/>
      <w:marLeft w:val="0"/>
      <w:marRight w:val="0"/>
      <w:marTop w:val="0"/>
      <w:marBottom w:val="0"/>
      <w:divBdr>
        <w:top w:val="none" w:sz="0" w:space="0" w:color="auto"/>
        <w:left w:val="none" w:sz="0" w:space="0" w:color="auto"/>
        <w:bottom w:val="none" w:sz="0" w:space="0" w:color="auto"/>
        <w:right w:val="none" w:sz="0" w:space="0" w:color="auto"/>
      </w:divBdr>
      <w:divsChild>
        <w:div w:id="874536385">
          <w:marLeft w:val="0"/>
          <w:marRight w:val="0"/>
          <w:marTop w:val="0"/>
          <w:marBottom w:val="0"/>
          <w:divBdr>
            <w:top w:val="none" w:sz="0" w:space="0" w:color="auto"/>
            <w:left w:val="none" w:sz="0" w:space="0" w:color="auto"/>
            <w:bottom w:val="none" w:sz="0" w:space="0" w:color="auto"/>
            <w:right w:val="none" w:sz="0" w:space="0" w:color="auto"/>
          </w:divBdr>
          <w:divsChild>
            <w:div w:id="1294336208">
              <w:marLeft w:val="0"/>
              <w:marRight w:val="0"/>
              <w:marTop w:val="0"/>
              <w:marBottom w:val="120"/>
              <w:divBdr>
                <w:top w:val="none" w:sz="0" w:space="0" w:color="auto"/>
                <w:left w:val="none" w:sz="0" w:space="0" w:color="auto"/>
                <w:bottom w:val="none" w:sz="0" w:space="0" w:color="auto"/>
                <w:right w:val="none" w:sz="0" w:space="0" w:color="auto"/>
              </w:divBdr>
              <w:divsChild>
                <w:div w:id="121519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hyperlink" Target="https://www.ncbi.nlm.nih.gov/core/lw/2.0/html/tileshop_pmc/tileshop_pmc_inline.html?title=Click%20on%20image%20to%20zoom&amp;p=PMC3&amp;id=9296570_nihms-1779770-f0004.jpg" TargetMode="External"/><Relationship Id="rId26" Type="http://schemas.openxmlformats.org/officeDocument/2006/relationships/hyperlink" Target="https://www.ncbi.nlm.nih.gov/pmc/articles/PMC9296570/figure/F6/" TargetMode="External"/><Relationship Id="rId3" Type="http://schemas.openxmlformats.org/officeDocument/2006/relationships/customXml" Target="../customXml/item3.xml"/><Relationship Id="rId21" Type="http://schemas.openxmlformats.org/officeDocument/2006/relationships/image" Target="media/image5.jpeg"/><Relationship Id="rId7" Type="http://schemas.openxmlformats.org/officeDocument/2006/relationships/settings" Target="settings.xml"/><Relationship Id="rId12" Type="http://schemas.openxmlformats.org/officeDocument/2006/relationships/hyperlink" Target="https://www.ncbi.nlm.nih.gov/pmc/articles/PMC9296570/figure/F1/" TargetMode="External"/><Relationship Id="rId17" Type="http://schemas.openxmlformats.org/officeDocument/2006/relationships/image" Target="media/image3.jpeg"/><Relationship Id="rId25" Type="http://schemas.openxmlformats.org/officeDocument/2006/relationships/image" Target="media/image7.jpeg"/><Relationship Id="rId2" Type="http://schemas.openxmlformats.org/officeDocument/2006/relationships/customXml" Target="../customXml/item2.xml"/><Relationship Id="rId16" Type="http://schemas.openxmlformats.org/officeDocument/2006/relationships/hyperlink" Target="https://www.ncbi.nlm.nih.gov/core/lw/2.0/html/tileshop_pmc/tileshop_pmc_inline.html?title=Click%20on%20image%20to%20zoom&amp;p=PMC3&amp;id=9296570_nihms-1779770-f0003.jpg" TargetMode="External"/><Relationship Id="rId20" Type="http://schemas.openxmlformats.org/officeDocument/2006/relationships/hyperlink" Target="https://www.ncbi.nlm.nih.gov/core/lw/2.0/html/tileshop_pmc/tileshop_pmc_inline.html?title=Click%20on%20image%20to%20zoom&amp;p=PMC3&amp;id=9296570_nihms-1779770-f0005.jpg"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publications.marquette.edu/" TargetMode="External"/><Relationship Id="rId24" Type="http://schemas.openxmlformats.org/officeDocument/2006/relationships/hyperlink" Target="https://www.ncbi.nlm.nih.gov/pmc/articles/PMC9296570/figure/F5/" TargetMode="External"/><Relationship Id="rId5" Type="http://schemas.openxmlformats.org/officeDocument/2006/relationships/numbering" Target="numbering.xml"/><Relationship Id="rId15" Type="http://schemas.openxmlformats.org/officeDocument/2006/relationships/image" Target="media/image2.jpeg"/><Relationship Id="rId23" Type="http://schemas.openxmlformats.org/officeDocument/2006/relationships/image" Target="media/image6.jpeg"/><Relationship Id="rId28" Type="http://schemas.openxmlformats.org/officeDocument/2006/relationships/image" Target="media/image9.jpeg"/><Relationship Id="rId10" Type="http://schemas.openxmlformats.org/officeDocument/2006/relationships/hyperlink" Target="https://pubmed.ncbi.nlm.nih.gov/35405727" TargetMode="External"/><Relationship Id="rId19" Type="http://schemas.openxmlformats.org/officeDocument/2006/relationships/image" Target="media/image4.jpeg"/><Relationship Id="rId4" Type="http://schemas.openxmlformats.org/officeDocument/2006/relationships/customXml" Target="../customXml/item4.xml"/><Relationship Id="rId9" Type="http://schemas.openxmlformats.org/officeDocument/2006/relationships/hyperlink" Target="https://doi.org/10.1097%2FRCT.0000000000001312" TargetMode="External"/><Relationship Id="rId14" Type="http://schemas.openxmlformats.org/officeDocument/2006/relationships/hyperlink" Target="https://www.ncbi.nlm.nih.gov/pmc/articles/PMC9296570/figure/F2/" TargetMode="External"/><Relationship Id="rId22" Type="http://schemas.openxmlformats.org/officeDocument/2006/relationships/hyperlink" Target="https://www.ncbi.nlm.nih.gov/pmc/articles/PMC9296570/figure/F4/" TargetMode="External"/><Relationship Id="rId27" Type="http://schemas.openxmlformats.org/officeDocument/2006/relationships/image" Target="media/image8.jpeg"/><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7" ma:contentTypeDescription="Create a new document." ma:contentTypeScope="" ma:versionID="44938750e70bdbdf56f165ed89411056">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83bb81e9ea5244e242ff28ac5e86124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Props1.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customXml/itemProps2.xml><?xml version="1.0" encoding="utf-8"?>
<ds:datastoreItem xmlns:ds="http://schemas.openxmlformats.org/officeDocument/2006/customXml" ds:itemID="{552141CC-F1F1-44BB-8025-1FF10DBF64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4.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15</Pages>
  <Words>5897</Words>
  <Characters>33619</Characters>
  <Application>Microsoft Office Word</Application>
  <DocSecurity>8</DocSecurity>
  <Lines>280</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29</cp:revision>
  <dcterms:created xsi:type="dcterms:W3CDTF">2023-09-20T14:46:00Z</dcterms:created>
  <dcterms:modified xsi:type="dcterms:W3CDTF">2023-10-30T15:34:00Z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