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D22FFF"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D22FFF"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D22FFF">
        <w:rPr>
          <w:rFonts w:cstheme="minorHAnsi"/>
          <w:b/>
          <w:bCs/>
          <w:color w:val="316192"/>
          <w:sz w:val="28"/>
          <w:szCs w:val="26"/>
        </w:rPr>
        <w:t>Marquette University</w:t>
      </w:r>
    </w:p>
    <w:p w14:paraId="158D4B9F" w14:textId="77777777" w:rsidR="000A7622" w:rsidRPr="00D22FFF" w:rsidRDefault="000A7622" w:rsidP="00D14423">
      <w:pPr>
        <w:autoSpaceDE w:val="0"/>
        <w:autoSpaceDN w:val="0"/>
        <w:adjustRightInd w:val="0"/>
        <w:rPr>
          <w:rFonts w:cstheme="minorHAnsi"/>
          <w:b/>
          <w:bCs/>
          <w:color w:val="316192"/>
          <w:sz w:val="40"/>
          <w:szCs w:val="36"/>
        </w:rPr>
      </w:pPr>
      <w:r w:rsidRPr="00D22FFF">
        <w:rPr>
          <w:rFonts w:cstheme="minorHAnsi"/>
          <w:b/>
          <w:bCs/>
          <w:color w:val="316192"/>
          <w:sz w:val="40"/>
          <w:szCs w:val="36"/>
        </w:rPr>
        <w:t>e-Publications@Marquette</w:t>
      </w:r>
    </w:p>
    <w:p w14:paraId="689ACF87" w14:textId="77777777" w:rsidR="000A7622" w:rsidRPr="00D22FFF" w:rsidRDefault="000A7622" w:rsidP="00D14423">
      <w:pPr>
        <w:autoSpaceDE w:val="0"/>
        <w:autoSpaceDN w:val="0"/>
        <w:adjustRightInd w:val="0"/>
        <w:rPr>
          <w:rFonts w:cstheme="minorHAnsi"/>
          <w:b/>
          <w:bCs/>
          <w:i/>
          <w:iCs/>
        </w:rPr>
      </w:pPr>
    </w:p>
    <w:p w14:paraId="161853CC" w14:textId="702B588B" w:rsidR="000A7622" w:rsidRPr="00D22FFF" w:rsidRDefault="00FA689F" w:rsidP="00D14423">
      <w:pPr>
        <w:autoSpaceDE w:val="0"/>
        <w:autoSpaceDN w:val="0"/>
        <w:adjustRightInd w:val="0"/>
        <w:rPr>
          <w:rFonts w:cstheme="minorHAnsi"/>
          <w:b/>
          <w:bCs/>
          <w:i/>
          <w:iCs/>
          <w:sz w:val="32"/>
          <w:szCs w:val="32"/>
        </w:rPr>
      </w:pPr>
      <w:r w:rsidRPr="00D22FFF">
        <w:rPr>
          <w:rFonts w:cstheme="minorHAnsi"/>
          <w:b/>
          <w:bCs/>
          <w:i/>
          <w:iCs/>
          <w:sz w:val="32"/>
          <w:szCs w:val="32"/>
        </w:rPr>
        <w:t xml:space="preserve">Biology </w:t>
      </w:r>
      <w:r w:rsidR="000A7622" w:rsidRPr="00D22FFF">
        <w:rPr>
          <w:rFonts w:cstheme="minorHAnsi"/>
          <w:b/>
          <w:bCs/>
          <w:i/>
          <w:iCs/>
          <w:sz w:val="32"/>
          <w:szCs w:val="32"/>
        </w:rPr>
        <w:t>Faculty Research and Publications/</w:t>
      </w:r>
      <w:r w:rsidR="009732A9" w:rsidRPr="00D22FFF">
        <w:rPr>
          <w:rFonts w:cstheme="minorHAnsi"/>
          <w:b/>
          <w:bCs/>
          <w:i/>
          <w:iCs/>
          <w:sz w:val="32"/>
          <w:szCs w:val="32"/>
        </w:rPr>
        <w:t xml:space="preserve">College of </w:t>
      </w:r>
      <w:r w:rsidRPr="00D22FFF">
        <w:rPr>
          <w:rFonts w:cstheme="minorHAnsi"/>
          <w:b/>
          <w:bCs/>
          <w:i/>
          <w:iCs/>
          <w:sz w:val="32"/>
          <w:szCs w:val="32"/>
        </w:rPr>
        <w:t>Arts and Sciences</w:t>
      </w:r>
    </w:p>
    <w:bookmarkEnd w:id="1"/>
    <w:p w14:paraId="3E538636" w14:textId="77777777" w:rsidR="000A7622" w:rsidRPr="00D22FFF" w:rsidRDefault="000A7622" w:rsidP="00D14423">
      <w:pPr>
        <w:jc w:val="center"/>
        <w:rPr>
          <w:rFonts w:cstheme="minorHAnsi"/>
          <w:b/>
          <w:bCs/>
          <w:i/>
          <w:iCs/>
        </w:rPr>
      </w:pPr>
    </w:p>
    <w:p w14:paraId="25509BF0" w14:textId="49F0C55B" w:rsidR="000A7622" w:rsidRPr="00D22FFF" w:rsidRDefault="000A7622" w:rsidP="00D14423">
      <w:pPr>
        <w:jc w:val="center"/>
        <w:rPr>
          <w:rFonts w:cstheme="minorHAnsi"/>
          <w:sz w:val="24"/>
          <w:szCs w:val="24"/>
        </w:rPr>
      </w:pPr>
      <w:r w:rsidRPr="00D22FFF">
        <w:rPr>
          <w:rFonts w:cstheme="minorHAnsi"/>
          <w:b/>
          <w:bCs/>
          <w:i/>
          <w:iCs/>
          <w:sz w:val="24"/>
          <w:szCs w:val="24"/>
        </w:rPr>
        <w:t xml:space="preserve">This paper is NOT THE PUBLISHED VERSION; </w:t>
      </w:r>
      <w:r w:rsidRPr="00D22FFF">
        <w:rPr>
          <w:rFonts w:cstheme="minorHAnsi"/>
          <w:b/>
          <w:bCs/>
          <w:sz w:val="24"/>
          <w:szCs w:val="24"/>
        </w:rPr>
        <w:t xml:space="preserve">but the author’s final, peer-reviewed manuscript. </w:t>
      </w:r>
      <w:r w:rsidRPr="00D22FFF">
        <w:rPr>
          <w:rFonts w:cstheme="minorHAnsi"/>
          <w:sz w:val="24"/>
          <w:szCs w:val="24"/>
        </w:rPr>
        <w:t>The published version may be accessed by following the link in th</w:t>
      </w:r>
      <w:r w:rsidR="00FA689F" w:rsidRPr="00D22FFF">
        <w:rPr>
          <w:rFonts w:cstheme="minorHAnsi"/>
          <w:sz w:val="24"/>
          <w:szCs w:val="24"/>
        </w:rPr>
        <w:t>e</w:t>
      </w:r>
      <w:r w:rsidRPr="00D22FFF">
        <w:rPr>
          <w:rFonts w:cstheme="minorHAnsi"/>
          <w:sz w:val="24"/>
          <w:szCs w:val="24"/>
        </w:rPr>
        <w:t xml:space="preserve"> citation below.</w:t>
      </w:r>
    </w:p>
    <w:p w14:paraId="207B0342" w14:textId="77777777" w:rsidR="000A7622" w:rsidRPr="00D22FFF" w:rsidRDefault="000A7622" w:rsidP="00D14423">
      <w:pPr>
        <w:jc w:val="center"/>
        <w:rPr>
          <w:rFonts w:cstheme="minorHAnsi"/>
          <w:sz w:val="24"/>
          <w:szCs w:val="24"/>
        </w:rPr>
      </w:pPr>
    </w:p>
    <w:p w14:paraId="2A38AFE1" w14:textId="37D89159" w:rsidR="000A7622" w:rsidRPr="00D22FFF" w:rsidRDefault="000A7622" w:rsidP="00D14423">
      <w:pPr>
        <w:rPr>
          <w:rFonts w:cstheme="minorHAnsi"/>
          <w:sz w:val="24"/>
          <w:szCs w:val="24"/>
        </w:rPr>
      </w:pPr>
      <w:r w:rsidRPr="00D22FFF">
        <w:rPr>
          <w:rFonts w:cstheme="minorHAnsi"/>
          <w:i/>
          <w:sz w:val="24"/>
          <w:szCs w:val="24"/>
          <w:lang w:val="fr-FR"/>
        </w:rPr>
        <w:t>Journal</w:t>
      </w:r>
      <w:r w:rsidR="006511E1" w:rsidRPr="00D22FFF">
        <w:rPr>
          <w:rFonts w:cstheme="minorHAnsi"/>
          <w:i/>
          <w:sz w:val="24"/>
          <w:szCs w:val="24"/>
          <w:lang w:val="fr-FR"/>
        </w:rPr>
        <w:t xml:space="preserve"> of Ecology</w:t>
      </w:r>
      <w:r w:rsidRPr="00D22FFF">
        <w:rPr>
          <w:rFonts w:cstheme="minorHAnsi"/>
          <w:sz w:val="24"/>
          <w:szCs w:val="24"/>
          <w:lang w:val="fr-FR"/>
        </w:rPr>
        <w:t xml:space="preserve">, Vol. </w:t>
      </w:r>
      <w:r w:rsidR="006511E1" w:rsidRPr="00D22FFF">
        <w:rPr>
          <w:rFonts w:cstheme="minorHAnsi"/>
          <w:sz w:val="24"/>
          <w:szCs w:val="24"/>
          <w:lang w:val="fr-FR"/>
        </w:rPr>
        <w:t>104</w:t>
      </w:r>
      <w:r w:rsidRPr="00D22FFF">
        <w:rPr>
          <w:rFonts w:cstheme="minorHAnsi"/>
          <w:sz w:val="24"/>
          <w:szCs w:val="24"/>
          <w:lang w:val="fr-FR"/>
        </w:rPr>
        <w:t xml:space="preserve">, No. </w:t>
      </w:r>
      <w:r w:rsidR="006511E1" w:rsidRPr="00D22FFF">
        <w:rPr>
          <w:rFonts w:cstheme="minorHAnsi"/>
          <w:sz w:val="24"/>
          <w:szCs w:val="24"/>
          <w:lang w:val="fr-FR"/>
        </w:rPr>
        <w:t>6</w:t>
      </w:r>
      <w:r w:rsidRPr="00D22FFF">
        <w:rPr>
          <w:rFonts w:cstheme="minorHAnsi"/>
          <w:sz w:val="24"/>
          <w:szCs w:val="24"/>
          <w:lang w:val="fr-FR"/>
        </w:rPr>
        <w:t xml:space="preserve"> (</w:t>
      </w:r>
      <w:r w:rsidR="0037066A" w:rsidRPr="00D22FFF">
        <w:rPr>
          <w:rFonts w:cstheme="minorHAnsi"/>
          <w:sz w:val="24"/>
          <w:szCs w:val="24"/>
          <w:lang w:val="fr-FR"/>
        </w:rPr>
        <w:t>July 5, 2016</w:t>
      </w:r>
      <w:r w:rsidRPr="00D22FFF">
        <w:rPr>
          <w:rFonts w:cstheme="minorHAnsi"/>
          <w:sz w:val="24"/>
          <w:szCs w:val="24"/>
          <w:lang w:val="fr-FR"/>
        </w:rPr>
        <w:t xml:space="preserve">): </w:t>
      </w:r>
      <w:r w:rsidR="0037066A" w:rsidRPr="00D22FFF">
        <w:rPr>
          <w:rFonts w:cstheme="minorHAnsi"/>
          <w:sz w:val="24"/>
          <w:szCs w:val="24"/>
          <w:lang w:val="fr-FR"/>
        </w:rPr>
        <w:t>1819-1828</w:t>
      </w:r>
      <w:r w:rsidRPr="00D22FFF">
        <w:rPr>
          <w:rFonts w:cstheme="minorHAnsi"/>
          <w:sz w:val="24"/>
          <w:szCs w:val="24"/>
          <w:lang w:val="fr-FR"/>
        </w:rPr>
        <w:t xml:space="preserve">. </w:t>
      </w:r>
      <w:hyperlink r:id="rId8" w:history="1">
        <w:r w:rsidRPr="00D22FFF">
          <w:rPr>
            <w:rFonts w:cstheme="minorHAnsi"/>
            <w:color w:val="0563C1" w:themeColor="hyperlink"/>
            <w:sz w:val="24"/>
            <w:szCs w:val="24"/>
            <w:u w:val="single"/>
            <w:lang w:val="fr-FR"/>
          </w:rPr>
          <w:t>DOI</w:t>
        </w:r>
      </w:hyperlink>
      <w:r w:rsidRPr="00D22FFF">
        <w:rPr>
          <w:rFonts w:cstheme="minorHAnsi"/>
          <w:sz w:val="24"/>
          <w:szCs w:val="24"/>
          <w:lang w:val="fr-FR"/>
        </w:rPr>
        <w:t xml:space="preserve">. </w:t>
      </w:r>
      <w:r w:rsidRPr="00D22FFF">
        <w:rPr>
          <w:rFonts w:cstheme="minorHAnsi"/>
          <w:sz w:val="24"/>
          <w:szCs w:val="24"/>
        </w:rPr>
        <w:t xml:space="preserve">This article is © </w:t>
      </w:r>
      <w:r w:rsidR="00944E37" w:rsidRPr="00D22FFF">
        <w:rPr>
          <w:rFonts w:cstheme="minorHAnsi"/>
          <w:sz w:val="24"/>
          <w:szCs w:val="24"/>
        </w:rPr>
        <w:t>Wiley</w:t>
      </w:r>
      <w:r w:rsidRPr="00D22FFF">
        <w:rPr>
          <w:rFonts w:cstheme="minorHAnsi"/>
          <w:sz w:val="24"/>
          <w:szCs w:val="24"/>
        </w:rPr>
        <w:t xml:space="preserve"> and permission has been granted for this version to appear in </w:t>
      </w:r>
      <w:hyperlink r:id="rId9" w:history="1">
        <w:r w:rsidRPr="00D22FFF">
          <w:rPr>
            <w:rFonts w:cstheme="minorHAnsi"/>
            <w:color w:val="0563C1" w:themeColor="hyperlink"/>
            <w:sz w:val="24"/>
            <w:szCs w:val="24"/>
            <w:u w:val="single"/>
          </w:rPr>
          <w:t>e-Publications@Marquette</w:t>
        </w:r>
      </w:hyperlink>
      <w:r w:rsidRPr="00D22FFF">
        <w:rPr>
          <w:rFonts w:cstheme="minorHAnsi"/>
          <w:sz w:val="24"/>
          <w:szCs w:val="24"/>
        </w:rPr>
        <w:t xml:space="preserve">. </w:t>
      </w:r>
      <w:r w:rsidR="00944E37" w:rsidRPr="00D22FFF">
        <w:rPr>
          <w:rFonts w:cstheme="minorHAnsi"/>
          <w:sz w:val="24"/>
          <w:szCs w:val="24"/>
        </w:rPr>
        <w:t>Wiley</w:t>
      </w:r>
      <w:r w:rsidRPr="00D22FFF">
        <w:rPr>
          <w:rFonts w:cstheme="minorHAnsi"/>
          <w:sz w:val="24"/>
          <w:szCs w:val="24"/>
        </w:rPr>
        <w:t xml:space="preserve"> does not grant permission for this article to be further copied/distributed or hosted elsewhere without the express permission from </w:t>
      </w:r>
      <w:r w:rsidR="00EB4B81" w:rsidRPr="00D22FFF">
        <w:rPr>
          <w:rFonts w:cstheme="minorHAnsi"/>
          <w:sz w:val="24"/>
          <w:szCs w:val="24"/>
        </w:rPr>
        <w:t>Wiley</w:t>
      </w:r>
      <w:r w:rsidRPr="00D22FFF">
        <w:rPr>
          <w:rFonts w:cstheme="minorHAnsi"/>
          <w:sz w:val="24"/>
          <w:szCs w:val="24"/>
        </w:rPr>
        <w:t xml:space="preserve">. </w:t>
      </w:r>
    </w:p>
    <w:bookmarkEnd w:id="2"/>
    <w:p w14:paraId="5BC0075B" w14:textId="79CD993E" w:rsidR="000A7622" w:rsidRPr="00D22FFF" w:rsidRDefault="000A7622" w:rsidP="000A7622">
      <w:pPr>
        <w:rPr>
          <w:rFonts w:cstheme="minorHAnsi"/>
        </w:rPr>
      </w:pPr>
    </w:p>
    <w:p w14:paraId="47211BC7" w14:textId="7B17DE28" w:rsidR="00855203" w:rsidRPr="00D22FFF" w:rsidRDefault="00855203" w:rsidP="00855203">
      <w:pPr>
        <w:pStyle w:val="Title"/>
        <w:rPr>
          <w:rFonts w:asciiTheme="minorHAnsi" w:hAnsiTheme="minorHAnsi" w:cstheme="minorHAnsi"/>
        </w:rPr>
      </w:pPr>
      <w:r w:rsidRPr="00D22FFF">
        <w:rPr>
          <w:rFonts w:asciiTheme="minorHAnsi" w:hAnsiTheme="minorHAnsi" w:cstheme="minorHAnsi"/>
        </w:rPr>
        <w:t xml:space="preserve">Lianas and </w:t>
      </w:r>
      <w:r w:rsidR="0057661E" w:rsidRPr="00D22FFF">
        <w:rPr>
          <w:rFonts w:asciiTheme="minorHAnsi" w:hAnsiTheme="minorHAnsi" w:cstheme="minorHAnsi"/>
        </w:rPr>
        <w:t>Soil Nutrients Predict Fine</w:t>
      </w:r>
      <w:r w:rsidRPr="00D22FFF">
        <w:rPr>
          <w:rFonts w:asciiTheme="minorHAnsi" w:hAnsiTheme="minorHAnsi" w:cstheme="minorHAnsi"/>
        </w:rPr>
        <w:t xml:space="preserve">‐scale </w:t>
      </w:r>
      <w:r w:rsidR="0057661E" w:rsidRPr="00D22FFF">
        <w:rPr>
          <w:rFonts w:asciiTheme="minorHAnsi" w:hAnsiTheme="minorHAnsi" w:cstheme="minorHAnsi"/>
        </w:rPr>
        <w:t xml:space="preserve">Distribution </w:t>
      </w:r>
      <w:r w:rsidRPr="00D22FFF">
        <w:rPr>
          <w:rFonts w:asciiTheme="minorHAnsi" w:hAnsiTheme="minorHAnsi" w:cstheme="minorHAnsi"/>
        </w:rPr>
        <w:t xml:space="preserve">of </w:t>
      </w:r>
      <w:r w:rsidR="0057661E" w:rsidRPr="00D22FFF">
        <w:rPr>
          <w:rFonts w:asciiTheme="minorHAnsi" w:hAnsiTheme="minorHAnsi" w:cstheme="minorHAnsi"/>
        </w:rPr>
        <w:t>Above</w:t>
      </w:r>
      <w:r w:rsidRPr="00D22FFF">
        <w:rPr>
          <w:rFonts w:asciiTheme="minorHAnsi" w:hAnsiTheme="minorHAnsi" w:cstheme="minorHAnsi"/>
        </w:rPr>
        <w:t xml:space="preserve">‐ground </w:t>
      </w:r>
      <w:r w:rsidR="0057661E" w:rsidRPr="00D22FFF">
        <w:rPr>
          <w:rFonts w:asciiTheme="minorHAnsi" w:hAnsiTheme="minorHAnsi" w:cstheme="minorHAnsi"/>
        </w:rPr>
        <w:t xml:space="preserve">Biomass </w:t>
      </w:r>
      <w:r w:rsidRPr="00D22FFF">
        <w:rPr>
          <w:rFonts w:asciiTheme="minorHAnsi" w:hAnsiTheme="minorHAnsi" w:cstheme="minorHAnsi"/>
        </w:rPr>
        <w:t xml:space="preserve">in a </w:t>
      </w:r>
      <w:r w:rsidR="0057661E" w:rsidRPr="00D22FFF">
        <w:rPr>
          <w:rFonts w:asciiTheme="minorHAnsi" w:hAnsiTheme="minorHAnsi" w:cstheme="minorHAnsi"/>
        </w:rPr>
        <w:t>Tropical Moist Forest</w:t>
      </w:r>
    </w:p>
    <w:p w14:paraId="5F7CE259" w14:textId="55044FDD" w:rsidR="00855203" w:rsidRPr="00D22FFF" w:rsidRDefault="00855203" w:rsidP="000A7622">
      <w:pPr>
        <w:rPr>
          <w:rFonts w:cstheme="minorHAnsi"/>
        </w:rPr>
      </w:pPr>
    </w:p>
    <w:p w14:paraId="51E0BEBF" w14:textId="77777777" w:rsidR="0057661E" w:rsidRPr="00D22FFF" w:rsidRDefault="00B26A09" w:rsidP="00B330DD">
      <w:pPr>
        <w:pStyle w:val="NoSpacing"/>
        <w:rPr>
          <w:rFonts w:cstheme="minorHAnsi"/>
          <w:sz w:val="32"/>
          <w:szCs w:val="32"/>
        </w:rPr>
      </w:pPr>
      <w:r w:rsidRPr="00D22FFF">
        <w:rPr>
          <w:rFonts w:cstheme="minorHAnsi"/>
          <w:sz w:val="32"/>
          <w:szCs w:val="32"/>
        </w:rPr>
        <w:t>Alicia Ledo</w:t>
      </w:r>
    </w:p>
    <w:p w14:paraId="1B362A75" w14:textId="605A7ECA" w:rsidR="0057661E" w:rsidRPr="00D22FFF" w:rsidRDefault="002E626D" w:rsidP="00B330DD">
      <w:pPr>
        <w:pStyle w:val="NoSpacing"/>
        <w:rPr>
          <w:rFonts w:cstheme="minorHAnsi"/>
          <w:sz w:val="24"/>
          <w:szCs w:val="24"/>
        </w:rPr>
      </w:pPr>
      <w:r w:rsidRPr="00D22FFF">
        <w:rPr>
          <w:rFonts w:cstheme="minorHAnsi"/>
          <w:sz w:val="24"/>
          <w:szCs w:val="24"/>
        </w:rPr>
        <w:t>School of Biological Sciences, University of Aberdeen, Aberdeen, UK</w:t>
      </w:r>
    </w:p>
    <w:p w14:paraId="12CF7AF6" w14:textId="77777777" w:rsidR="0057661E" w:rsidRPr="00D22FFF" w:rsidRDefault="00B26A09" w:rsidP="00B330DD">
      <w:pPr>
        <w:pStyle w:val="NoSpacing"/>
        <w:rPr>
          <w:rFonts w:cstheme="minorHAnsi"/>
          <w:sz w:val="32"/>
          <w:szCs w:val="32"/>
        </w:rPr>
      </w:pPr>
      <w:r w:rsidRPr="00D22FFF">
        <w:rPr>
          <w:rFonts w:cstheme="minorHAnsi"/>
          <w:sz w:val="32"/>
          <w:szCs w:val="32"/>
        </w:rPr>
        <w:t>Janine B. Illian</w:t>
      </w:r>
    </w:p>
    <w:p w14:paraId="71244E99" w14:textId="6B463197" w:rsidR="00DB1B4E" w:rsidRPr="00D22FFF" w:rsidRDefault="00E41E16" w:rsidP="00B330DD">
      <w:pPr>
        <w:pStyle w:val="NoSpacing"/>
        <w:rPr>
          <w:rFonts w:cstheme="minorHAnsi"/>
          <w:sz w:val="24"/>
          <w:szCs w:val="24"/>
        </w:rPr>
      </w:pPr>
      <w:r w:rsidRPr="00D22FFF">
        <w:rPr>
          <w:rFonts w:cstheme="minorHAnsi"/>
          <w:sz w:val="24"/>
          <w:szCs w:val="24"/>
        </w:rPr>
        <w:t>Centre for Research into</w:t>
      </w:r>
      <w:r w:rsidR="00B330DD" w:rsidRPr="00D22FFF">
        <w:rPr>
          <w:rFonts w:cstheme="minorHAnsi"/>
          <w:sz w:val="24"/>
          <w:szCs w:val="24"/>
        </w:rPr>
        <w:t xml:space="preserve"> </w:t>
      </w:r>
      <w:r w:rsidRPr="00D22FFF">
        <w:rPr>
          <w:rFonts w:cstheme="minorHAnsi"/>
          <w:sz w:val="24"/>
          <w:szCs w:val="24"/>
        </w:rPr>
        <w:t>Ecological and Environmental Modelling, School of Mathematics and Statistics, The Observatory Buchanan Gardens,</w:t>
      </w:r>
      <w:r w:rsidR="00D22FFF" w:rsidRPr="00D22FFF">
        <w:rPr>
          <w:rFonts w:cstheme="minorHAnsi"/>
          <w:sz w:val="24"/>
          <w:szCs w:val="24"/>
        </w:rPr>
        <w:t xml:space="preserve"> </w:t>
      </w:r>
      <w:r w:rsidRPr="00D22FFF">
        <w:rPr>
          <w:rFonts w:cstheme="minorHAnsi"/>
          <w:sz w:val="24"/>
          <w:szCs w:val="24"/>
        </w:rPr>
        <w:t xml:space="preserve">University of St Andrews, St Andrews, UK; </w:t>
      </w:r>
    </w:p>
    <w:p w14:paraId="525309F0" w14:textId="0B59FB62" w:rsidR="0057661E" w:rsidRPr="00D22FFF" w:rsidRDefault="00E41E16" w:rsidP="00B330DD">
      <w:pPr>
        <w:pStyle w:val="NoSpacing"/>
        <w:rPr>
          <w:rFonts w:cstheme="minorHAnsi"/>
          <w:sz w:val="24"/>
          <w:szCs w:val="24"/>
        </w:rPr>
      </w:pPr>
      <w:r w:rsidRPr="00D22FFF">
        <w:rPr>
          <w:rFonts w:cstheme="minorHAnsi"/>
          <w:sz w:val="24"/>
          <w:szCs w:val="24"/>
        </w:rPr>
        <w:t>Department of Mathematical Sciences, Norwegian</w:t>
      </w:r>
      <w:r w:rsidR="00DB1B4E" w:rsidRPr="00D22FFF">
        <w:rPr>
          <w:rFonts w:cstheme="minorHAnsi"/>
          <w:sz w:val="24"/>
          <w:szCs w:val="24"/>
        </w:rPr>
        <w:t xml:space="preserve"> </w:t>
      </w:r>
      <w:r w:rsidRPr="00D22FFF">
        <w:rPr>
          <w:rFonts w:cstheme="minorHAnsi"/>
          <w:sz w:val="24"/>
          <w:szCs w:val="24"/>
        </w:rPr>
        <w:t>University of Science and Technology, Trondheim, Norway;</w:t>
      </w:r>
    </w:p>
    <w:p w14:paraId="7247AAAD" w14:textId="77777777" w:rsidR="0057661E" w:rsidRPr="00D22FFF" w:rsidRDefault="00B26A09" w:rsidP="00B330DD">
      <w:pPr>
        <w:pStyle w:val="NoSpacing"/>
        <w:rPr>
          <w:rFonts w:cstheme="minorHAnsi"/>
          <w:sz w:val="32"/>
          <w:szCs w:val="32"/>
        </w:rPr>
      </w:pPr>
      <w:r w:rsidRPr="00D22FFF">
        <w:rPr>
          <w:rFonts w:cstheme="minorHAnsi"/>
          <w:sz w:val="32"/>
          <w:szCs w:val="32"/>
        </w:rPr>
        <w:t>Stefan A. Schnitzer</w:t>
      </w:r>
    </w:p>
    <w:p w14:paraId="376C7A60" w14:textId="77777777" w:rsidR="00DB1B4E" w:rsidRPr="00D22FFF" w:rsidRDefault="006228B8" w:rsidP="00B330DD">
      <w:pPr>
        <w:pStyle w:val="NoSpacing"/>
        <w:rPr>
          <w:rFonts w:cstheme="minorHAnsi"/>
          <w:sz w:val="24"/>
          <w:szCs w:val="24"/>
        </w:rPr>
      </w:pPr>
      <w:r w:rsidRPr="00D22FFF">
        <w:rPr>
          <w:rFonts w:cstheme="minorHAnsi"/>
          <w:sz w:val="24"/>
          <w:szCs w:val="24"/>
        </w:rPr>
        <w:t>Department of Biological Sciences, Marquette</w:t>
      </w:r>
      <w:r w:rsidR="00DB1B4E" w:rsidRPr="00D22FFF">
        <w:rPr>
          <w:rFonts w:cstheme="minorHAnsi"/>
          <w:sz w:val="24"/>
          <w:szCs w:val="24"/>
        </w:rPr>
        <w:t xml:space="preserve"> </w:t>
      </w:r>
      <w:r w:rsidRPr="00D22FFF">
        <w:rPr>
          <w:rFonts w:cstheme="minorHAnsi"/>
          <w:sz w:val="24"/>
          <w:szCs w:val="24"/>
        </w:rPr>
        <w:t xml:space="preserve">University, Milwaukee, WI </w:t>
      </w:r>
    </w:p>
    <w:p w14:paraId="345EA321" w14:textId="219FD936" w:rsidR="0057661E" w:rsidRPr="00D22FFF" w:rsidRDefault="006228B8" w:rsidP="00B330DD">
      <w:pPr>
        <w:pStyle w:val="NoSpacing"/>
        <w:rPr>
          <w:rFonts w:cstheme="minorHAnsi"/>
          <w:sz w:val="24"/>
          <w:szCs w:val="24"/>
        </w:rPr>
      </w:pPr>
      <w:r w:rsidRPr="00D22FFF">
        <w:rPr>
          <w:rFonts w:cstheme="minorHAnsi"/>
          <w:sz w:val="24"/>
          <w:szCs w:val="24"/>
        </w:rPr>
        <w:t>Smithsonian Tropical Research Institute, Balboa, Republic of Panama</w:t>
      </w:r>
    </w:p>
    <w:p w14:paraId="76142B4E" w14:textId="77777777" w:rsidR="0057661E" w:rsidRPr="00D22FFF" w:rsidRDefault="00B26A09" w:rsidP="00B330DD">
      <w:pPr>
        <w:pStyle w:val="NoSpacing"/>
        <w:rPr>
          <w:rFonts w:cstheme="minorHAnsi"/>
          <w:sz w:val="32"/>
          <w:szCs w:val="32"/>
        </w:rPr>
      </w:pPr>
      <w:r w:rsidRPr="00D22FFF">
        <w:rPr>
          <w:rFonts w:cstheme="minorHAnsi"/>
          <w:sz w:val="32"/>
          <w:szCs w:val="32"/>
        </w:rPr>
        <w:t>S. Joseph Wright</w:t>
      </w:r>
    </w:p>
    <w:p w14:paraId="49D169D8" w14:textId="54A24612" w:rsidR="0057661E" w:rsidRPr="00D22FFF" w:rsidRDefault="006228B8" w:rsidP="00B330DD">
      <w:pPr>
        <w:pStyle w:val="NoSpacing"/>
        <w:rPr>
          <w:rFonts w:cstheme="minorHAnsi"/>
          <w:sz w:val="24"/>
          <w:szCs w:val="24"/>
        </w:rPr>
      </w:pPr>
      <w:r w:rsidRPr="00D22FFF">
        <w:rPr>
          <w:rFonts w:cstheme="minorHAnsi"/>
          <w:sz w:val="24"/>
          <w:szCs w:val="24"/>
        </w:rPr>
        <w:t>Smithsonian Tropical Research Institute, Balboa, Republic of Panama</w:t>
      </w:r>
    </w:p>
    <w:p w14:paraId="606AC344" w14:textId="77777777" w:rsidR="0057661E" w:rsidRPr="00D22FFF" w:rsidRDefault="00B26A09" w:rsidP="00B330DD">
      <w:pPr>
        <w:pStyle w:val="NoSpacing"/>
        <w:rPr>
          <w:rFonts w:cstheme="minorHAnsi"/>
          <w:sz w:val="32"/>
          <w:szCs w:val="32"/>
        </w:rPr>
      </w:pPr>
      <w:r w:rsidRPr="00D22FFF">
        <w:rPr>
          <w:rFonts w:cstheme="minorHAnsi"/>
          <w:sz w:val="32"/>
          <w:szCs w:val="32"/>
        </w:rPr>
        <w:t>James W. Dalling</w:t>
      </w:r>
    </w:p>
    <w:p w14:paraId="6B7095CB" w14:textId="77777777" w:rsidR="00D365C7" w:rsidRPr="00D22FFF" w:rsidRDefault="00B330DD" w:rsidP="00B330DD">
      <w:pPr>
        <w:pStyle w:val="NoSpacing"/>
        <w:rPr>
          <w:rFonts w:cstheme="minorHAnsi"/>
          <w:sz w:val="24"/>
          <w:szCs w:val="24"/>
        </w:rPr>
      </w:pPr>
      <w:r w:rsidRPr="00D22FFF">
        <w:rPr>
          <w:rFonts w:cstheme="minorHAnsi"/>
          <w:sz w:val="24"/>
          <w:szCs w:val="24"/>
        </w:rPr>
        <w:t>Smithsonian Tropical Research Institute, Balboa, Republic of Panama</w:t>
      </w:r>
    </w:p>
    <w:p w14:paraId="619279FC" w14:textId="0A741EFE" w:rsidR="0057661E" w:rsidRPr="00D22FFF" w:rsidRDefault="00B330DD" w:rsidP="00B330DD">
      <w:pPr>
        <w:pStyle w:val="NoSpacing"/>
        <w:rPr>
          <w:rFonts w:cstheme="minorHAnsi"/>
          <w:sz w:val="24"/>
          <w:szCs w:val="24"/>
        </w:rPr>
      </w:pPr>
      <w:r w:rsidRPr="00D22FFF">
        <w:rPr>
          <w:rFonts w:cstheme="minorHAnsi"/>
          <w:sz w:val="24"/>
          <w:szCs w:val="24"/>
        </w:rPr>
        <w:t>Department of Plant Biology, University of Illinois at Urbana-Champaign,</w:t>
      </w:r>
      <w:r w:rsidR="00D365C7" w:rsidRPr="00D22FFF">
        <w:rPr>
          <w:rFonts w:cstheme="minorHAnsi"/>
          <w:sz w:val="24"/>
          <w:szCs w:val="24"/>
        </w:rPr>
        <w:t xml:space="preserve"> </w:t>
      </w:r>
      <w:r w:rsidRPr="00D22FFF">
        <w:rPr>
          <w:rFonts w:cstheme="minorHAnsi"/>
          <w:sz w:val="24"/>
          <w:szCs w:val="24"/>
        </w:rPr>
        <w:t>Urbana, IL</w:t>
      </w:r>
    </w:p>
    <w:p w14:paraId="04F54FA9" w14:textId="7AD1E6DC" w:rsidR="00B26A09" w:rsidRPr="00D22FFF" w:rsidRDefault="00B26A09" w:rsidP="00B330DD">
      <w:pPr>
        <w:pStyle w:val="NoSpacing"/>
        <w:rPr>
          <w:rFonts w:cstheme="minorHAnsi"/>
          <w:sz w:val="32"/>
          <w:szCs w:val="32"/>
        </w:rPr>
      </w:pPr>
      <w:r w:rsidRPr="00D22FFF">
        <w:rPr>
          <w:rFonts w:cstheme="minorHAnsi"/>
          <w:sz w:val="32"/>
          <w:szCs w:val="32"/>
        </w:rPr>
        <w:lastRenderedPageBreak/>
        <w:t>David F. R. P. Burslem</w:t>
      </w:r>
    </w:p>
    <w:p w14:paraId="2178C1D4" w14:textId="5978DE6B" w:rsidR="00855203" w:rsidRPr="00D22FFF" w:rsidRDefault="00B330DD" w:rsidP="00B330DD">
      <w:pPr>
        <w:pStyle w:val="NoSpacing"/>
        <w:rPr>
          <w:rFonts w:cstheme="minorHAnsi"/>
          <w:sz w:val="24"/>
          <w:szCs w:val="24"/>
        </w:rPr>
      </w:pPr>
      <w:r w:rsidRPr="00D22FFF">
        <w:rPr>
          <w:rFonts w:cstheme="minorHAnsi"/>
          <w:sz w:val="24"/>
          <w:szCs w:val="24"/>
        </w:rPr>
        <w:t>School of Biological Sciences, University of Aberdeen, Aberdeen, UK</w:t>
      </w:r>
    </w:p>
    <w:p w14:paraId="716DFDD7" w14:textId="77777777" w:rsidR="00855203" w:rsidRPr="00D22FFF" w:rsidRDefault="00855203" w:rsidP="000A7622">
      <w:pPr>
        <w:rPr>
          <w:rFonts w:cstheme="minorHAnsi"/>
        </w:rPr>
      </w:pPr>
    </w:p>
    <w:p w14:paraId="4F2F2D51" w14:textId="77777777" w:rsidR="005E11F2" w:rsidRPr="00D22FFF" w:rsidRDefault="005E11F2" w:rsidP="00B26A09">
      <w:pPr>
        <w:pStyle w:val="Heading1"/>
        <w:rPr>
          <w:rFonts w:asciiTheme="minorHAnsi" w:hAnsiTheme="minorHAnsi" w:cstheme="minorHAnsi"/>
        </w:rPr>
      </w:pPr>
      <w:r w:rsidRPr="00D22FFF">
        <w:rPr>
          <w:rFonts w:asciiTheme="minorHAnsi" w:hAnsiTheme="minorHAnsi" w:cstheme="minorHAnsi"/>
        </w:rPr>
        <w:t>Summary</w:t>
      </w:r>
    </w:p>
    <w:p w14:paraId="5FEA5ECE" w14:textId="77777777" w:rsidR="005E11F2" w:rsidRPr="00D22FFF" w:rsidRDefault="005E11F2" w:rsidP="005E11F2">
      <w:pPr>
        <w:numPr>
          <w:ilvl w:val="0"/>
          <w:numId w:val="1"/>
        </w:numPr>
        <w:spacing w:before="100" w:beforeAutospacing="1" w:after="100" w:afterAutospacing="1" w:line="240" w:lineRule="auto"/>
        <w:ind w:left="150"/>
        <w:rPr>
          <w:rFonts w:cstheme="minorHAnsi"/>
        </w:rPr>
      </w:pPr>
      <w:r w:rsidRPr="00D22FFF">
        <w:rPr>
          <w:rFonts w:cstheme="minorHAnsi"/>
        </w:rPr>
        <w:t>Prediction of carbon dynamics in response to global climate change requires an understanding of the processes that govern the distribution of carbon stocks. Above‐ground biomass (AGB) in tropical forests is regulated by variation in soil fertility, climate, species composition and topography at regional scales, but the drivers of fine‐scale variation in tropical forest AGB are poorly understood. The factors that control the growth and mortality of individual trees may be obscured by the low resolution of studies at regional scales.</w:t>
      </w:r>
    </w:p>
    <w:p w14:paraId="3D43F1A2" w14:textId="77777777" w:rsidR="005E11F2" w:rsidRPr="00D22FFF" w:rsidRDefault="005E11F2" w:rsidP="005E11F2">
      <w:pPr>
        <w:numPr>
          <w:ilvl w:val="0"/>
          <w:numId w:val="1"/>
        </w:numPr>
        <w:spacing w:before="100" w:beforeAutospacing="1" w:after="100" w:afterAutospacing="1" w:line="240" w:lineRule="auto"/>
        <w:ind w:left="150"/>
        <w:rPr>
          <w:rFonts w:cstheme="minorHAnsi"/>
        </w:rPr>
      </w:pPr>
      <w:r w:rsidRPr="00D22FFF">
        <w:rPr>
          <w:rFonts w:cstheme="minorHAnsi"/>
        </w:rPr>
        <w:t>In this paper, we evaluated the effects of soil nutrients, topography and liana abundance on the fine‐scale spatial distribution of AGB and density of trees for a lowland tropical moist forest in Panama using additive regression models.</w:t>
      </w:r>
    </w:p>
    <w:p w14:paraId="7299A3CC" w14:textId="77777777" w:rsidR="005E11F2" w:rsidRPr="00D22FFF" w:rsidRDefault="005E11F2" w:rsidP="005E11F2">
      <w:pPr>
        <w:numPr>
          <w:ilvl w:val="0"/>
          <w:numId w:val="1"/>
        </w:numPr>
        <w:spacing w:before="100" w:beforeAutospacing="1" w:after="100" w:afterAutospacing="1" w:line="240" w:lineRule="auto"/>
        <w:ind w:left="150"/>
        <w:rPr>
          <w:rFonts w:cstheme="minorHAnsi"/>
        </w:rPr>
      </w:pPr>
      <w:r w:rsidRPr="00D22FFF">
        <w:rPr>
          <w:rFonts w:cstheme="minorHAnsi"/>
        </w:rPr>
        <w:t>Areas with larger values of AGB were negatively associated with the presence of lianas, which may reflect competition with lianas and/or the association of lianas with disturbed or open‐canopy patches within forests. AGB was positively associated with soils possessing higher pH and K concentrations, reflecting the importance of below‐ground resource availability on AGB independently of stem density.</w:t>
      </w:r>
    </w:p>
    <w:p w14:paraId="0B2DC20C" w14:textId="77777777" w:rsidR="005E11F2" w:rsidRPr="00D22FFF" w:rsidRDefault="005E11F2" w:rsidP="005E11F2">
      <w:pPr>
        <w:numPr>
          <w:ilvl w:val="0"/>
          <w:numId w:val="1"/>
        </w:numPr>
        <w:spacing w:before="100" w:beforeAutospacing="1" w:after="100" w:afterAutospacing="1" w:line="240" w:lineRule="auto"/>
        <w:ind w:left="150"/>
        <w:rPr>
          <w:rFonts w:cstheme="minorHAnsi"/>
        </w:rPr>
      </w:pPr>
      <w:r w:rsidRPr="00D22FFF">
        <w:rPr>
          <w:rFonts w:cstheme="minorHAnsi"/>
          <w:i/>
          <w:iCs/>
        </w:rPr>
        <w:t>Synthesis</w:t>
      </w:r>
      <w:r w:rsidRPr="00D22FFF">
        <w:rPr>
          <w:rFonts w:cstheme="minorHAnsi"/>
        </w:rPr>
        <w:t>. Our results shed new light on the factors that influence fine‐scale tree AGB and carbon stocks in tropical forests: liana abundance is the strongest predictor, having a negative impact on tree AGB. The availability of soil nutrients was also revealed as an important driver of fine‐scale spatial variation in tree AGB.</w:t>
      </w:r>
    </w:p>
    <w:p w14:paraId="757A006D" w14:textId="77777777" w:rsidR="005E11F2" w:rsidRPr="00D22FFF" w:rsidRDefault="005E11F2" w:rsidP="00B26A09">
      <w:pPr>
        <w:pStyle w:val="Heading1"/>
        <w:rPr>
          <w:rFonts w:asciiTheme="minorHAnsi" w:hAnsiTheme="minorHAnsi" w:cstheme="minorHAnsi"/>
        </w:rPr>
      </w:pPr>
      <w:r w:rsidRPr="00D22FFF">
        <w:rPr>
          <w:rFonts w:asciiTheme="minorHAnsi" w:hAnsiTheme="minorHAnsi" w:cstheme="minorHAnsi"/>
        </w:rPr>
        <w:t>Introduction</w:t>
      </w:r>
    </w:p>
    <w:p w14:paraId="646F4D08" w14:textId="77777777" w:rsidR="005E11F2" w:rsidRPr="00D22FFF" w:rsidRDefault="005E11F2" w:rsidP="00B26A09">
      <w:pPr>
        <w:rPr>
          <w:rFonts w:cstheme="minorHAnsi"/>
        </w:rPr>
      </w:pPr>
      <w:r w:rsidRPr="00D22FFF">
        <w:rPr>
          <w:rFonts w:cstheme="minorHAnsi"/>
        </w:rPr>
        <w:t>Tropical forests store 40–50% of total terrestrial carbon (Phillips </w:t>
      </w:r>
      <w:r w:rsidRPr="00D22FFF">
        <w:rPr>
          <w:rFonts w:cstheme="minorHAnsi"/>
          <w:i/>
          <w:iCs/>
        </w:rPr>
        <w:t>et al</w:t>
      </w:r>
      <w:r w:rsidRPr="00D22FFF">
        <w:rPr>
          <w:rFonts w:cstheme="minorHAnsi"/>
        </w:rPr>
        <w:t>. </w:t>
      </w:r>
      <w:hyperlink r:id="rId10" w:anchor="jec12635-bib-0059" w:history="1">
        <w:r w:rsidRPr="00D22FFF">
          <w:rPr>
            <w:rStyle w:val="Hyperlink"/>
            <w:rFonts w:eastAsiaTheme="majorEastAsia" w:cstheme="minorHAnsi"/>
            <w:b/>
            <w:bCs/>
            <w:color w:val="000000"/>
          </w:rPr>
          <w:t>2009</w:t>
        </w:r>
      </w:hyperlink>
      <w:r w:rsidRPr="00D22FFF">
        <w:rPr>
          <w:rFonts w:cstheme="minorHAnsi"/>
        </w:rPr>
        <w:t>). Consequently, determining carbon dynamics in tropical forests is a major goal of international climate policies (Pan </w:t>
      </w:r>
      <w:r w:rsidRPr="00D22FFF">
        <w:rPr>
          <w:rFonts w:cstheme="minorHAnsi"/>
          <w:i/>
          <w:iCs/>
        </w:rPr>
        <w:t>et al</w:t>
      </w:r>
      <w:r w:rsidRPr="00D22FFF">
        <w:rPr>
          <w:rFonts w:cstheme="minorHAnsi"/>
        </w:rPr>
        <w:t>. </w:t>
      </w:r>
      <w:hyperlink r:id="rId11" w:anchor="jec12635-bib-0054" w:history="1">
        <w:r w:rsidRPr="00D22FFF">
          <w:rPr>
            <w:rStyle w:val="Hyperlink"/>
            <w:rFonts w:eastAsiaTheme="majorEastAsia" w:cstheme="minorHAnsi"/>
            <w:b/>
            <w:bCs/>
            <w:color w:val="000000"/>
          </w:rPr>
          <w:t>2011</w:t>
        </w:r>
      </w:hyperlink>
      <w:r w:rsidRPr="00D22FFF">
        <w:rPr>
          <w:rFonts w:cstheme="minorHAnsi"/>
        </w:rPr>
        <w:t>; Dickson </w:t>
      </w:r>
      <w:r w:rsidRPr="00D22FFF">
        <w:rPr>
          <w:rFonts w:cstheme="minorHAnsi"/>
          <w:i/>
          <w:iCs/>
        </w:rPr>
        <w:t>et al</w:t>
      </w:r>
      <w:r w:rsidRPr="00D22FFF">
        <w:rPr>
          <w:rFonts w:cstheme="minorHAnsi"/>
        </w:rPr>
        <w:t>. </w:t>
      </w:r>
      <w:hyperlink r:id="rId12" w:anchor="jec12635-bib-0027" w:history="1">
        <w:r w:rsidRPr="00D22FFF">
          <w:rPr>
            <w:rStyle w:val="Hyperlink"/>
            <w:rFonts w:eastAsiaTheme="majorEastAsia" w:cstheme="minorHAnsi"/>
            <w:b/>
            <w:bCs/>
            <w:color w:val="000000"/>
          </w:rPr>
          <w:t>2012</w:t>
        </w:r>
      </w:hyperlink>
      <w:r w:rsidRPr="00D22FFF">
        <w:rPr>
          <w:rFonts w:cstheme="minorHAnsi"/>
        </w:rPr>
        <w:t>). Carbon stocks of live biomass in tropical forests reside mainly in the above‐ground biomass (AGB) of trees, which therefore make a disproportionate contribution to the potential for ecosystem carbon storage and the regulation of atmospheric carbon dioxide concentrations (Schimel </w:t>
      </w:r>
      <w:r w:rsidRPr="00D22FFF">
        <w:rPr>
          <w:rFonts w:cstheme="minorHAnsi"/>
          <w:i/>
          <w:iCs/>
        </w:rPr>
        <w:t>et al</w:t>
      </w:r>
      <w:r w:rsidRPr="00D22FFF">
        <w:rPr>
          <w:rFonts w:cstheme="minorHAnsi"/>
        </w:rPr>
        <w:t>. </w:t>
      </w:r>
      <w:hyperlink r:id="rId13" w:anchor="jec12635-bib-0070" w:history="1">
        <w:r w:rsidRPr="00D22FFF">
          <w:rPr>
            <w:rStyle w:val="Hyperlink"/>
            <w:rFonts w:eastAsiaTheme="majorEastAsia" w:cstheme="minorHAnsi"/>
            <w:b/>
            <w:bCs/>
            <w:color w:val="000000"/>
          </w:rPr>
          <w:t>2001</w:t>
        </w:r>
      </w:hyperlink>
      <w:r w:rsidRPr="00D22FFF">
        <w:rPr>
          <w:rFonts w:cstheme="minorHAnsi"/>
        </w:rPr>
        <w:t>; Bunker </w:t>
      </w:r>
      <w:r w:rsidRPr="00D22FFF">
        <w:rPr>
          <w:rFonts w:cstheme="minorHAnsi"/>
          <w:i/>
          <w:iCs/>
        </w:rPr>
        <w:t>et al</w:t>
      </w:r>
      <w:r w:rsidRPr="00D22FFF">
        <w:rPr>
          <w:rFonts w:cstheme="minorHAnsi"/>
        </w:rPr>
        <w:t>. </w:t>
      </w:r>
      <w:hyperlink r:id="rId14" w:anchor="jec12635-bib-0009" w:history="1">
        <w:r w:rsidRPr="00D22FFF">
          <w:rPr>
            <w:rStyle w:val="Hyperlink"/>
            <w:rFonts w:eastAsiaTheme="majorEastAsia" w:cstheme="minorHAnsi"/>
            <w:b/>
            <w:bCs/>
            <w:color w:val="000000"/>
          </w:rPr>
          <w:t>2005</w:t>
        </w:r>
      </w:hyperlink>
      <w:r w:rsidRPr="00D22FFF">
        <w:rPr>
          <w:rFonts w:cstheme="minorHAnsi"/>
        </w:rPr>
        <w:t>; Saatchi </w:t>
      </w:r>
      <w:r w:rsidRPr="00D22FFF">
        <w:rPr>
          <w:rFonts w:cstheme="minorHAnsi"/>
          <w:i/>
          <w:iCs/>
        </w:rPr>
        <w:t>et al</w:t>
      </w:r>
      <w:r w:rsidRPr="00D22FFF">
        <w:rPr>
          <w:rFonts w:cstheme="minorHAnsi"/>
        </w:rPr>
        <w:t>. </w:t>
      </w:r>
      <w:hyperlink r:id="rId15" w:anchor="jec12635-bib-0068" w:history="1">
        <w:r w:rsidRPr="00D22FFF">
          <w:rPr>
            <w:rStyle w:val="Hyperlink"/>
            <w:rFonts w:eastAsiaTheme="majorEastAsia" w:cstheme="minorHAnsi"/>
            <w:b/>
            <w:bCs/>
            <w:color w:val="000000"/>
          </w:rPr>
          <w:t>2011</w:t>
        </w:r>
      </w:hyperlink>
      <w:r w:rsidRPr="00D22FFF">
        <w:rPr>
          <w:rFonts w:cstheme="minorHAnsi"/>
        </w:rPr>
        <w:t>). To address this issue, there has been a major effort to calculate AGB stocks in tropical forests over recent decades (Clark &amp; Kellner </w:t>
      </w:r>
      <w:hyperlink r:id="rId16" w:anchor="jec12635-bib-0018" w:history="1">
        <w:r w:rsidRPr="00D22FFF">
          <w:rPr>
            <w:rStyle w:val="Hyperlink"/>
            <w:rFonts w:eastAsiaTheme="majorEastAsia" w:cstheme="minorHAnsi"/>
            <w:b/>
            <w:bCs/>
            <w:color w:val="000000"/>
          </w:rPr>
          <w:t>2012</w:t>
        </w:r>
      </w:hyperlink>
      <w:r w:rsidRPr="00D22FFF">
        <w:rPr>
          <w:rFonts w:cstheme="minorHAnsi"/>
        </w:rPr>
        <w:t>), including the creation of plot networks (Malhi </w:t>
      </w:r>
      <w:r w:rsidRPr="00D22FFF">
        <w:rPr>
          <w:rFonts w:cstheme="minorHAnsi"/>
          <w:i/>
          <w:iCs/>
        </w:rPr>
        <w:t>et al</w:t>
      </w:r>
      <w:r w:rsidRPr="00D22FFF">
        <w:rPr>
          <w:rFonts w:cstheme="minorHAnsi"/>
        </w:rPr>
        <w:t>. </w:t>
      </w:r>
      <w:hyperlink r:id="rId17" w:anchor="jec12635-bib-0050" w:history="1">
        <w:r w:rsidRPr="00D22FFF">
          <w:rPr>
            <w:rStyle w:val="Hyperlink"/>
            <w:rFonts w:eastAsiaTheme="majorEastAsia" w:cstheme="minorHAnsi"/>
            <w:b/>
            <w:bCs/>
            <w:color w:val="000000"/>
          </w:rPr>
          <w:t>2002</w:t>
        </w:r>
      </w:hyperlink>
      <w:r w:rsidRPr="00D22FFF">
        <w:rPr>
          <w:rFonts w:cstheme="minorHAnsi"/>
        </w:rPr>
        <w:t>; Anderson‐Teixeira </w:t>
      </w:r>
      <w:r w:rsidRPr="00D22FFF">
        <w:rPr>
          <w:rFonts w:cstheme="minorHAnsi"/>
          <w:i/>
          <w:iCs/>
        </w:rPr>
        <w:t>et al</w:t>
      </w:r>
      <w:r w:rsidRPr="00D22FFF">
        <w:rPr>
          <w:rFonts w:cstheme="minorHAnsi"/>
        </w:rPr>
        <w:t>. </w:t>
      </w:r>
      <w:hyperlink r:id="rId18" w:anchor="jec12635-bib-0001" w:history="1">
        <w:r w:rsidRPr="00D22FFF">
          <w:rPr>
            <w:rStyle w:val="Hyperlink"/>
            <w:rFonts w:eastAsiaTheme="majorEastAsia" w:cstheme="minorHAnsi"/>
            <w:b/>
            <w:bCs/>
            <w:color w:val="000000"/>
          </w:rPr>
          <w:t>2014</w:t>
        </w:r>
      </w:hyperlink>
      <w:r w:rsidRPr="00D22FFF">
        <w:rPr>
          <w:rFonts w:cstheme="minorHAnsi"/>
        </w:rPr>
        <w:t>), development of remote sensing methods to quantify AGB at continental scales (Asner </w:t>
      </w:r>
      <w:r w:rsidRPr="00D22FFF">
        <w:rPr>
          <w:rFonts w:cstheme="minorHAnsi"/>
          <w:i/>
          <w:iCs/>
        </w:rPr>
        <w:t>et al</w:t>
      </w:r>
      <w:r w:rsidRPr="00D22FFF">
        <w:rPr>
          <w:rFonts w:cstheme="minorHAnsi"/>
        </w:rPr>
        <w:t>. </w:t>
      </w:r>
      <w:hyperlink r:id="rId19" w:anchor="jec12635-bib-0004" w:history="1">
        <w:r w:rsidRPr="00D22FFF">
          <w:rPr>
            <w:rStyle w:val="Hyperlink"/>
            <w:rFonts w:eastAsiaTheme="majorEastAsia" w:cstheme="minorHAnsi"/>
            <w:b/>
            <w:bCs/>
            <w:color w:val="000000"/>
          </w:rPr>
          <w:t>2010</w:t>
        </w:r>
      </w:hyperlink>
      <w:r w:rsidRPr="00D22FFF">
        <w:rPr>
          <w:rFonts w:cstheme="minorHAnsi"/>
        </w:rPr>
        <w:t>), improvements to equations for estimating individual AGB (Feldpausch </w:t>
      </w:r>
      <w:r w:rsidRPr="00D22FFF">
        <w:rPr>
          <w:rFonts w:cstheme="minorHAnsi"/>
          <w:i/>
          <w:iCs/>
        </w:rPr>
        <w:t>et al</w:t>
      </w:r>
      <w:r w:rsidRPr="00D22FFF">
        <w:rPr>
          <w:rFonts w:cstheme="minorHAnsi"/>
        </w:rPr>
        <w:t>. </w:t>
      </w:r>
      <w:hyperlink r:id="rId20" w:anchor="jec12635-bib-0031" w:history="1">
        <w:r w:rsidRPr="00D22FFF">
          <w:rPr>
            <w:rStyle w:val="Hyperlink"/>
            <w:rFonts w:eastAsiaTheme="majorEastAsia" w:cstheme="minorHAnsi"/>
            <w:b/>
            <w:bCs/>
            <w:color w:val="000000"/>
          </w:rPr>
          <w:t>2012</w:t>
        </w:r>
      </w:hyperlink>
      <w:r w:rsidRPr="00D22FFF">
        <w:rPr>
          <w:rFonts w:cstheme="minorHAnsi"/>
        </w:rPr>
        <w:t>; Chave </w:t>
      </w:r>
      <w:r w:rsidRPr="00D22FFF">
        <w:rPr>
          <w:rFonts w:cstheme="minorHAnsi"/>
          <w:i/>
          <w:iCs/>
        </w:rPr>
        <w:t>et al</w:t>
      </w:r>
      <w:r w:rsidRPr="00D22FFF">
        <w:rPr>
          <w:rFonts w:cstheme="minorHAnsi"/>
        </w:rPr>
        <w:t>. </w:t>
      </w:r>
      <w:hyperlink r:id="rId21" w:anchor="jec12635-bib-0015" w:history="1">
        <w:r w:rsidRPr="00D22FFF">
          <w:rPr>
            <w:rStyle w:val="Hyperlink"/>
            <w:rFonts w:eastAsiaTheme="majorEastAsia" w:cstheme="minorHAnsi"/>
            <w:b/>
            <w:bCs/>
            <w:color w:val="000000"/>
          </w:rPr>
          <w:t>2014</w:t>
        </w:r>
      </w:hyperlink>
      <w:r w:rsidRPr="00D22FFF">
        <w:rPr>
          <w:rFonts w:cstheme="minorHAnsi"/>
        </w:rPr>
        <w:t>) and the development of methods for scaling from local to regional AGB values (Marvin </w:t>
      </w:r>
      <w:r w:rsidRPr="00D22FFF">
        <w:rPr>
          <w:rFonts w:cstheme="minorHAnsi"/>
          <w:i/>
          <w:iCs/>
        </w:rPr>
        <w:t>et al</w:t>
      </w:r>
      <w:r w:rsidRPr="00D22FFF">
        <w:rPr>
          <w:rFonts w:cstheme="minorHAnsi"/>
        </w:rPr>
        <w:t>. </w:t>
      </w:r>
      <w:hyperlink r:id="rId22" w:anchor="jec12635-bib-0052" w:history="1">
        <w:r w:rsidRPr="00D22FFF">
          <w:rPr>
            <w:rStyle w:val="Hyperlink"/>
            <w:rFonts w:eastAsiaTheme="majorEastAsia" w:cstheme="minorHAnsi"/>
            <w:b/>
            <w:bCs/>
            <w:color w:val="000000"/>
          </w:rPr>
          <w:t>2014</w:t>
        </w:r>
      </w:hyperlink>
      <w:r w:rsidRPr="00D22FFF">
        <w:rPr>
          <w:rFonts w:cstheme="minorHAnsi"/>
        </w:rPr>
        <w:t>).</w:t>
      </w:r>
    </w:p>
    <w:p w14:paraId="1CEB1A6E" w14:textId="77777777" w:rsidR="005E11F2" w:rsidRPr="00D22FFF" w:rsidRDefault="005E11F2" w:rsidP="00B26A09">
      <w:pPr>
        <w:rPr>
          <w:rFonts w:cstheme="minorHAnsi"/>
        </w:rPr>
      </w:pPr>
      <w:r w:rsidRPr="00D22FFF">
        <w:rPr>
          <w:rFonts w:cstheme="minorHAnsi"/>
        </w:rPr>
        <w:t>One conclusion derived from the analysis of long‐term plot data is that AGB stocks in intact tropical forests are increasing through time (Phillips </w:t>
      </w:r>
      <w:r w:rsidRPr="00D22FFF">
        <w:rPr>
          <w:rFonts w:cstheme="minorHAnsi"/>
          <w:i/>
          <w:iCs/>
        </w:rPr>
        <w:t>et al</w:t>
      </w:r>
      <w:r w:rsidRPr="00D22FFF">
        <w:rPr>
          <w:rFonts w:cstheme="minorHAnsi"/>
        </w:rPr>
        <w:t>. </w:t>
      </w:r>
      <w:hyperlink r:id="rId23" w:anchor="jec12635-bib-0058" w:history="1">
        <w:r w:rsidRPr="00D22FFF">
          <w:rPr>
            <w:rStyle w:val="Hyperlink"/>
            <w:rFonts w:eastAsiaTheme="majorEastAsia" w:cstheme="minorHAnsi"/>
            <w:b/>
            <w:bCs/>
            <w:color w:val="000000"/>
          </w:rPr>
          <w:t>1998</w:t>
        </w:r>
      </w:hyperlink>
      <w:r w:rsidRPr="00D22FFF">
        <w:rPr>
          <w:rFonts w:cstheme="minorHAnsi"/>
        </w:rPr>
        <w:t>; Baker </w:t>
      </w:r>
      <w:r w:rsidRPr="00D22FFF">
        <w:rPr>
          <w:rFonts w:cstheme="minorHAnsi"/>
          <w:i/>
          <w:iCs/>
        </w:rPr>
        <w:t>et al</w:t>
      </w:r>
      <w:r w:rsidRPr="00D22FFF">
        <w:rPr>
          <w:rFonts w:cstheme="minorHAnsi"/>
        </w:rPr>
        <w:t>. </w:t>
      </w:r>
      <w:hyperlink r:id="rId24" w:anchor="jec12635-bib-0005" w:history="1">
        <w:r w:rsidRPr="00D22FFF">
          <w:rPr>
            <w:rStyle w:val="Hyperlink"/>
            <w:rFonts w:eastAsiaTheme="majorEastAsia" w:cstheme="minorHAnsi"/>
            <w:b/>
            <w:bCs/>
            <w:color w:val="000000"/>
          </w:rPr>
          <w:t>2004a</w:t>
        </w:r>
      </w:hyperlink>
      <w:r w:rsidRPr="00D22FFF">
        <w:rPr>
          <w:rFonts w:cstheme="minorHAnsi"/>
        </w:rPr>
        <w:t>), possibly due to an increase in atmospheric carbon dioxide concentrations (Holtum &amp; Winter </w:t>
      </w:r>
      <w:hyperlink r:id="rId25" w:anchor="jec12635-bib-0036" w:history="1">
        <w:r w:rsidRPr="00D22FFF">
          <w:rPr>
            <w:rStyle w:val="Hyperlink"/>
            <w:rFonts w:eastAsiaTheme="majorEastAsia" w:cstheme="minorHAnsi"/>
            <w:b/>
            <w:bCs/>
            <w:color w:val="000000"/>
          </w:rPr>
          <w:t>2010</w:t>
        </w:r>
      </w:hyperlink>
      <w:r w:rsidRPr="00D22FFF">
        <w:rPr>
          <w:rFonts w:cstheme="minorHAnsi"/>
        </w:rPr>
        <w:t>; Coomes, Burslem &amp; Simonson </w:t>
      </w:r>
      <w:hyperlink r:id="rId26" w:anchor="jec12635-bib-0022" w:history="1">
        <w:r w:rsidRPr="00D22FFF">
          <w:rPr>
            <w:rStyle w:val="Hyperlink"/>
            <w:rFonts w:eastAsiaTheme="majorEastAsia" w:cstheme="minorHAnsi"/>
            <w:b/>
            <w:bCs/>
            <w:color w:val="000000"/>
          </w:rPr>
          <w:t>2014</w:t>
        </w:r>
      </w:hyperlink>
      <w:r w:rsidRPr="00D22FFF">
        <w:rPr>
          <w:rFonts w:cstheme="minorHAnsi"/>
        </w:rPr>
        <w:t>). However, this conclusion is challenged by data from well‐characterized sites that display a decline in carbon storage due to decelerating growth (Feeley </w:t>
      </w:r>
      <w:r w:rsidRPr="00D22FFF">
        <w:rPr>
          <w:rFonts w:cstheme="minorHAnsi"/>
          <w:i/>
          <w:iCs/>
        </w:rPr>
        <w:t>et al</w:t>
      </w:r>
      <w:r w:rsidRPr="00D22FFF">
        <w:rPr>
          <w:rFonts w:cstheme="minorHAnsi"/>
        </w:rPr>
        <w:t>. </w:t>
      </w:r>
      <w:hyperlink r:id="rId27" w:anchor="jec12635-bib-0030" w:history="1">
        <w:r w:rsidRPr="00D22FFF">
          <w:rPr>
            <w:rStyle w:val="Hyperlink"/>
            <w:rFonts w:eastAsiaTheme="majorEastAsia" w:cstheme="minorHAnsi"/>
            <w:b/>
            <w:bCs/>
            <w:color w:val="000000"/>
          </w:rPr>
          <w:t>2007</w:t>
        </w:r>
      </w:hyperlink>
      <w:r w:rsidRPr="00D22FFF">
        <w:rPr>
          <w:rFonts w:cstheme="minorHAnsi"/>
        </w:rPr>
        <w:t>; Dong </w:t>
      </w:r>
      <w:r w:rsidRPr="00D22FFF">
        <w:rPr>
          <w:rFonts w:cstheme="minorHAnsi"/>
          <w:i/>
          <w:iCs/>
        </w:rPr>
        <w:t>et al</w:t>
      </w:r>
      <w:r w:rsidRPr="00D22FFF">
        <w:rPr>
          <w:rFonts w:cstheme="minorHAnsi"/>
        </w:rPr>
        <w:t>. </w:t>
      </w:r>
      <w:hyperlink r:id="rId28" w:anchor="jec12635-bib-0028" w:history="1">
        <w:r w:rsidRPr="00D22FFF">
          <w:rPr>
            <w:rStyle w:val="Hyperlink"/>
            <w:rFonts w:eastAsiaTheme="majorEastAsia" w:cstheme="minorHAnsi"/>
            <w:b/>
            <w:bCs/>
            <w:color w:val="000000"/>
          </w:rPr>
          <w:t>2012</w:t>
        </w:r>
      </w:hyperlink>
      <w:r w:rsidRPr="00D22FFF">
        <w:rPr>
          <w:rFonts w:cstheme="minorHAnsi"/>
        </w:rPr>
        <w:t>; Clark, Clark &amp; Oberbauer </w:t>
      </w:r>
      <w:hyperlink r:id="rId29" w:anchor="jec12635-bib-0017" w:history="1">
        <w:r w:rsidRPr="00D22FFF">
          <w:rPr>
            <w:rStyle w:val="Hyperlink"/>
            <w:rFonts w:eastAsiaTheme="majorEastAsia" w:cstheme="minorHAnsi"/>
            <w:b/>
            <w:bCs/>
            <w:color w:val="000000"/>
          </w:rPr>
          <w:t>2013</w:t>
        </w:r>
      </w:hyperlink>
      <w:r w:rsidRPr="00D22FFF">
        <w:rPr>
          <w:rFonts w:cstheme="minorHAnsi"/>
        </w:rPr>
        <w:t>), and dendrochronological studies that provide no indication of an increase in tree growth rates over the past 100 years (van der Sleen </w:t>
      </w:r>
      <w:r w:rsidRPr="00D22FFF">
        <w:rPr>
          <w:rFonts w:cstheme="minorHAnsi"/>
          <w:i/>
          <w:iCs/>
        </w:rPr>
        <w:t>et al</w:t>
      </w:r>
      <w:r w:rsidRPr="00D22FFF">
        <w:rPr>
          <w:rFonts w:cstheme="minorHAnsi"/>
        </w:rPr>
        <w:t>. </w:t>
      </w:r>
      <w:hyperlink r:id="rId30" w:anchor="jec12635-bib-0078" w:history="1">
        <w:r w:rsidRPr="00D22FFF">
          <w:rPr>
            <w:rStyle w:val="Hyperlink"/>
            <w:rFonts w:eastAsiaTheme="majorEastAsia" w:cstheme="minorHAnsi"/>
            <w:b/>
            <w:bCs/>
            <w:color w:val="000000"/>
          </w:rPr>
          <w:t>2014</w:t>
        </w:r>
      </w:hyperlink>
      <w:r w:rsidRPr="00D22FFF">
        <w:rPr>
          <w:rFonts w:cstheme="minorHAnsi"/>
        </w:rPr>
        <w:t>; Groenendijk </w:t>
      </w:r>
      <w:r w:rsidRPr="00D22FFF">
        <w:rPr>
          <w:rFonts w:cstheme="minorHAnsi"/>
          <w:i/>
          <w:iCs/>
        </w:rPr>
        <w:t>et al</w:t>
      </w:r>
      <w:r w:rsidRPr="00D22FFF">
        <w:rPr>
          <w:rFonts w:cstheme="minorHAnsi"/>
        </w:rPr>
        <w:t>. </w:t>
      </w:r>
      <w:hyperlink r:id="rId31" w:anchor="jec12635-bib-0032" w:history="1">
        <w:r w:rsidRPr="00D22FFF">
          <w:rPr>
            <w:rStyle w:val="Hyperlink"/>
            <w:rFonts w:eastAsiaTheme="majorEastAsia" w:cstheme="minorHAnsi"/>
            <w:b/>
            <w:bCs/>
            <w:color w:val="000000"/>
          </w:rPr>
          <w:t>2015</w:t>
        </w:r>
      </w:hyperlink>
      <w:r w:rsidRPr="00D22FFF">
        <w:rPr>
          <w:rFonts w:cstheme="minorHAnsi"/>
        </w:rPr>
        <w:t>). The inconsistencies in the magnitude and direction of AGB change may reflect a divergence in response across spatial scales and geographic regions (Chave </w:t>
      </w:r>
      <w:r w:rsidRPr="00D22FFF">
        <w:rPr>
          <w:rFonts w:cstheme="minorHAnsi"/>
          <w:i/>
          <w:iCs/>
        </w:rPr>
        <w:t>et al</w:t>
      </w:r>
      <w:r w:rsidRPr="00D22FFF">
        <w:rPr>
          <w:rFonts w:cstheme="minorHAnsi"/>
        </w:rPr>
        <w:t>. </w:t>
      </w:r>
      <w:hyperlink r:id="rId32" w:anchor="jec12635-bib-0014" w:history="1">
        <w:r w:rsidRPr="00D22FFF">
          <w:rPr>
            <w:rStyle w:val="Hyperlink"/>
            <w:rFonts w:eastAsiaTheme="majorEastAsia" w:cstheme="minorHAnsi"/>
            <w:b/>
            <w:bCs/>
            <w:color w:val="000000"/>
          </w:rPr>
          <w:t>2008</w:t>
        </w:r>
      </w:hyperlink>
      <w:r w:rsidRPr="00D22FFF">
        <w:rPr>
          <w:rFonts w:cstheme="minorHAnsi"/>
        </w:rPr>
        <w:t>; Wright </w:t>
      </w:r>
      <w:hyperlink r:id="rId33" w:anchor="jec12635-bib-0085" w:history="1">
        <w:r w:rsidRPr="00D22FFF">
          <w:rPr>
            <w:rStyle w:val="Hyperlink"/>
            <w:rFonts w:eastAsiaTheme="majorEastAsia" w:cstheme="minorHAnsi"/>
            <w:b/>
            <w:bCs/>
            <w:color w:val="000000"/>
          </w:rPr>
          <w:t>2013</w:t>
        </w:r>
      </w:hyperlink>
      <w:r w:rsidRPr="00D22FFF">
        <w:rPr>
          <w:rFonts w:cstheme="minorHAnsi"/>
        </w:rPr>
        <w:t>), and it limits our capacity to forecast future changes in AGB in response to climate change predictions. The AGB of individual trees is influenced by interactions among neighbours and is therefore subject to the effects of competition, local community structure and resource availability. These factors may operate differentially in different regions through biogeographic effects determined by variation in local species pools and contrasting abiotic environments.</w:t>
      </w:r>
    </w:p>
    <w:p w14:paraId="02619E5E" w14:textId="77777777" w:rsidR="005E11F2" w:rsidRPr="00D22FFF" w:rsidRDefault="005E11F2" w:rsidP="00B26A09">
      <w:pPr>
        <w:rPr>
          <w:rFonts w:cstheme="minorHAnsi"/>
        </w:rPr>
      </w:pPr>
      <w:r w:rsidRPr="00D22FFF">
        <w:rPr>
          <w:rFonts w:cstheme="minorHAnsi"/>
        </w:rPr>
        <w:t>Despite the discrepancies among current studies of AGB dynamics in tropical forests, it is well‐established that AGB increases through successional development and is therefore greater in relatively undisturbed primary forests than in secondary forests (Brown &amp; Lugo </w:t>
      </w:r>
      <w:hyperlink r:id="rId34" w:anchor="jec12635-bib-0008" w:history="1">
        <w:r w:rsidRPr="00D22FFF">
          <w:rPr>
            <w:rStyle w:val="Hyperlink"/>
            <w:rFonts w:eastAsiaTheme="majorEastAsia" w:cstheme="minorHAnsi"/>
            <w:b/>
            <w:bCs/>
            <w:color w:val="000000"/>
          </w:rPr>
          <w:t>1982</w:t>
        </w:r>
      </w:hyperlink>
      <w:r w:rsidRPr="00D22FFF">
        <w:rPr>
          <w:rFonts w:cstheme="minorHAnsi"/>
        </w:rPr>
        <w:t>; Wright </w:t>
      </w:r>
      <w:hyperlink r:id="rId35" w:anchor="jec12635-bib-0085" w:history="1">
        <w:r w:rsidRPr="00D22FFF">
          <w:rPr>
            <w:rStyle w:val="Hyperlink"/>
            <w:rFonts w:eastAsiaTheme="majorEastAsia" w:cstheme="minorHAnsi"/>
            <w:b/>
            <w:bCs/>
            <w:color w:val="000000"/>
          </w:rPr>
          <w:t>2013</w:t>
        </w:r>
      </w:hyperlink>
      <w:r w:rsidRPr="00D22FFF">
        <w:rPr>
          <w:rFonts w:cstheme="minorHAnsi"/>
        </w:rPr>
        <w:t>). Hence, AGB increases after disturbance and reaches a maximum value that depends on local climate and resource availability in late succession. Among primary tropical forests, AGB at the regional scale responds to variation in soil fertility and soil physical properties (Laurance </w:t>
      </w:r>
      <w:r w:rsidRPr="00D22FFF">
        <w:rPr>
          <w:rFonts w:cstheme="minorHAnsi"/>
          <w:i/>
          <w:iCs/>
        </w:rPr>
        <w:t>et al</w:t>
      </w:r>
      <w:r w:rsidRPr="00D22FFF">
        <w:rPr>
          <w:rFonts w:cstheme="minorHAnsi"/>
        </w:rPr>
        <w:t>. </w:t>
      </w:r>
      <w:hyperlink r:id="rId36" w:anchor="jec12635-bib-0044" w:history="1">
        <w:r w:rsidRPr="00D22FFF">
          <w:rPr>
            <w:rStyle w:val="Hyperlink"/>
            <w:rFonts w:eastAsiaTheme="majorEastAsia" w:cstheme="minorHAnsi"/>
            <w:b/>
            <w:bCs/>
            <w:color w:val="000000"/>
          </w:rPr>
          <w:t>1999</w:t>
        </w:r>
      </w:hyperlink>
      <w:r w:rsidRPr="00D22FFF">
        <w:rPr>
          <w:rFonts w:cstheme="minorHAnsi"/>
        </w:rPr>
        <w:t>; Baker </w:t>
      </w:r>
      <w:r w:rsidRPr="00D22FFF">
        <w:rPr>
          <w:rFonts w:cstheme="minorHAnsi"/>
          <w:i/>
          <w:iCs/>
        </w:rPr>
        <w:t>et al</w:t>
      </w:r>
      <w:r w:rsidRPr="00D22FFF">
        <w:rPr>
          <w:rFonts w:cstheme="minorHAnsi"/>
        </w:rPr>
        <w:t>. </w:t>
      </w:r>
      <w:hyperlink r:id="rId37" w:anchor="jec12635-bib-0006" w:history="1">
        <w:r w:rsidRPr="00D22FFF">
          <w:rPr>
            <w:rStyle w:val="Hyperlink"/>
            <w:rFonts w:eastAsiaTheme="majorEastAsia" w:cstheme="minorHAnsi"/>
            <w:b/>
            <w:bCs/>
            <w:color w:val="000000"/>
          </w:rPr>
          <w:t>2004b</w:t>
        </w:r>
      </w:hyperlink>
      <w:r w:rsidRPr="00D22FFF">
        <w:rPr>
          <w:rFonts w:cstheme="minorHAnsi"/>
        </w:rPr>
        <w:t>), topography (Mascaro </w:t>
      </w:r>
      <w:r w:rsidRPr="00D22FFF">
        <w:rPr>
          <w:rFonts w:cstheme="minorHAnsi"/>
          <w:i/>
          <w:iCs/>
        </w:rPr>
        <w:t>et al</w:t>
      </w:r>
      <w:r w:rsidRPr="00D22FFF">
        <w:rPr>
          <w:rFonts w:cstheme="minorHAnsi"/>
        </w:rPr>
        <w:t>. </w:t>
      </w:r>
      <w:hyperlink r:id="rId38" w:anchor="jec12635-bib-0053" w:history="1">
        <w:r w:rsidRPr="00D22FFF">
          <w:rPr>
            <w:rStyle w:val="Hyperlink"/>
            <w:rFonts w:eastAsiaTheme="majorEastAsia" w:cstheme="minorHAnsi"/>
            <w:b/>
            <w:bCs/>
            <w:color w:val="000000"/>
          </w:rPr>
          <w:t>2011</w:t>
        </w:r>
      </w:hyperlink>
      <w:r w:rsidRPr="00D22FFF">
        <w:rPr>
          <w:rFonts w:cstheme="minorHAnsi"/>
        </w:rPr>
        <w:t>; Réjou‐Méchain </w:t>
      </w:r>
      <w:r w:rsidRPr="00D22FFF">
        <w:rPr>
          <w:rFonts w:cstheme="minorHAnsi"/>
          <w:i/>
          <w:iCs/>
        </w:rPr>
        <w:t>et al</w:t>
      </w:r>
      <w:r w:rsidRPr="00D22FFF">
        <w:rPr>
          <w:rFonts w:cstheme="minorHAnsi"/>
        </w:rPr>
        <w:t>. </w:t>
      </w:r>
      <w:hyperlink r:id="rId39" w:anchor="jec12635-bib-0063" w:history="1">
        <w:r w:rsidRPr="00D22FFF">
          <w:rPr>
            <w:rStyle w:val="Hyperlink"/>
            <w:rFonts w:eastAsiaTheme="majorEastAsia" w:cstheme="minorHAnsi"/>
            <w:b/>
            <w:bCs/>
            <w:color w:val="000000"/>
          </w:rPr>
          <w:t>2014</w:t>
        </w:r>
      </w:hyperlink>
      <w:r w:rsidRPr="00D22FFF">
        <w:rPr>
          <w:rFonts w:cstheme="minorHAnsi"/>
        </w:rPr>
        <w:t>), climatic factors (Quesada </w:t>
      </w:r>
      <w:r w:rsidRPr="00D22FFF">
        <w:rPr>
          <w:rFonts w:cstheme="minorHAnsi"/>
          <w:i/>
          <w:iCs/>
        </w:rPr>
        <w:t>et al</w:t>
      </w:r>
      <w:r w:rsidRPr="00D22FFF">
        <w:rPr>
          <w:rFonts w:cstheme="minorHAnsi"/>
        </w:rPr>
        <w:t>. </w:t>
      </w:r>
      <w:hyperlink r:id="rId40" w:anchor="jec12635-bib-0062" w:history="1">
        <w:r w:rsidRPr="00D22FFF">
          <w:rPr>
            <w:rStyle w:val="Hyperlink"/>
            <w:rFonts w:eastAsiaTheme="majorEastAsia" w:cstheme="minorHAnsi"/>
            <w:b/>
            <w:bCs/>
            <w:color w:val="000000"/>
          </w:rPr>
          <w:t>2012</w:t>
        </w:r>
      </w:hyperlink>
      <w:r w:rsidRPr="00D22FFF">
        <w:rPr>
          <w:rFonts w:cstheme="minorHAnsi"/>
        </w:rPr>
        <w:t>; Lewis </w:t>
      </w:r>
      <w:r w:rsidRPr="00D22FFF">
        <w:rPr>
          <w:rFonts w:cstheme="minorHAnsi"/>
          <w:i/>
          <w:iCs/>
        </w:rPr>
        <w:t>et al</w:t>
      </w:r>
      <w:r w:rsidRPr="00D22FFF">
        <w:rPr>
          <w:rFonts w:cstheme="minorHAnsi"/>
        </w:rPr>
        <w:t>. </w:t>
      </w:r>
      <w:hyperlink r:id="rId41" w:anchor="jec12635-bib-0049" w:history="1">
        <w:r w:rsidRPr="00D22FFF">
          <w:rPr>
            <w:rStyle w:val="Hyperlink"/>
            <w:rFonts w:eastAsiaTheme="majorEastAsia" w:cstheme="minorHAnsi"/>
            <w:b/>
            <w:bCs/>
            <w:color w:val="000000"/>
          </w:rPr>
          <w:t>2013</w:t>
        </w:r>
      </w:hyperlink>
      <w:r w:rsidRPr="00D22FFF">
        <w:rPr>
          <w:rFonts w:cstheme="minorHAnsi"/>
        </w:rPr>
        <w:t>), interactions between soil and climatic factors (Quesada </w:t>
      </w:r>
      <w:r w:rsidRPr="00D22FFF">
        <w:rPr>
          <w:rFonts w:cstheme="minorHAnsi"/>
          <w:i/>
          <w:iCs/>
        </w:rPr>
        <w:t>et al</w:t>
      </w:r>
      <w:r w:rsidRPr="00D22FFF">
        <w:rPr>
          <w:rFonts w:cstheme="minorHAnsi"/>
        </w:rPr>
        <w:t>. </w:t>
      </w:r>
      <w:hyperlink r:id="rId42" w:anchor="jec12635-bib-0062" w:history="1">
        <w:r w:rsidRPr="00D22FFF">
          <w:rPr>
            <w:rStyle w:val="Hyperlink"/>
            <w:rFonts w:eastAsiaTheme="majorEastAsia" w:cstheme="minorHAnsi"/>
            <w:b/>
            <w:bCs/>
            <w:color w:val="000000"/>
          </w:rPr>
          <w:t>2012</w:t>
        </w:r>
      </w:hyperlink>
      <w:r w:rsidRPr="00D22FFF">
        <w:rPr>
          <w:rFonts w:cstheme="minorHAnsi"/>
        </w:rPr>
        <w:t>; Lewis </w:t>
      </w:r>
      <w:r w:rsidRPr="00D22FFF">
        <w:rPr>
          <w:rFonts w:cstheme="minorHAnsi"/>
          <w:i/>
          <w:iCs/>
        </w:rPr>
        <w:t>et al</w:t>
      </w:r>
      <w:r w:rsidRPr="00D22FFF">
        <w:rPr>
          <w:rFonts w:cstheme="minorHAnsi"/>
        </w:rPr>
        <w:t>. </w:t>
      </w:r>
      <w:hyperlink r:id="rId43" w:anchor="jec12635-bib-0049" w:history="1">
        <w:r w:rsidRPr="00D22FFF">
          <w:rPr>
            <w:rStyle w:val="Hyperlink"/>
            <w:rFonts w:eastAsiaTheme="majorEastAsia" w:cstheme="minorHAnsi"/>
            <w:b/>
            <w:bCs/>
            <w:color w:val="000000"/>
          </w:rPr>
          <w:t>2013</w:t>
        </w:r>
      </w:hyperlink>
      <w:r w:rsidRPr="00D22FFF">
        <w:rPr>
          <w:rFonts w:cstheme="minorHAnsi"/>
        </w:rPr>
        <w:t>), stand‐level wood density (Baker </w:t>
      </w:r>
      <w:r w:rsidRPr="00D22FFF">
        <w:rPr>
          <w:rFonts w:cstheme="minorHAnsi"/>
          <w:i/>
          <w:iCs/>
        </w:rPr>
        <w:t>et al</w:t>
      </w:r>
      <w:r w:rsidRPr="00D22FFF">
        <w:rPr>
          <w:rFonts w:cstheme="minorHAnsi"/>
        </w:rPr>
        <w:t>. </w:t>
      </w:r>
      <w:hyperlink r:id="rId44" w:anchor="jec12635-bib-0006" w:history="1">
        <w:r w:rsidRPr="00D22FFF">
          <w:rPr>
            <w:rStyle w:val="Hyperlink"/>
            <w:rFonts w:eastAsiaTheme="majorEastAsia" w:cstheme="minorHAnsi"/>
            <w:b/>
            <w:bCs/>
            <w:color w:val="000000"/>
          </w:rPr>
          <w:t>2004b</w:t>
        </w:r>
      </w:hyperlink>
      <w:r w:rsidRPr="00D22FFF">
        <w:rPr>
          <w:rFonts w:cstheme="minorHAnsi"/>
        </w:rPr>
        <w:t>) and species composition (Laurance </w:t>
      </w:r>
      <w:r w:rsidRPr="00D22FFF">
        <w:rPr>
          <w:rFonts w:cstheme="minorHAnsi"/>
          <w:i/>
          <w:iCs/>
        </w:rPr>
        <w:t>et al</w:t>
      </w:r>
      <w:r w:rsidRPr="00D22FFF">
        <w:rPr>
          <w:rFonts w:cstheme="minorHAnsi"/>
        </w:rPr>
        <w:t>. </w:t>
      </w:r>
      <w:hyperlink r:id="rId45" w:anchor="jec12635-bib-0045" w:history="1">
        <w:r w:rsidRPr="00D22FFF">
          <w:rPr>
            <w:rStyle w:val="Hyperlink"/>
            <w:rFonts w:eastAsiaTheme="majorEastAsia" w:cstheme="minorHAnsi"/>
            <w:b/>
            <w:bCs/>
            <w:color w:val="000000"/>
          </w:rPr>
          <w:t>2004</w:t>
        </w:r>
      </w:hyperlink>
      <w:r w:rsidRPr="00D22FFF">
        <w:rPr>
          <w:rFonts w:cstheme="minorHAnsi"/>
        </w:rPr>
        <w:t>; Bunker </w:t>
      </w:r>
      <w:r w:rsidRPr="00D22FFF">
        <w:rPr>
          <w:rFonts w:cstheme="minorHAnsi"/>
          <w:i/>
          <w:iCs/>
        </w:rPr>
        <w:t>et al</w:t>
      </w:r>
      <w:r w:rsidRPr="00D22FFF">
        <w:rPr>
          <w:rFonts w:cstheme="minorHAnsi"/>
        </w:rPr>
        <w:t>. </w:t>
      </w:r>
      <w:hyperlink r:id="rId46" w:anchor="jec12635-bib-0009" w:history="1">
        <w:r w:rsidRPr="00D22FFF">
          <w:rPr>
            <w:rStyle w:val="Hyperlink"/>
            <w:rFonts w:eastAsiaTheme="majorEastAsia" w:cstheme="minorHAnsi"/>
            <w:b/>
            <w:bCs/>
            <w:color w:val="000000"/>
          </w:rPr>
          <w:t>2005</w:t>
        </w:r>
      </w:hyperlink>
      <w:r w:rsidRPr="00D22FFF">
        <w:rPr>
          <w:rFonts w:cstheme="minorHAnsi"/>
        </w:rPr>
        <w:t>; Poorter </w:t>
      </w:r>
      <w:r w:rsidRPr="00D22FFF">
        <w:rPr>
          <w:rFonts w:cstheme="minorHAnsi"/>
          <w:i/>
          <w:iCs/>
        </w:rPr>
        <w:t>et al</w:t>
      </w:r>
      <w:r w:rsidRPr="00D22FFF">
        <w:rPr>
          <w:rFonts w:cstheme="minorHAnsi"/>
        </w:rPr>
        <w:t>. </w:t>
      </w:r>
      <w:hyperlink r:id="rId47" w:anchor="jec12635-bib-0060" w:history="1">
        <w:r w:rsidRPr="00D22FFF">
          <w:rPr>
            <w:rStyle w:val="Hyperlink"/>
            <w:rFonts w:eastAsiaTheme="majorEastAsia" w:cstheme="minorHAnsi"/>
            <w:b/>
            <w:bCs/>
            <w:color w:val="000000"/>
          </w:rPr>
          <w:t>2015</w:t>
        </w:r>
      </w:hyperlink>
      <w:r w:rsidRPr="00D22FFF">
        <w:rPr>
          <w:rFonts w:cstheme="minorHAnsi"/>
        </w:rPr>
        <w:t>). Species composition and species richness may correlate with AGB through indirect effects mediated by these underlying environmental drivers or through variation in species' wood density (Chisholm </w:t>
      </w:r>
      <w:r w:rsidRPr="00D22FFF">
        <w:rPr>
          <w:rFonts w:cstheme="minorHAnsi"/>
          <w:i/>
          <w:iCs/>
        </w:rPr>
        <w:t>et al</w:t>
      </w:r>
      <w:r w:rsidRPr="00D22FFF">
        <w:rPr>
          <w:rFonts w:cstheme="minorHAnsi"/>
        </w:rPr>
        <w:t>. </w:t>
      </w:r>
      <w:hyperlink r:id="rId48" w:anchor="jec12635-bib-0016" w:history="1">
        <w:r w:rsidRPr="00D22FFF">
          <w:rPr>
            <w:rStyle w:val="Hyperlink"/>
            <w:rFonts w:eastAsiaTheme="majorEastAsia" w:cstheme="minorHAnsi"/>
            <w:b/>
            <w:bCs/>
            <w:color w:val="000000"/>
          </w:rPr>
          <w:t>2013</w:t>
        </w:r>
      </w:hyperlink>
      <w:r w:rsidRPr="00D22FFF">
        <w:rPr>
          <w:rFonts w:cstheme="minorHAnsi"/>
        </w:rPr>
        <w:t>; Poorter </w:t>
      </w:r>
      <w:r w:rsidRPr="00D22FFF">
        <w:rPr>
          <w:rFonts w:cstheme="minorHAnsi"/>
          <w:i/>
          <w:iCs/>
        </w:rPr>
        <w:t>et al</w:t>
      </w:r>
      <w:r w:rsidRPr="00D22FFF">
        <w:rPr>
          <w:rFonts w:cstheme="minorHAnsi"/>
        </w:rPr>
        <w:t>. </w:t>
      </w:r>
      <w:hyperlink r:id="rId49" w:anchor="jec12635-bib-0060" w:history="1">
        <w:r w:rsidRPr="00D22FFF">
          <w:rPr>
            <w:rStyle w:val="Hyperlink"/>
            <w:rFonts w:eastAsiaTheme="majorEastAsia" w:cstheme="minorHAnsi"/>
            <w:b/>
            <w:bCs/>
            <w:color w:val="000000"/>
          </w:rPr>
          <w:t>2015</w:t>
        </w:r>
      </w:hyperlink>
      <w:r w:rsidRPr="00D22FFF">
        <w:rPr>
          <w:rFonts w:cstheme="minorHAnsi"/>
        </w:rPr>
        <w:t>), although expected relationships, such as a positive relationship between AGB and community wood density, are not always observed and differ among regions and forest types (Slik </w:t>
      </w:r>
      <w:r w:rsidRPr="00D22FFF">
        <w:rPr>
          <w:rFonts w:cstheme="minorHAnsi"/>
          <w:i/>
          <w:iCs/>
        </w:rPr>
        <w:t>et al</w:t>
      </w:r>
      <w:r w:rsidRPr="00D22FFF">
        <w:rPr>
          <w:rFonts w:cstheme="minorHAnsi"/>
        </w:rPr>
        <w:t>. </w:t>
      </w:r>
      <w:hyperlink r:id="rId50" w:anchor="jec12635-bib-0079" w:history="1">
        <w:r w:rsidRPr="00D22FFF">
          <w:rPr>
            <w:rStyle w:val="Hyperlink"/>
            <w:rFonts w:eastAsiaTheme="majorEastAsia" w:cstheme="minorHAnsi"/>
            <w:b/>
            <w:bCs/>
            <w:color w:val="000000"/>
          </w:rPr>
          <w:t>2010</w:t>
        </w:r>
      </w:hyperlink>
      <w:r w:rsidRPr="00D22FFF">
        <w:rPr>
          <w:rFonts w:cstheme="minorHAnsi"/>
        </w:rPr>
        <w:t>; Ruiz‐Jaen &amp; Potvin </w:t>
      </w:r>
      <w:hyperlink r:id="rId51" w:anchor="jec12635-bib-0067" w:history="1">
        <w:r w:rsidRPr="00D22FFF">
          <w:rPr>
            <w:rStyle w:val="Hyperlink"/>
            <w:rFonts w:eastAsiaTheme="majorEastAsia" w:cstheme="minorHAnsi"/>
            <w:b/>
            <w:bCs/>
            <w:color w:val="000000"/>
          </w:rPr>
          <w:t>2011</w:t>
        </w:r>
      </w:hyperlink>
      <w:r w:rsidRPr="00D22FFF">
        <w:rPr>
          <w:rFonts w:cstheme="minorHAnsi"/>
        </w:rPr>
        <w:t>). A third potential explanation is that species richness might increase AGB through the expression of complementary niches among coexisting species (Tilman, Isbell &amp; Cowles </w:t>
      </w:r>
      <w:hyperlink r:id="rId52" w:anchor="jec12635-bib-0081" w:history="1">
        <w:r w:rsidRPr="00D22FFF">
          <w:rPr>
            <w:rStyle w:val="Hyperlink"/>
            <w:rFonts w:eastAsiaTheme="majorEastAsia" w:cstheme="minorHAnsi"/>
            <w:b/>
            <w:bCs/>
            <w:color w:val="000000"/>
          </w:rPr>
          <w:t>2014</w:t>
        </w:r>
      </w:hyperlink>
      <w:r w:rsidRPr="00D22FFF">
        <w:rPr>
          <w:rFonts w:cstheme="minorHAnsi"/>
        </w:rPr>
        <w:t>; Poorter </w:t>
      </w:r>
      <w:r w:rsidRPr="00D22FFF">
        <w:rPr>
          <w:rFonts w:cstheme="minorHAnsi"/>
          <w:i/>
          <w:iCs/>
        </w:rPr>
        <w:t>et al</w:t>
      </w:r>
      <w:r w:rsidRPr="00D22FFF">
        <w:rPr>
          <w:rFonts w:cstheme="minorHAnsi"/>
        </w:rPr>
        <w:t>. </w:t>
      </w:r>
      <w:hyperlink r:id="rId53" w:anchor="jec12635-bib-0060" w:history="1">
        <w:r w:rsidRPr="00D22FFF">
          <w:rPr>
            <w:rStyle w:val="Hyperlink"/>
            <w:rFonts w:eastAsiaTheme="majorEastAsia" w:cstheme="minorHAnsi"/>
            <w:b/>
            <w:bCs/>
            <w:color w:val="000000"/>
          </w:rPr>
          <w:t>2015</w:t>
        </w:r>
      </w:hyperlink>
      <w:r w:rsidRPr="00D22FFF">
        <w:rPr>
          <w:rFonts w:cstheme="minorHAnsi"/>
        </w:rPr>
        <w:t>) although this hypothesis is also subject to doubt (Huston </w:t>
      </w:r>
      <w:r w:rsidRPr="00D22FFF">
        <w:rPr>
          <w:rFonts w:cstheme="minorHAnsi"/>
          <w:i/>
          <w:iCs/>
        </w:rPr>
        <w:t>et al</w:t>
      </w:r>
      <w:r w:rsidRPr="00D22FFF">
        <w:rPr>
          <w:rFonts w:cstheme="minorHAnsi"/>
        </w:rPr>
        <w:t>. </w:t>
      </w:r>
      <w:hyperlink r:id="rId54" w:anchor="jec12635-bib-0038" w:history="1">
        <w:r w:rsidRPr="00D22FFF">
          <w:rPr>
            <w:rStyle w:val="Hyperlink"/>
            <w:rFonts w:eastAsiaTheme="majorEastAsia" w:cstheme="minorHAnsi"/>
            <w:b/>
            <w:bCs/>
            <w:color w:val="000000"/>
          </w:rPr>
          <w:t>2000</w:t>
        </w:r>
      </w:hyperlink>
      <w:r w:rsidRPr="00D22FFF">
        <w:rPr>
          <w:rFonts w:cstheme="minorHAnsi"/>
        </w:rPr>
        <w:t>). In addition to all these factors, competition with lianas (woody vines) is a key biotic factor known to reduce tropical tree growth, survival and recruitment (Schnitzer &amp; Carson </w:t>
      </w:r>
      <w:hyperlink r:id="rId55" w:anchor="jec12635-bib-0073" w:history="1">
        <w:r w:rsidRPr="00D22FFF">
          <w:rPr>
            <w:rStyle w:val="Hyperlink"/>
            <w:rFonts w:eastAsiaTheme="majorEastAsia" w:cstheme="minorHAnsi"/>
            <w:b/>
            <w:bCs/>
            <w:color w:val="000000"/>
          </w:rPr>
          <w:t>2010</w:t>
        </w:r>
      </w:hyperlink>
      <w:r w:rsidRPr="00D22FFF">
        <w:rPr>
          <w:rFonts w:cstheme="minorHAnsi"/>
        </w:rPr>
        <w:t>; van der Heijden, Powers &amp; Schnitzer </w:t>
      </w:r>
      <w:hyperlink r:id="rId56" w:anchor="jec12635-bib-0035" w:history="1">
        <w:r w:rsidRPr="00D22FFF">
          <w:rPr>
            <w:rStyle w:val="Hyperlink"/>
            <w:rFonts w:eastAsiaTheme="majorEastAsia" w:cstheme="minorHAnsi"/>
            <w:b/>
            <w:bCs/>
            <w:color w:val="000000"/>
          </w:rPr>
          <w:t>2015</w:t>
        </w:r>
      </w:hyperlink>
      <w:r w:rsidRPr="00D22FFF">
        <w:rPr>
          <w:rFonts w:cstheme="minorHAnsi"/>
        </w:rPr>
        <w:t>), and it has recently been detected that an increase in liana abundance reduces carbon stocks in tropical forest (Durán &amp; Gianoli </w:t>
      </w:r>
      <w:hyperlink r:id="rId57" w:anchor="jec12635-bib-0029" w:history="1">
        <w:r w:rsidRPr="00D22FFF">
          <w:rPr>
            <w:rStyle w:val="Hyperlink"/>
            <w:rFonts w:eastAsiaTheme="majorEastAsia" w:cstheme="minorHAnsi"/>
            <w:b/>
            <w:bCs/>
            <w:color w:val="000000"/>
          </w:rPr>
          <w:t>2013</w:t>
        </w:r>
      </w:hyperlink>
      <w:r w:rsidRPr="00D22FFF">
        <w:rPr>
          <w:rFonts w:cstheme="minorHAnsi"/>
        </w:rPr>
        <w:t>; Schnitzer </w:t>
      </w:r>
      <w:r w:rsidRPr="00D22FFF">
        <w:rPr>
          <w:rFonts w:cstheme="minorHAnsi"/>
          <w:i/>
          <w:iCs/>
        </w:rPr>
        <w:t>et al</w:t>
      </w:r>
      <w:r w:rsidRPr="00D22FFF">
        <w:rPr>
          <w:rFonts w:cstheme="minorHAnsi"/>
        </w:rPr>
        <w:t>. </w:t>
      </w:r>
      <w:hyperlink r:id="rId58" w:anchor="jec12635-bib-0077" w:history="1">
        <w:r w:rsidRPr="00D22FFF">
          <w:rPr>
            <w:rStyle w:val="Hyperlink"/>
            <w:rFonts w:eastAsiaTheme="majorEastAsia" w:cstheme="minorHAnsi"/>
            <w:b/>
            <w:bCs/>
            <w:color w:val="000000"/>
          </w:rPr>
          <w:t>2014</w:t>
        </w:r>
      </w:hyperlink>
      <w:r w:rsidRPr="00D22FFF">
        <w:rPr>
          <w:rFonts w:cstheme="minorHAnsi"/>
        </w:rPr>
        <w:t>; van der Heijden, Powers &amp; Schnitzer </w:t>
      </w:r>
      <w:hyperlink r:id="rId59" w:anchor="jec12635-bib-0035" w:history="1">
        <w:r w:rsidRPr="00D22FFF">
          <w:rPr>
            <w:rStyle w:val="Hyperlink"/>
            <w:rFonts w:eastAsiaTheme="majorEastAsia" w:cstheme="minorHAnsi"/>
            <w:b/>
            <w:bCs/>
            <w:color w:val="000000"/>
          </w:rPr>
          <w:t>2015</w:t>
        </w:r>
      </w:hyperlink>
      <w:r w:rsidRPr="00D22FFF">
        <w:rPr>
          <w:rFonts w:cstheme="minorHAnsi"/>
        </w:rPr>
        <w:t>). Moreover, the presence of lianas within the forest is linked with areas with more recent or a higher frequency of disturbances (Dalling </w:t>
      </w:r>
      <w:r w:rsidRPr="00D22FFF">
        <w:rPr>
          <w:rFonts w:cstheme="minorHAnsi"/>
          <w:i/>
          <w:iCs/>
        </w:rPr>
        <w:t>et al</w:t>
      </w:r>
      <w:r w:rsidRPr="00D22FFF">
        <w:rPr>
          <w:rFonts w:cstheme="minorHAnsi"/>
        </w:rPr>
        <w:t>. </w:t>
      </w:r>
      <w:hyperlink r:id="rId60" w:anchor="jec12635-bib-0024" w:history="1">
        <w:r w:rsidRPr="00D22FFF">
          <w:rPr>
            <w:rStyle w:val="Hyperlink"/>
            <w:rFonts w:eastAsiaTheme="majorEastAsia" w:cstheme="minorHAnsi"/>
            <w:b/>
            <w:bCs/>
            <w:color w:val="000000"/>
          </w:rPr>
          <w:t>2012</w:t>
        </w:r>
      </w:hyperlink>
      <w:r w:rsidRPr="00D22FFF">
        <w:rPr>
          <w:rFonts w:cstheme="minorHAnsi"/>
        </w:rPr>
        <w:t>; Ledo &amp; Schnitzer </w:t>
      </w:r>
      <w:hyperlink r:id="rId61" w:anchor="jec12635-bib-0047" w:history="1">
        <w:r w:rsidRPr="00D22FFF">
          <w:rPr>
            <w:rStyle w:val="Hyperlink"/>
            <w:rFonts w:eastAsiaTheme="majorEastAsia" w:cstheme="minorHAnsi"/>
            <w:b/>
            <w:bCs/>
            <w:color w:val="000000"/>
          </w:rPr>
          <w:t>2014</w:t>
        </w:r>
      </w:hyperlink>
      <w:r w:rsidRPr="00D22FFF">
        <w:rPr>
          <w:rFonts w:cstheme="minorHAnsi"/>
        </w:rPr>
        <w:t>). Lianas are not only direct competitors with trees for resources but also indicative of areas with a recent history of disturbance (Schnitzer </w:t>
      </w:r>
      <w:hyperlink r:id="rId62" w:anchor="jec12635-bib-0071" w:history="1">
        <w:r w:rsidRPr="00D22FFF">
          <w:rPr>
            <w:rStyle w:val="Hyperlink"/>
            <w:rFonts w:eastAsiaTheme="majorEastAsia" w:cstheme="minorHAnsi"/>
            <w:b/>
            <w:bCs/>
            <w:color w:val="000000"/>
          </w:rPr>
          <w:t>2005</w:t>
        </w:r>
      </w:hyperlink>
      <w:r w:rsidRPr="00D22FFF">
        <w:rPr>
          <w:rFonts w:cstheme="minorHAnsi"/>
        </w:rPr>
        <w:t>). Furthermore, the role of disturbance in explaining spatial variation in AGB is often overlooked (but see Quesada </w:t>
      </w:r>
      <w:r w:rsidRPr="00D22FFF">
        <w:rPr>
          <w:rFonts w:cstheme="minorHAnsi"/>
          <w:i/>
          <w:iCs/>
        </w:rPr>
        <w:t>et al</w:t>
      </w:r>
      <w:r w:rsidRPr="00D22FFF">
        <w:rPr>
          <w:rFonts w:cstheme="minorHAnsi"/>
        </w:rPr>
        <w:t>. </w:t>
      </w:r>
      <w:hyperlink r:id="rId63" w:anchor="jec12635-bib-0062" w:history="1">
        <w:r w:rsidRPr="00D22FFF">
          <w:rPr>
            <w:rStyle w:val="Hyperlink"/>
            <w:rFonts w:eastAsiaTheme="majorEastAsia" w:cstheme="minorHAnsi"/>
            <w:b/>
            <w:bCs/>
            <w:color w:val="000000"/>
          </w:rPr>
          <w:t>2012</w:t>
        </w:r>
      </w:hyperlink>
      <w:r w:rsidRPr="00D22FFF">
        <w:rPr>
          <w:rFonts w:cstheme="minorHAnsi"/>
        </w:rPr>
        <w:t>), despite its importance in theoretical models (Chambers </w:t>
      </w:r>
      <w:r w:rsidRPr="00D22FFF">
        <w:rPr>
          <w:rFonts w:cstheme="minorHAnsi"/>
          <w:i/>
          <w:iCs/>
        </w:rPr>
        <w:t>et al</w:t>
      </w:r>
      <w:r w:rsidRPr="00D22FFF">
        <w:rPr>
          <w:rFonts w:cstheme="minorHAnsi"/>
        </w:rPr>
        <w:t>. </w:t>
      </w:r>
      <w:hyperlink r:id="rId64" w:anchor="jec12635-bib-0012" w:history="1">
        <w:r w:rsidRPr="00D22FFF">
          <w:rPr>
            <w:rStyle w:val="Hyperlink"/>
            <w:rFonts w:eastAsiaTheme="majorEastAsia" w:cstheme="minorHAnsi"/>
            <w:b/>
            <w:bCs/>
            <w:color w:val="000000"/>
          </w:rPr>
          <w:t>2004</w:t>
        </w:r>
      </w:hyperlink>
      <w:r w:rsidRPr="00D22FFF">
        <w:rPr>
          <w:rFonts w:cstheme="minorHAnsi"/>
        </w:rPr>
        <w:t>), possibly because disturbances are difficult to evaluate (Lewis </w:t>
      </w:r>
      <w:r w:rsidRPr="00D22FFF">
        <w:rPr>
          <w:rFonts w:cstheme="minorHAnsi"/>
          <w:i/>
          <w:iCs/>
        </w:rPr>
        <w:t>et al</w:t>
      </w:r>
      <w:r w:rsidRPr="00D22FFF">
        <w:rPr>
          <w:rFonts w:cstheme="minorHAnsi"/>
        </w:rPr>
        <w:t>. </w:t>
      </w:r>
      <w:hyperlink r:id="rId65" w:anchor="jec12635-bib-0049" w:history="1">
        <w:r w:rsidRPr="00D22FFF">
          <w:rPr>
            <w:rStyle w:val="Hyperlink"/>
            <w:rFonts w:eastAsiaTheme="majorEastAsia" w:cstheme="minorHAnsi"/>
            <w:b/>
            <w:bCs/>
            <w:color w:val="000000"/>
          </w:rPr>
          <w:t>2013</w:t>
        </w:r>
      </w:hyperlink>
      <w:r w:rsidRPr="00D22FFF">
        <w:rPr>
          <w:rFonts w:cstheme="minorHAnsi"/>
        </w:rPr>
        <w:t>).</w:t>
      </w:r>
    </w:p>
    <w:p w14:paraId="76053CA9" w14:textId="77777777" w:rsidR="005E11F2" w:rsidRPr="00D22FFF" w:rsidRDefault="005E11F2" w:rsidP="00B26A09">
      <w:pPr>
        <w:rPr>
          <w:rFonts w:cstheme="minorHAnsi"/>
        </w:rPr>
      </w:pPr>
      <w:r w:rsidRPr="00D22FFF">
        <w:rPr>
          <w:rFonts w:cstheme="minorHAnsi"/>
        </w:rPr>
        <w:t>A plausible explanation for discrepancies in the spatial distribution of AGB among tropical forests is that different studies have focused on different combinations of explanatory factors instead of considering them all simultaneously. A second potential explanation could be that the main factors controlling AGB are scale‐dependent (Detto &amp; Muller‐Landau </w:t>
      </w:r>
      <w:hyperlink r:id="rId66" w:anchor="jec12635-bib-0025" w:history="1">
        <w:r w:rsidRPr="00D22FFF">
          <w:rPr>
            <w:rStyle w:val="Hyperlink"/>
            <w:rFonts w:eastAsiaTheme="majorEastAsia" w:cstheme="minorHAnsi"/>
            <w:b/>
            <w:bCs/>
            <w:color w:val="000000"/>
          </w:rPr>
          <w:t>2013</w:t>
        </w:r>
      </w:hyperlink>
      <w:r w:rsidRPr="00D22FFF">
        <w:rPr>
          <w:rFonts w:cstheme="minorHAnsi"/>
        </w:rPr>
        <w:t>; Poorter </w:t>
      </w:r>
      <w:r w:rsidRPr="00D22FFF">
        <w:rPr>
          <w:rFonts w:cstheme="minorHAnsi"/>
          <w:i/>
          <w:iCs/>
        </w:rPr>
        <w:t>et al</w:t>
      </w:r>
      <w:r w:rsidRPr="00D22FFF">
        <w:rPr>
          <w:rFonts w:cstheme="minorHAnsi"/>
        </w:rPr>
        <w:t>. </w:t>
      </w:r>
      <w:hyperlink r:id="rId67" w:anchor="jec12635-bib-0060" w:history="1">
        <w:r w:rsidRPr="00D22FFF">
          <w:rPr>
            <w:rStyle w:val="Hyperlink"/>
            <w:rFonts w:eastAsiaTheme="majorEastAsia" w:cstheme="minorHAnsi"/>
            <w:b/>
            <w:bCs/>
            <w:color w:val="000000"/>
          </w:rPr>
          <w:t>2015</w:t>
        </w:r>
      </w:hyperlink>
      <w:r w:rsidRPr="00D22FFF">
        <w:rPr>
          <w:rFonts w:cstheme="minorHAnsi"/>
        </w:rPr>
        <w:t>): climate and soils have been found to be the most important factors controlling AGB in most studies that evaluated the spatial distribution of AGB at continental scales of ~6 million ha (Quesada </w:t>
      </w:r>
      <w:r w:rsidRPr="00D22FFF">
        <w:rPr>
          <w:rFonts w:cstheme="minorHAnsi"/>
          <w:i/>
          <w:iCs/>
        </w:rPr>
        <w:t>et al</w:t>
      </w:r>
      <w:r w:rsidRPr="00D22FFF">
        <w:rPr>
          <w:rFonts w:cstheme="minorHAnsi"/>
        </w:rPr>
        <w:t>. </w:t>
      </w:r>
      <w:hyperlink r:id="rId68" w:anchor="jec12635-bib-0062" w:history="1">
        <w:r w:rsidRPr="00D22FFF">
          <w:rPr>
            <w:rStyle w:val="Hyperlink"/>
            <w:rFonts w:eastAsiaTheme="majorEastAsia" w:cstheme="minorHAnsi"/>
            <w:b/>
            <w:bCs/>
            <w:color w:val="000000"/>
          </w:rPr>
          <w:t>2012</w:t>
        </w:r>
      </w:hyperlink>
      <w:r w:rsidRPr="00D22FFF">
        <w:rPr>
          <w:rFonts w:cstheme="minorHAnsi"/>
        </w:rPr>
        <w:t>; Lewis </w:t>
      </w:r>
      <w:r w:rsidRPr="00D22FFF">
        <w:rPr>
          <w:rFonts w:cstheme="minorHAnsi"/>
          <w:i/>
          <w:iCs/>
        </w:rPr>
        <w:t>et al</w:t>
      </w:r>
      <w:r w:rsidRPr="00D22FFF">
        <w:rPr>
          <w:rFonts w:cstheme="minorHAnsi"/>
        </w:rPr>
        <w:t>. </w:t>
      </w:r>
      <w:hyperlink r:id="rId69" w:anchor="jec12635-bib-0049" w:history="1">
        <w:r w:rsidRPr="00D22FFF">
          <w:rPr>
            <w:rStyle w:val="Hyperlink"/>
            <w:rFonts w:eastAsiaTheme="majorEastAsia" w:cstheme="minorHAnsi"/>
            <w:b/>
            <w:bCs/>
            <w:color w:val="000000"/>
          </w:rPr>
          <w:t>2013</w:t>
        </w:r>
      </w:hyperlink>
      <w:r w:rsidRPr="00D22FFF">
        <w:rPr>
          <w:rFonts w:cstheme="minorHAnsi"/>
        </w:rPr>
        <w:t>), while topography has been revealed to be the key factor in many studies dealing with AGB spatial distribution at regional scales of ~1500 ha (Mascaro </w:t>
      </w:r>
      <w:r w:rsidRPr="00D22FFF">
        <w:rPr>
          <w:rFonts w:cstheme="minorHAnsi"/>
          <w:i/>
          <w:iCs/>
        </w:rPr>
        <w:t>et al</w:t>
      </w:r>
      <w:r w:rsidRPr="00D22FFF">
        <w:rPr>
          <w:rFonts w:cstheme="minorHAnsi"/>
        </w:rPr>
        <w:t>. </w:t>
      </w:r>
      <w:hyperlink r:id="rId70" w:anchor="jec12635-bib-0053" w:history="1">
        <w:r w:rsidRPr="00D22FFF">
          <w:rPr>
            <w:rStyle w:val="Hyperlink"/>
            <w:rFonts w:eastAsiaTheme="majorEastAsia" w:cstheme="minorHAnsi"/>
            <w:b/>
            <w:bCs/>
            <w:color w:val="000000"/>
          </w:rPr>
          <w:t>2011</w:t>
        </w:r>
      </w:hyperlink>
      <w:r w:rsidRPr="00D22FFF">
        <w:rPr>
          <w:rFonts w:cstheme="minorHAnsi"/>
        </w:rPr>
        <w:t>; Detto </w:t>
      </w:r>
      <w:r w:rsidRPr="00D22FFF">
        <w:rPr>
          <w:rFonts w:cstheme="minorHAnsi"/>
          <w:i/>
          <w:iCs/>
        </w:rPr>
        <w:t>et al</w:t>
      </w:r>
      <w:r w:rsidRPr="00D22FFF">
        <w:rPr>
          <w:rFonts w:cstheme="minorHAnsi"/>
        </w:rPr>
        <w:t>. </w:t>
      </w:r>
      <w:hyperlink r:id="rId71" w:anchor="jec12635-bib-0026" w:history="1">
        <w:r w:rsidRPr="00D22FFF">
          <w:rPr>
            <w:rStyle w:val="Hyperlink"/>
            <w:rFonts w:eastAsiaTheme="majorEastAsia" w:cstheme="minorHAnsi"/>
            <w:b/>
            <w:bCs/>
            <w:color w:val="000000"/>
          </w:rPr>
          <w:t>2013</w:t>
        </w:r>
      </w:hyperlink>
      <w:r w:rsidRPr="00D22FFF">
        <w:rPr>
          <w:rFonts w:cstheme="minorHAnsi"/>
        </w:rPr>
        <w:t>; Réjou‐Méchain </w:t>
      </w:r>
      <w:r w:rsidRPr="00D22FFF">
        <w:rPr>
          <w:rFonts w:cstheme="minorHAnsi"/>
          <w:i/>
          <w:iCs/>
        </w:rPr>
        <w:t>et al</w:t>
      </w:r>
      <w:r w:rsidRPr="00D22FFF">
        <w:rPr>
          <w:rFonts w:cstheme="minorHAnsi"/>
        </w:rPr>
        <w:t>. </w:t>
      </w:r>
      <w:hyperlink r:id="rId72" w:anchor="jec12635-bib-0063" w:history="1">
        <w:r w:rsidRPr="00D22FFF">
          <w:rPr>
            <w:rStyle w:val="Hyperlink"/>
            <w:rFonts w:eastAsiaTheme="majorEastAsia" w:cstheme="minorHAnsi"/>
            <w:b/>
            <w:bCs/>
            <w:color w:val="000000"/>
          </w:rPr>
          <w:t>2014</w:t>
        </w:r>
      </w:hyperlink>
      <w:r w:rsidRPr="00D22FFF">
        <w:rPr>
          <w:rFonts w:cstheme="minorHAnsi"/>
        </w:rPr>
        <w:t>). In the Amazon basin, the interaction of climate, soil properties and species composition determines spatial variation in AGB (Baker </w:t>
      </w:r>
      <w:r w:rsidRPr="00D22FFF">
        <w:rPr>
          <w:rFonts w:cstheme="minorHAnsi"/>
          <w:i/>
          <w:iCs/>
        </w:rPr>
        <w:t>et al</w:t>
      </w:r>
      <w:r w:rsidRPr="00D22FFF">
        <w:rPr>
          <w:rFonts w:cstheme="minorHAnsi"/>
        </w:rPr>
        <w:t>. </w:t>
      </w:r>
      <w:hyperlink r:id="rId73" w:anchor="jec12635-bib-0006" w:history="1">
        <w:r w:rsidRPr="00D22FFF">
          <w:rPr>
            <w:rStyle w:val="Hyperlink"/>
            <w:rFonts w:eastAsiaTheme="majorEastAsia" w:cstheme="minorHAnsi"/>
            <w:b/>
            <w:bCs/>
            <w:color w:val="000000"/>
          </w:rPr>
          <w:t>2004b</w:t>
        </w:r>
      </w:hyperlink>
      <w:r w:rsidRPr="00D22FFF">
        <w:rPr>
          <w:rFonts w:cstheme="minorHAnsi"/>
        </w:rPr>
        <w:t>; Malhi </w:t>
      </w:r>
      <w:r w:rsidRPr="00D22FFF">
        <w:rPr>
          <w:rFonts w:cstheme="minorHAnsi"/>
          <w:i/>
          <w:iCs/>
        </w:rPr>
        <w:t>et al</w:t>
      </w:r>
      <w:r w:rsidRPr="00D22FFF">
        <w:rPr>
          <w:rFonts w:cstheme="minorHAnsi"/>
        </w:rPr>
        <w:t>. </w:t>
      </w:r>
      <w:hyperlink r:id="rId74" w:anchor="jec12635-bib-0051" w:history="1">
        <w:r w:rsidRPr="00D22FFF">
          <w:rPr>
            <w:rStyle w:val="Hyperlink"/>
            <w:rFonts w:eastAsiaTheme="majorEastAsia" w:cstheme="minorHAnsi"/>
            <w:b/>
            <w:bCs/>
            <w:color w:val="000000"/>
          </w:rPr>
          <w:t>2004</w:t>
        </w:r>
      </w:hyperlink>
      <w:r w:rsidRPr="00D22FFF">
        <w:rPr>
          <w:rFonts w:cstheme="minorHAnsi"/>
        </w:rPr>
        <w:t>; Quesada </w:t>
      </w:r>
      <w:r w:rsidRPr="00D22FFF">
        <w:rPr>
          <w:rFonts w:cstheme="minorHAnsi"/>
          <w:i/>
          <w:iCs/>
        </w:rPr>
        <w:t>et al</w:t>
      </w:r>
      <w:r w:rsidRPr="00D22FFF">
        <w:rPr>
          <w:rFonts w:cstheme="minorHAnsi"/>
        </w:rPr>
        <w:t>. </w:t>
      </w:r>
      <w:hyperlink r:id="rId75" w:anchor="jec12635-bib-0062" w:history="1">
        <w:r w:rsidRPr="00D22FFF">
          <w:rPr>
            <w:rStyle w:val="Hyperlink"/>
            <w:rFonts w:eastAsiaTheme="majorEastAsia" w:cstheme="minorHAnsi"/>
            <w:b/>
            <w:bCs/>
            <w:color w:val="000000"/>
          </w:rPr>
          <w:t>2012</w:t>
        </w:r>
      </w:hyperlink>
      <w:r w:rsidRPr="00D22FFF">
        <w:rPr>
          <w:rFonts w:cstheme="minorHAnsi"/>
        </w:rPr>
        <w:t>). African tropical forests have been less well studied, but current evidence suggests that AGB increases in response to the amount of rainfall during the dry season and on richer soils (Lewis </w:t>
      </w:r>
      <w:r w:rsidRPr="00D22FFF">
        <w:rPr>
          <w:rFonts w:cstheme="minorHAnsi"/>
          <w:i/>
          <w:iCs/>
        </w:rPr>
        <w:t>et al</w:t>
      </w:r>
      <w:r w:rsidRPr="00D22FFF">
        <w:rPr>
          <w:rFonts w:cstheme="minorHAnsi"/>
        </w:rPr>
        <w:t>. </w:t>
      </w:r>
      <w:hyperlink r:id="rId76" w:anchor="jec12635-bib-0049" w:history="1">
        <w:r w:rsidRPr="00D22FFF">
          <w:rPr>
            <w:rStyle w:val="Hyperlink"/>
            <w:rFonts w:eastAsiaTheme="majorEastAsia" w:cstheme="minorHAnsi"/>
            <w:b/>
            <w:bCs/>
            <w:color w:val="000000"/>
          </w:rPr>
          <w:t>2013</w:t>
        </w:r>
      </w:hyperlink>
      <w:r w:rsidRPr="00D22FFF">
        <w:rPr>
          <w:rFonts w:cstheme="minorHAnsi"/>
        </w:rPr>
        <w:t>). In a study in Borneo, AGB was found to vary with soil fertility, which had a stronger effect than stem density (Slik </w:t>
      </w:r>
      <w:r w:rsidRPr="00D22FFF">
        <w:rPr>
          <w:rFonts w:cstheme="minorHAnsi"/>
          <w:i/>
          <w:iCs/>
        </w:rPr>
        <w:t>et al</w:t>
      </w:r>
      <w:r w:rsidRPr="00D22FFF">
        <w:rPr>
          <w:rFonts w:cstheme="minorHAnsi"/>
        </w:rPr>
        <w:t>. </w:t>
      </w:r>
      <w:hyperlink r:id="rId77" w:anchor="jec12635-bib-0079" w:history="1">
        <w:r w:rsidRPr="00D22FFF">
          <w:rPr>
            <w:rStyle w:val="Hyperlink"/>
            <w:rFonts w:eastAsiaTheme="majorEastAsia" w:cstheme="minorHAnsi"/>
            <w:b/>
            <w:bCs/>
            <w:color w:val="000000"/>
          </w:rPr>
          <w:t>2010</w:t>
        </w:r>
      </w:hyperlink>
      <w:r w:rsidRPr="00D22FFF">
        <w:rPr>
          <w:rFonts w:cstheme="minorHAnsi"/>
        </w:rPr>
        <w:t>). Consequently, spatial variation in AGB is explained by a combination of factors, including soil and climate.</w:t>
      </w:r>
    </w:p>
    <w:p w14:paraId="41F5084C" w14:textId="77777777" w:rsidR="005E11F2" w:rsidRPr="00D22FFF" w:rsidRDefault="005E11F2" w:rsidP="00B26A09">
      <w:pPr>
        <w:rPr>
          <w:rFonts w:cstheme="minorHAnsi"/>
        </w:rPr>
      </w:pPr>
      <w:r w:rsidRPr="00D22FFF">
        <w:rPr>
          <w:rFonts w:cstheme="minorHAnsi"/>
        </w:rPr>
        <w:t>The studies of the spatial determinants of AGB in tropical forests reviewed above have been conducted at regional scales, whereas the correlates of fine‐scale variation in AGB within plots are less well known. The demographic processes that govern AGB, tree growth and mortality are determined by interactions within individual tree neighbourhoods. Therefore, an improved mechanistic understanding of AGB change can emerge only through investigation of the demographic processes and fine‐scale spatial dependencies that collectively determine their response at the regional scale. Individual tree growth and mortality depend on both biotic factors, including competition and interactions with pests (Peters </w:t>
      </w:r>
      <w:hyperlink r:id="rId78" w:anchor="jec12635-bib-0057" w:history="1">
        <w:r w:rsidRPr="00D22FFF">
          <w:rPr>
            <w:rStyle w:val="Hyperlink"/>
            <w:rFonts w:eastAsiaTheme="majorEastAsia" w:cstheme="minorHAnsi"/>
            <w:b/>
            <w:bCs/>
            <w:color w:val="000000"/>
          </w:rPr>
          <w:t>2003</w:t>
        </w:r>
      </w:hyperlink>
      <w:r w:rsidRPr="00D22FFF">
        <w:rPr>
          <w:rFonts w:cstheme="minorHAnsi"/>
        </w:rPr>
        <w:t>; Canham, LePage &amp; Coates </w:t>
      </w:r>
      <w:hyperlink r:id="rId79" w:anchor="jec12635-bib-0010" w:history="1">
        <w:r w:rsidRPr="00D22FFF">
          <w:rPr>
            <w:rStyle w:val="Hyperlink"/>
            <w:rFonts w:eastAsiaTheme="majorEastAsia" w:cstheme="minorHAnsi"/>
            <w:b/>
            <w:bCs/>
            <w:color w:val="000000"/>
          </w:rPr>
          <w:t>2004</w:t>
        </w:r>
      </w:hyperlink>
      <w:r w:rsidRPr="00D22FFF">
        <w:rPr>
          <w:rFonts w:cstheme="minorHAnsi"/>
        </w:rPr>
        <w:t>), and abiotic factors, including resource availability or surrogates of resource availability such as topography (Clark </w:t>
      </w:r>
      <w:r w:rsidRPr="00D22FFF">
        <w:rPr>
          <w:rFonts w:cstheme="minorHAnsi"/>
          <w:i/>
          <w:iCs/>
        </w:rPr>
        <w:t>et al</w:t>
      </w:r>
      <w:r w:rsidRPr="00D22FFF">
        <w:rPr>
          <w:rFonts w:cstheme="minorHAnsi"/>
        </w:rPr>
        <w:t>. </w:t>
      </w:r>
      <w:hyperlink r:id="rId80" w:anchor="jec12635-bib-0019" w:history="1">
        <w:r w:rsidRPr="00D22FFF">
          <w:rPr>
            <w:rStyle w:val="Hyperlink"/>
            <w:rFonts w:eastAsiaTheme="majorEastAsia" w:cstheme="minorHAnsi"/>
            <w:b/>
            <w:bCs/>
            <w:color w:val="000000"/>
          </w:rPr>
          <w:t>2003</w:t>
        </w:r>
      </w:hyperlink>
      <w:r w:rsidRPr="00D22FFF">
        <w:rPr>
          <w:rFonts w:cstheme="minorHAnsi"/>
        </w:rPr>
        <w:t>; Dong </w:t>
      </w:r>
      <w:r w:rsidRPr="00D22FFF">
        <w:rPr>
          <w:rFonts w:cstheme="minorHAnsi"/>
          <w:i/>
          <w:iCs/>
        </w:rPr>
        <w:t>et al</w:t>
      </w:r>
      <w:r w:rsidRPr="00D22FFF">
        <w:rPr>
          <w:rFonts w:cstheme="minorHAnsi"/>
        </w:rPr>
        <w:t>. </w:t>
      </w:r>
      <w:hyperlink r:id="rId81" w:anchor="jec12635-bib-0028" w:history="1">
        <w:r w:rsidRPr="00D22FFF">
          <w:rPr>
            <w:rStyle w:val="Hyperlink"/>
            <w:rFonts w:eastAsiaTheme="majorEastAsia" w:cstheme="minorHAnsi"/>
            <w:b/>
            <w:bCs/>
            <w:color w:val="000000"/>
          </w:rPr>
          <w:t>2012</w:t>
        </w:r>
      </w:hyperlink>
      <w:r w:rsidRPr="00D22FFF">
        <w:rPr>
          <w:rFonts w:cstheme="minorHAnsi"/>
        </w:rPr>
        <w:t>; Uriarte </w:t>
      </w:r>
      <w:r w:rsidRPr="00D22FFF">
        <w:rPr>
          <w:rFonts w:cstheme="minorHAnsi"/>
          <w:i/>
          <w:iCs/>
        </w:rPr>
        <w:t>et al</w:t>
      </w:r>
      <w:r w:rsidRPr="00D22FFF">
        <w:rPr>
          <w:rFonts w:cstheme="minorHAnsi"/>
        </w:rPr>
        <w:t>. </w:t>
      </w:r>
      <w:hyperlink r:id="rId82" w:anchor="jec12635-bib-0084" w:history="1">
        <w:r w:rsidRPr="00D22FFF">
          <w:rPr>
            <w:rStyle w:val="Hyperlink"/>
            <w:rFonts w:eastAsiaTheme="majorEastAsia" w:cstheme="minorHAnsi"/>
            <w:b/>
            <w:bCs/>
            <w:color w:val="000000"/>
          </w:rPr>
          <w:t>2012</w:t>
        </w:r>
      </w:hyperlink>
      <w:r w:rsidRPr="00D22FFF">
        <w:rPr>
          <w:rFonts w:cstheme="minorHAnsi"/>
        </w:rPr>
        <w:t>). These factors all act at small spatial scales.</w:t>
      </w:r>
    </w:p>
    <w:p w14:paraId="704C218D" w14:textId="77777777" w:rsidR="005E11F2" w:rsidRPr="00D22FFF" w:rsidRDefault="005E11F2" w:rsidP="00B26A09">
      <w:pPr>
        <w:rPr>
          <w:rFonts w:cstheme="minorHAnsi"/>
        </w:rPr>
      </w:pPr>
      <w:r w:rsidRPr="00D22FFF">
        <w:rPr>
          <w:rFonts w:cstheme="minorHAnsi"/>
        </w:rPr>
        <w:t>In this paper, we tested the hypothesis that the fine‐scale distribution of AGB on a tropical forest plot is non‐random with respect to biotic (stem density of trees, abundance of lianas) and abiotic (soil pH, nutrient availability and topography) variables. We aimed to identify the factors that determine spatial variation in AGB or to determine whether AGB is distributed randomly at scales up to 50 ha. To test these hypotheses, we fitted a spatially explicit model of fine‐scale AGB variation to a set of spatial covariates. We accounted for spatial autocorrelation in the AGB measurements by modelling the distribution of stem density simultaneously with the AGB distribution in a joint model and included a shared spatial random field that accounted for that spatial correlation. Clearly, AGB depends on the spatial distribution of the trees. Using a joint model with two responses – tree distribution and AGB – allows us to identify the factors governing either AGB or tree distribution separately while taking account of the aggregation of trees in space and the dependence of AGB on tree locations through a shared spatial field. With a simple model of AGB alone, the influence of explanatory variables on biomass storage and tree distribution would have been confounded. A joint, multiresponse model allows us to identify those factors, conditional on tree distribution. Using this model, we tested the effects of microtopography, soil resource availability and liana abundance (liana stem density) as explanatory spatial covariates. To fit the model, we used an integrated nested Laplace approximation (INLA; Rue, Martino &amp; Chopin </w:t>
      </w:r>
      <w:hyperlink r:id="rId83" w:anchor="jec12635-bib-0066" w:history="1">
        <w:r w:rsidRPr="00D22FFF">
          <w:rPr>
            <w:rStyle w:val="Hyperlink"/>
            <w:rFonts w:eastAsiaTheme="majorEastAsia" w:cstheme="minorHAnsi"/>
            <w:b/>
            <w:bCs/>
            <w:color w:val="000000"/>
          </w:rPr>
          <w:t>2009</w:t>
        </w:r>
      </w:hyperlink>
      <w:r w:rsidRPr="00D22FFF">
        <w:rPr>
          <w:rFonts w:cstheme="minorHAnsi"/>
        </w:rPr>
        <w:t>), which is a computationally efficient method for fitting models in a Bayesian context that speeds up parameter estimation substantially.</w:t>
      </w:r>
    </w:p>
    <w:p w14:paraId="33B0052D" w14:textId="77777777" w:rsidR="005E11F2" w:rsidRPr="00D22FFF" w:rsidRDefault="005E11F2" w:rsidP="00B26A09">
      <w:pPr>
        <w:pStyle w:val="Heading1"/>
        <w:rPr>
          <w:rFonts w:asciiTheme="minorHAnsi" w:hAnsiTheme="minorHAnsi" w:cstheme="minorHAnsi"/>
        </w:rPr>
      </w:pPr>
      <w:r w:rsidRPr="00D22FFF">
        <w:rPr>
          <w:rFonts w:asciiTheme="minorHAnsi" w:hAnsiTheme="minorHAnsi" w:cstheme="minorHAnsi"/>
        </w:rPr>
        <w:t>Materials and methods</w:t>
      </w:r>
    </w:p>
    <w:p w14:paraId="02C35902" w14:textId="77777777" w:rsidR="005E11F2" w:rsidRPr="00D22FFF" w:rsidRDefault="005E11F2" w:rsidP="00B26A09">
      <w:pPr>
        <w:pStyle w:val="Heading2"/>
        <w:rPr>
          <w:rFonts w:asciiTheme="minorHAnsi" w:hAnsiTheme="minorHAnsi" w:cstheme="minorHAnsi"/>
        </w:rPr>
      </w:pPr>
      <w:r w:rsidRPr="00D22FFF">
        <w:rPr>
          <w:rFonts w:asciiTheme="minorHAnsi" w:hAnsiTheme="minorHAnsi" w:cstheme="minorHAnsi"/>
        </w:rPr>
        <w:t>Study Site</w:t>
      </w:r>
    </w:p>
    <w:p w14:paraId="1B3A440C" w14:textId="77777777" w:rsidR="005E11F2" w:rsidRPr="00D22FFF" w:rsidRDefault="005E11F2" w:rsidP="00B26A09">
      <w:pPr>
        <w:rPr>
          <w:rFonts w:cstheme="minorHAnsi"/>
        </w:rPr>
      </w:pPr>
      <w:r w:rsidRPr="00D22FFF">
        <w:rPr>
          <w:rFonts w:cstheme="minorHAnsi"/>
        </w:rPr>
        <w:t>The study site was a 50‐ha forest dynamics plot (Lat. 9.1543, Long. −79.8461) in seasonal lowland moist forest on Barro Colorado Island (BCI) in central Panama (Condit </w:t>
      </w:r>
      <w:hyperlink r:id="rId84" w:anchor="jec12635-bib-0020" w:history="1">
        <w:r w:rsidRPr="00D22FFF">
          <w:rPr>
            <w:rStyle w:val="Hyperlink"/>
            <w:rFonts w:eastAsiaTheme="majorEastAsia" w:cstheme="minorHAnsi"/>
            <w:b/>
            <w:bCs/>
            <w:color w:val="000000"/>
          </w:rPr>
          <w:t>1998</w:t>
        </w:r>
      </w:hyperlink>
      <w:r w:rsidRPr="00D22FFF">
        <w:rPr>
          <w:rFonts w:cstheme="minorHAnsi"/>
        </w:rPr>
        <w:t>; Hubbell </w:t>
      </w:r>
      <w:r w:rsidRPr="00D22FFF">
        <w:rPr>
          <w:rFonts w:cstheme="minorHAnsi"/>
          <w:i/>
          <w:iCs/>
        </w:rPr>
        <w:t>et al</w:t>
      </w:r>
      <w:r w:rsidRPr="00D22FFF">
        <w:rPr>
          <w:rFonts w:cstheme="minorHAnsi"/>
        </w:rPr>
        <w:t>. </w:t>
      </w:r>
      <w:hyperlink r:id="rId85" w:anchor="jec12635-bib-0037" w:history="1">
        <w:r w:rsidRPr="00D22FFF">
          <w:rPr>
            <w:rStyle w:val="Hyperlink"/>
            <w:rFonts w:eastAsiaTheme="majorEastAsia" w:cstheme="minorHAnsi"/>
            <w:b/>
            <w:bCs/>
            <w:color w:val="000000"/>
          </w:rPr>
          <w:t>1999</w:t>
        </w:r>
      </w:hyperlink>
      <w:r w:rsidRPr="00D22FFF">
        <w:rPr>
          <w:rFonts w:cstheme="minorHAnsi"/>
        </w:rPr>
        <w:t>). This plot was first censused in 1980–1982, and it has now been recensused on seven occasions in 1985 and at five‐year intervals thereafter. At each census, all of the free‐standing trees ≥ 1 cm in diameter at breast height (DBH) are remeasured, and new trees above this diameter limit are identified and measured. We used tree data from the sixth BCI tree census (2005), since this provided the best match to the single liana census conducted in 2007 (Schnitzer, Rutishauser &amp; Aguilar </w:t>
      </w:r>
      <w:hyperlink r:id="rId86" w:anchor="jec12635-bib-0075" w:history="1">
        <w:r w:rsidRPr="00D22FFF">
          <w:rPr>
            <w:rStyle w:val="Hyperlink"/>
            <w:rFonts w:eastAsiaTheme="majorEastAsia" w:cstheme="minorHAnsi"/>
            <w:b/>
            <w:bCs/>
            <w:color w:val="000000"/>
          </w:rPr>
          <w:t>2008</w:t>
        </w:r>
      </w:hyperlink>
      <w:r w:rsidRPr="00D22FFF">
        <w:rPr>
          <w:rFonts w:cstheme="minorHAnsi"/>
        </w:rPr>
        <w:t>; Schnitzer </w:t>
      </w:r>
      <w:r w:rsidRPr="00D22FFF">
        <w:rPr>
          <w:rFonts w:cstheme="minorHAnsi"/>
          <w:i/>
          <w:iCs/>
        </w:rPr>
        <w:t>et al</w:t>
      </w:r>
      <w:r w:rsidRPr="00D22FFF">
        <w:rPr>
          <w:rFonts w:cstheme="minorHAnsi"/>
        </w:rPr>
        <w:t>. </w:t>
      </w:r>
      <w:hyperlink r:id="rId87" w:anchor="jec12635-bib-0076" w:history="1">
        <w:r w:rsidRPr="00D22FFF">
          <w:rPr>
            <w:rStyle w:val="Hyperlink"/>
            <w:rFonts w:eastAsiaTheme="majorEastAsia" w:cstheme="minorHAnsi"/>
            <w:b/>
            <w:bCs/>
            <w:color w:val="000000"/>
          </w:rPr>
          <w:t>2012</w:t>
        </w:r>
      </w:hyperlink>
      <w:r w:rsidRPr="00D22FFF">
        <w:rPr>
          <w:rFonts w:cstheme="minorHAnsi"/>
        </w:rPr>
        <w:t>). The forest on the BCI plot is representative of primary semi‐deciduous lowland tropical forest in central Panama (Condit </w:t>
      </w:r>
      <w:hyperlink r:id="rId88" w:anchor="jec12635-bib-0020" w:history="1">
        <w:r w:rsidRPr="00D22FFF">
          <w:rPr>
            <w:rStyle w:val="Hyperlink"/>
            <w:rFonts w:eastAsiaTheme="majorEastAsia" w:cstheme="minorHAnsi"/>
            <w:b/>
            <w:bCs/>
            <w:color w:val="000000"/>
          </w:rPr>
          <w:t>1998</w:t>
        </w:r>
      </w:hyperlink>
      <w:r w:rsidRPr="00D22FFF">
        <w:rPr>
          <w:rFonts w:cstheme="minorHAnsi"/>
        </w:rPr>
        <w:t>; Hubbell </w:t>
      </w:r>
      <w:r w:rsidRPr="00D22FFF">
        <w:rPr>
          <w:rFonts w:cstheme="minorHAnsi"/>
          <w:i/>
          <w:iCs/>
        </w:rPr>
        <w:t>et al</w:t>
      </w:r>
      <w:r w:rsidRPr="00D22FFF">
        <w:rPr>
          <w:rFonts w:cstheme="minorHAnsi"/>
        </w:rPr>
        <w:t>. </w:t>
      </w:r>
      <w:hyperlink r:id="rId89" w:anchor="jec12635-bib-0037" w:history="1">
        <w:r w:rsidRPr="00D22FFF">
          <w:rPr>
            <w:rStyle w:val="Hyperlink"/>
            <w:rFonts w:eastAsiaTheme="majorEastAsia" w:cstheme="minorHAnsi"/>
            <w:b/>
            <w:bCs/>
            <w:color w:val="000000"/>
          </w:rPr>
          <w:t>1999</w:t>
        </w:r>
      </w:hyperlink>
      <w:r w:rsidRPr="00D22FFF">
        <w:rPr>
          <w:rFonts w:cstheme="minorHAnsi"/>
        </w:rPr>
        <w:t>). The BCI plot holds more than 200 000 stems, comprising 314 species (Hubbell </w:t>
      </w:r>
      <w:r w:rsidRPr="00D22FFF">
        <w:rPr>
          <w:rFonts w:cstheme="minorHAnsi"/>
          <w:i/>
          <w:iCs/>
        </w:rPr>
        <w:t>et al</w:t>
      </w:r>
      <w:r w:rsidRPr="00D22FFF">
        <w:rPr>
          <w:rFonts w:cstheme="minorHAnsi"/>
        </w:rPr>
        <w:t>. </w:t>
      </w:r>
      <w:hyperlink r:id="rId90" w:anchor="jec12635-bib-0037" w:history="1">
        <w:r w:rsidRPr="00D22FFF">
          <w:rPr>
            <w:rStyle w:val="Hyperlink"/>
            <w:rFonts w:eastAsiaTheme="majorEastAsia" w:cstheme="minorHAnsi"/>
            <w:b/>
            <w:bCs/>
            <w:color w:val="000000"/>
          </w:rPr>
          <w:t>1999</w:t>
        </w:r>
      </w:hyperlink>
      <w:r w:rsidRPr="00D22FFF">
        <w:rPr>
          <w:rFonts w:cstheme="minorHAnsi"/>
        </w:rPr>
        <w:t>). The mean basal area of stems ≥ 1 cm DBH is 31 m</w:t>
      </w:r>
      <w:r w:rsidRPr="00D22FFF">
        <w:rPr>
          <w:rFonts w:cstheme="minorHAnsi"/>
          <w:sz w:val="18"/>
          <w:szCs w:val="18"/>
          <w:vertAlign w:val="superscript"/>
        </w:rPr>
        <w:t>2</w:t>
      </w:r>
      <w:r w:rsidRPr="00D22FFF">
        <w:rPr>
          <w:rFonts w:cstheme="minorHAnsi"/>
        </w:rPr>
        <w:t> ha</w:t>
      </w:r>
      <w:r w:rsidRPr="00D22FFF">
        <w:rPr>
          <w:rFonts w:cstheme="minorHAnsi"/>
          <w:sz w:val="18"/>
          <w:szCs w:val="18"/>
          <w:vertAlign w:val="superscript"/>
        </w:rPr>
        <w:t>−1</w:t>
      </w:r>
      <w:r w:rsidRPr="00D22FFF">
        <w:rPr>
          <w:rFonts w:cstheme="minorHAnsi"/>
        </w:rPr>
        <w:t>and mean AGB is 281 ± 20 Mg ha</w:t>
      </w:r>
      <w:r w:rsidRPr="00D22FFF">
        <w:rPr>
          <w:rFonts w:cstheme="minorHAnsi"/>
          <w:sz w:val="18"/>
          <w:szCs w:val="18"/>
          <w:vertAlign w:val="superscript"/>
        </w:rPr>
        <w:t>−1</w:t>
      </w:r>
      <w:r w:rsidRPr="00D22FFF">
        <w:rPr>
          <w:rFonts w:cstheme="minorHAnsi"/>
        </w:rPr>
        <w:t> (Chave </w:t>
      </w:r>
      <w:r w:rsidRPr="00D22FFF">
        <w:rPr>
          <w:rFonts w:cstheme="minorHAnsi"/>
          <w:i/>
          <w:iCs/>
        </w:rPr>
        <w:t>et al</w:t>
      </w:r>
      <w:r w:rsidRPr="00D22FFF">
        <w:rPr>
          <w:rFonts w:cstheme="minorHAnsi"/>
        </w:rPr>
        <w:t>. </w:t>
      </w:r>
      <w:hyperlink r:id="rId91" w:anchor="jec12635-bib-0013" w:history="1">
        <w:r w:rsidRPr="00D22FFF">
          <w:rPr>
            <w:rStyle w:val="Hyperlink"/>
            <w:rFonts w:eastAsiaTheme="majorEastAsia" w:cstheme="minorHAnsi"/>
            <w:b/>
            <w:bCs/>
            <w:color w:val="000000"/>
          </w:rPr>
          <w:t>2003</w:t>
        </w:r>
      </w:hyperlink>
      <w:r w:rsidRPr="00D22FFF">
        <w:rPr>
          <w:rFonts w:cstheme="minorHAnsi"/>
        </w:rPr>
        <w:t>). The plot comprises mostly old‐growth forest, and distinct habitats have been defined within the plot (Harms </w:t>
      </w:r>
      <w:r w:rsidRPr="00D22FFF">
        <w:rPr>
          <w:rFonts w:cstheme="minorHAnsi"/>
          <w:i/>
          <w:iCs/>
        </w:rPr>
        <w:t>et al</w:t>
      </w:r>
      <w:r w:rsidRPr="00D22FFF">
        <w:rPr>
          <w:rFonts w:cstheme="minorHAnsi"/>
        </w:rPr>
        <w:t>. </w:t>
      </w:r>
      <w:hyperlink r:id="rId92" w:anchor="jec12635-bib-0033" w:history="1">
        <w:r w:rsidRPr="00D22FFF">
          <w:rPr>
            <w:rStyle w:val="Hyperlink"/>
            <w:rFonts w:eastAsiaTheme="majorEastAsia" w:cstheme="minorHAnsi"/>
            <w:b/>
            <w:bCs/>
            <w:color w:val="000000"/>
          </w:rPr>
          <w:t>2001</w:t>
        </w:r>
      </w:hyperlink>
      <w:r w:rsidRPr="00D22FFF">
        <w:rPr>
          <w:rFonts w:cstheme="minorHAnsi"/>
        </w:rPr>
        <w:t>): low plateau (50% of the plot), high plateau (14%), slope (23%), swamp (2%), streamside (3%), young forest (4%) and mixed habitats (5%). Mean annual temperature is 27 °C and the mean annual rainfall of 2600 mm is distributed seasonally, with a strong dry period from December to April (Condit </w:t>
      </w:r>
      <w:r w:rsidRPr="00D22FFF">
        <w:rPr>
          <w:rFonts w:cstheme="minorHAnsi"/>
          <w:i/>
          <w:iCs/>
        </w:rPr>
        <w:t>et al</w:t>
      </w:r>
      <w:r w:rsidRPr="00D22FFF">
        <w:rPr>
          <w:rFonts w:cstheme="minorHAnsi"/>
        </w:rPr>
        <w:t>. </w:t>
      </w:r>
      <w:hyperlink r:id="rId93" w:anchor="jec12635-bib-0021" w:history="1">
        <w:r w:rsidRPr="00D22FFF">
          <w:rPr>
            <w:rStyle w:val="Hyperlink"/>
            <w:rFonts w:eastAsiaTheme="majorEastAsia" w:cstheme="minorHAnsi"/>
            <w:b/>
            <w:bCs/>
            <w:color w:val="000000"/>
          </w:rPr>
          <w:t>1999</w:t>
        </w:r>
      </w:hyperlink>
      <w:r w:rsidRPr="00D22FFF">
        <w:rPr>
          <w:rFonts w:cstheme="minorHAnsi"/>
        </w:rPr>
        <w:t>). The soil is Kandiudalfic Eutrudox, Isohyperthermic (USDA Soil Taxonomy) dominated by kaolinite clay (B. Turner, pers. comm).</w:t>
      </w:r>
    </w:p>
    <w:p w14:paraId="25513B2F" w14:textId="77777777" w:rsidR="005E11F2" w:rsidRPr="00D22FFF" w:rsidRDefault="005E11F2" w:rsidP="00B26A09">
      <w:pPr>
        <w:pStyle w:val="Heading2"/>
        <w:rPr>
          <w:rFonts w:asciiTheme="minorHAnsi" w:hAnsiTheme="minorHAnsi" w:cstheme="minorHAnsi"/>
        </w:rPr>
      </w:pPr>
      <w:r w:rsidRPr="00D22FFF">
        <w:rPr>
          <w:rFonts w:asciiTheme="minorHAnsi" w:hAnsiTheme="minorHAnsi" w:cstheme="minorHAnsi"/>
        </w:rPr>
        <w:t>Spatial Covariates</w:t>
      </w:r>
    </w:p>
    <w:p w14:paraId="385834BE" w14:textId="77777777" w:rsidR="005E11F2" w:rsidRPr="00D22FFF" w:rsidRDefault="005E11F2" w:rsidP="00B26A09">
      <w:pPr>
        <w:rPr>
          <w:rFonts w:cstheme="minorHAnsi"/>
        </w:rPr>
      </w:pPr>
      <w:r w:rsidRPr="00D22FFF">
        <w:rPr>
          <w:rFonts w:cstheme="minorHAnsi"/>
        </w:rPr>
        <w:t>A map of the topography at 1 m × 1 m resolution is available for the BCI plot (ctfs.arnarb.harvard.edu/Public/CTFSRPackage/index.php/web). That map was created from field measurements on a 20 m × 20 m grid, where elevation was calculated for each quadrat as the mean of values at its four corners. Interpolation techniques were used to generate the 1 m × 1 m map available on the Web. This elevation map was used to create a digital elevation model (DEM) using the software </w:t>
      </w:r>
      <w:r w:rsidRPr="00D22FFF">
        <w:rPr>
          <w:rStyle w:val="smallcaps"/>
          <w:rFonts w:eastAsiaTheme="majorEastAsia" w:cstheme="minorHAnsi"/>
          <w:smallCaps/>
        </w:rPr>
        <w:t>qgis</w:t>
      </w:r>
      <w:r w:rsidRPr="00D22FFF">
        <w:rPr>
          <w:rFonts w:cstheme="minorHAnsi"/>
        </w:rPr>
        <w:t> v. 2.8 (Quantum </w:t>
      </w:r>
      <w:hyperlink r:id="rId94" w:anchor="jec12635-bib-0061" w:history="1">
        <w:r w:rsidRPr="00D22FFF">
          <w:rPr>
            <w:rStyle w:val="Hyperlink"/>
            <w:rFonts w:eastAsiaTheme="majorEastAsia" w:cstheme="minorHAnsi"/>
            <w:b/>
            <w:bCs/>
            <w:color w:val="000000"/>
          </w:rPr>
          <w:t>2013</w:t>
        </w:r>
      </w:hyperlink>
      <w:r w:rsidRPr="00D22FFF">
        <w:rPr>
          <w:rFonts w:cstheme="minorHAnsi"/>
        </w:rPr>
        <w:t>) from which we derived elevation, slope, curvature and hillshade (an index computed by QGIS from latitude, elevation and solar angles to reflect relative amount of canopy exposure to direct radiation; less exposed habitats such as gullies take higher values than more exposed environments).</w:t>
      </w:r>
    </w:p>
    <w:p w14:paraId="2AEC3F7B" w14:textId="77777777" w:rsidR="005E11F2" w:rsidRPr="00D22FFF" w:rsidRDefault="005E11F2" w:rsidP="00B26A09">
      <w:pPr>
        <w:rPr>
          <w:rFonts w:cstheme="minorHAnsi"/>
        </w:rPr>
      </w:pPr>
      <w:r w:rsidRPr="00D22FFF">
        <w:rPr>
          <w:rFonts w:cstheme="minorHAnsi"/>
        </w:rPr>
        <w:t>Two data sets were obtained for 10 soil chemistry variables. The first was collected in 2005 (John </w:t>
      </w:r>
      <w:r w:rsidRPr="00D22FFF">
        <w:rPr>
          <w:rFonts w:cstheme="minorHAnsi"/>
          <w:i/>
          <w:iCs/>
        </w:rPr>
        <w:t>et al</w:t>
      </w:r>
      <w:r w:rsidRPr="00D22FFF">
        <w:rPr>
          <w:rFonts w:cstheme="minorHAnsi"/>
        </w:rPr>
        <w:t>. </w:t>
      </w:r>
      <w:hyperlink r:id="rId95" w:anchor="jec12635-bib-0042" w:history="1">
        <w:r w:rsidRPr="00D22FFF">
          <w:rPr>
            <w:rStyle w:val="Hyperlink"/>
            <w:rFonts w:eastAsiaTheme="majorEastAsia" w:cstheme="minorHAnsi"/>
            <w:b/>
            <w:bCs/>
            <w:color w:val="000000"/>
          </w:rPr>
          <w:t>2007</w:t>
        </w:r>
      </w:hyperlink>
      <w:r w:rsidRPr="00D22FFF">
        <w:rPr>
          <w:rFonts w:cstheme="minorHAnsi"/>
        </w:rPr>
        <w:t>) and comprises a grid of 300 points collected in a 50‐m regular grid and including some extra points to capture variation at fines scales. The second data set was also collected in 2005 (J. Dalling &amp; S. J. Wright, unpubl. data) and comprises data from 238 points located adjacent to seed traps on the BCI plot (Lebrija‐Trejos </w:t>
      </w:r>
      <w:r w:rsidRPr="00D22FFF">
        <w:rPr>
          <w:rFonts w:cstheme="minorHAnsi"/>
          <w:i/>
          <w:iCs/>
        </w:rPr>
        <w:t>et al</w:t>
      </w:r>
      <w:r w:rsidRPr="00D22FFF">
        <w:rPr>
          <w:rFonts w:cstheme="minorHAnsi"/>
        </w:rPr>
        <w:t>. </w:t>
      </w:r>
      <w:hyperlink r:id="rId96" w:anchor="jec12635-bib-0046" w:history="1">
        <w:r w:rsidRPr="00D22FFF">
          <w:rPr>
            <w:rStyle w:val="Hyperlink"/>
            <w:rFonts w:eastAsiaTheme="majorEastAsia" w:cstheme="minorHAnsi"/>
            <w:b/>
            <w:bCs/>
            <w:color w:val="000000"/>
          </w:rPr>
          <w:t>2014</w:t>
        </w:r>
      </w:hyperlink>
      <w:r w:rsidRPr="00D22FFF">
        <w:rPr>
          <w:rFonts w:cstheme="minorHAnsi"/>
        </w:rPr>
        <w:t>). The sampling, processing and laboratory analysis were identical in both cases. The soils samples were collected from a depth of 0–10 cm, and cations and P were extracted using a Mehlich III solution and analysed using inductively coupled plasma spectroscopy. pH was measured on a 1:3 mixture of fresh soil and distilled water (John </w:t>
      </w:r>
      <w:r w:rsidRPr="00D22FFF">
        <w:rPr>
          <w:rFonts w:cstheme="minorHAnsi"/>
          <w:i/>
          <w:iCs/>
        </w:rPr>
        <w:t>et al</w:t>
      </w:r>
      <w:r w:rsidRPr="00D22FFF">
        <w:rPr>
          <w:rFonts w:cstheme="minorHAnsi"/>
        </w:rPr>
        <w:t>. </w:t>
      </w:r>
      <w:hyperlink r:id="rId97" w:anchor="jec12635-bib-0042" w:history="1">
        <w:r w:rsidRPr="00D22FFF">
          <w:rPr>
            <w:rStyle w:val="Hyperlink"/>
            <w:rFonts w:eastAsiaTheme="majorEastAsia" w:cstheme="minorHAnsi"/>
            <w:b/>
            <w:bCs/>
            <w:color w:val="000000"/>
          </w:rPr>
          <w:t>2007</w:t>
        </w:r>
      </w:hyperlink>
      <w:r w:rsidRPr="00D22FFF">
        <w:rPr>
          <w:rFonts w:cstheme="minorHAnsi"/>
        </w:rPr>
        <w:t>). The two data sets were pooled and screened for obvious outliers for each measured element (points with values &gt; ~100% of their nearest neighbours), which were systematically removed. The final pooled data set comprised measurements of pH, Al, B, Ca, Cu, Fe, K, Mn, Mg and P for up to 537 points across the 50‐ha plot.</w:t>
      </w:r>
    </w:p>
    <w:p w14:paraId="444C1F16" w14:textId="77777777" w:rsidR="005E11F2" w:rsidRPr="00D22FFF" w:rsidRDefault="005E11F2" w:rsidP="00B26A09">
      <w:pPr>
        <w:rPr>
          <w:rFonts w:cstheme="minorHAnsi"/>
        </w:rPr>
      </w:pPr>
      <w:r w:rsidRPr="00D22FFF">
        <w:rPr>
          <w:rFonts w:cstheme="minorHAnsi"/>
        </w:rPr>
        <w:t>A census of all lianas &gt; 1 cm diameter at ground level was conducted in 2007 (Schnitzer, Rutishauser &amp; Aguilar </w:t>
      </w:r>
      <w:hyperlink r:id="rId98" w:anchor="jec12635-bib-0075" w:history="1">
        <w:r w:rsidRPr="00D22FFF">
          <w:rPr>
            <w:rStyle w:val="Hyperlink"/>
            <w:rFonts w:eastAsiaTheme="majorEastAsia" w:cstheme="minorHAnsi"/>
            <w:b/>
            <w:bCs/>
            <w:color w:val="000000"/>
          </w:rPr>
          <w:t>2008</w:t>
        </w:r>
      </w:hyperlink>
      <w:r w:rsidRPr="00D22FFF">
        <w:rPr>
          <w:rFonts w:cstheme="minorHAnsi"/>
        </w:rPr>
        <w:t>; Schnitzer </w:t>
      </w:r>
      <w:r w:rsidRPr="00D22FFF">
        <w:rPr>
          <w:rFonts w:cstheme="minorHAnsi"/>
          <w:i/>
          <w:iCs/>
        </w:rPr>
        <w:t>et al</w:t>
      </w:r>
      <w:r w:rsidRPr="00D22FFF">
        <w:rPr>
          <w:rFonts w:cstheme="minorHAnsi"/>
        </w:rPr>
        <w:t>. </w:t>
      </w:r>
      <w:hyperlink r:id="rId99" w:anchor="jec12635-bib-0076" w:history="1">
        <w:r w:rsidRPr="00D22FFF">
          <w:rPr>
            <w:rStyle w:val="Hyperlink"/>
            <w:rFonts w:eastAsiaTheme="majorEastAsia" w:cstheme="minorHAnsi"/>
            <w:b/>
            <w:bCs/>
            <w:color w:val="000000"/>
          </w:rPr>
          <w:t>2012</w:t>
        </w:r>
      </w:hyperlink>
      <w:r w:rsidRPr="00D22FFF">
        <w:rPr>
          <w:rFonts w:cstheme="minorHAnsi"/>
        </w:rPr>
        <w:t>), and these data were used to generate maps representing liana abundance. Liana abundance was quantified as the sum of total individual liana basal area per quadrat, on the same spatial grids that we used in our models. Individual liana basal area was calculated using the diameter measured at 1.3 m from the rooting point (Schnitzer </w:t>
      </w:r>
      <w:r w:rsidRPr="00D22FFF">
        <w:rPr>
          <w:rFonts w:cstheme="minorHAnsi"/>
          <w:i/>
          <w:iCs/>
        </w:rPr>
        <w:t>et al</w:t>
      </w:r>
      <w:r w:rsidRPr="00D22FFF">
        <w:rPr>
          <w:rFonts w:cstheme="minorHAnsi"/>
        </w:rPr>
        <w:t>. </w:t>
      </w:r>
      <w:hyperlink r:id="rId100" w:anchor="jec12635-bib-0076" w:history="1">
        <w:r w:rsidRPr="00D22FFF">
          <w:rPr>
            <w:rStyle w:val="Hyperlink"/>
            <w:rFonts w:eastAsiaTheme="majorEastAsia" w:cstheme="minorHAnsi"/>
            <w:b/>
            <w:bCs/>
            <w:color w:val="000000"/>
          </w:rPr>
          <w:t>2012</w:t>
        </w:r>
      </w:hyperlink>
      <w:r w:rsidRPr="00D22FFF">
        <w:rPr>
          <w:rFonts w:cstheme="minorHAnsi"/>
        </w:rPr>
        <w:t>). We repeated the analysis using number of liana stems and AGB instead of basal area and the results were qualitatively identical but the fit to the data was less strong in both cases, so we report the results for the model with liana density measured as basal area density below.</w:t>
      </w:r>
    </w:p>
    <w:p w14:paraId="37515AD2" w14:textId="77777777" w:rsidR="005E11F2" w:rsidRPr="00D22FFF" w:rsidRDefault="005E11F2" w:rsidP="00B26A09">
      <w:pPr>
        <w:pStyle w:val="Heading2"/>
        <w:rPr>
          <w:rFonts w:asciiTheme="minorHAnsi" w:hAnsiTheme="minorHAnsi" w:cstheme="minorHAnsi"/>
        </w:rPr>
      </w:pPr>
      <w:r w:rsidRPr="00D22FFF">
        <w:rPr>
          <w:rFonts w:asciiTheme="minorHAnsi" w:hAnsiTheme="minorHAnsi" w:cstheme="minorHAnsi"/>
        </w:rPr>
        <w:t>Creating Data Layers</w:t>
      </w:r>
    </w:p>
    <w:p w14:paraId="4715FD3C" w14:textId="7ECF74AA" w:rsidR="005E11F2" w:rsidRPr="00D22FFF" w:rsidRDefault="005E11F2" w:rsidP="00B26A09">
      <w:pPr>
        <w:rPr>
          <w:rFonts w:cstheme="minorHAnsi"/>
        </w:rPr>
      </w:pPr>
      <w:r w:rsidRPr="00D22FFF">
        <w:rPr>
          <w:rFonts w:cstheme="minorHAnsi"/>
        </w:rPr>
        <w:t>The AGB of all trees was estimated using the allometric equations recently developed by Chave </w:t>
      </w:r>
      <w:r w:rsidRPr="00D22FFF">
        <w:rPr>
          <w:rFonts w:cstheme="minorHAnsi"/>
          <w:i/>
          <w:iCs/>
        </w:rPr>
        <w:t>et al</w:t>
      </w:r>
      <w:r w:rsidRPr="00D22FFF">
        <w:rPr>
          <w:rFonts w:cstheme="minorHAnsi"/>
        </w:rPr>
        <w:t>. (</w:t>
      </w:r>
      <w:hyperlink r:id="rId101" w:anchor="jec12635-bib-0015" w:history="1">
        <w:r w:rsidRPr="00D22FFF">
          <w:rPr>
            <w:rStyle w:val="Hyperlink"/>
            <w:rFonts w:eastAsiaTheme="majorEastAsia" w:cstheme="minorHAnsi"/>
            <w:b/>
            <w:bCs/>
            <w:color w:val="000000"/>
          </w:rPr>
          <w:t>2014</w:t>
        </w:r>
      </w:hyperlink>
      <w:r w:rsidRPr="00D22FFF">
        <w:rPr>
          <w:rFonts w:cstheme="minorHAnsi"/>
        </w:rPr>
        <w:t>), which were derived in part from data from Panama and Central America, unlike alternative equations in the recent literature (Feldpausch </w:t>
      </w:r>
      <w:r w:rsidRPr="00D22FFF">
        <w:rPr>
          <w:rFonts w:cstheme="minorHAnsi"/>
          <w:i/>
          <w:iCs/>
        </w:rPr>
        <w:t>et al</w:t>
      </w:r>
      <w:r w:rsidRPr="00D22FFF">
        <w:rPr>
          <w:rFonts w:cstheme="minorHAnsi"/>
        </w:rPr>
        <w:t>. </w:t>
      </w:r>
      <w:hyperlink r:id="rId102" w:anchor="jec12635-bib-0031" w:history="1">
        <w:r w:rsidRPr="00D22FFF">
          <w:rPr>
            <w:rStyle w:val="Hyperlink"/>
            <w:rFonts w:eastAsiaTheme="majorEastAsia" w:cstheme="minorHAnsi"/>
            <w:b/>
            <w:bCs/>
            <w:color w:val="000000"/>
          </w:rPr>
          <w:t>2012</w:t>
        </w:r>
      </w:hyperlink>
      <w:r w:rsidRPr="00D22FFF">
        <w:rPr>
          <w:rFonts w:cstheme="minorHAnsi"/>
        </w:rPr>
        <w:t>). We estimated AGB using Model 4 in (Chave </w:t>
      </w:r>
      <w:r w:rsidRPr="00D22FFF">
        <w:rPr>
          <w:rFonts w:cstheme="minorHAnsi"/>
          <w:i/>
          <w:iCs/>
        </w:rPr>
        <w:t>et al</w:t>
      </w:r>
      <w:r w:rsidRPr="00D22FFF">
        <w:rPr>
          <w:rFonts w:cstheme="minorHAnsi"/>
        </w:rPr>
        <w:t>. </w:t>
      </w:r>
      <w:hyperlink r:id="rId103" w:anchor="jec12635-bib-0015" w:history="1">
        <w:r w:rsidRPr="00D22FFF">
          <w:rPr>
            <w:rStyle w:val="Hyperlink"/>
            <w:rFonts w:eastAsiaTheme="majorEastAsia" w:cstheme="minorHAnsi"/>
            <w:b/>
            <w:bCs/>
            <w:color w:val="000000"/>
          </w:rPr>
          <w:t>2014</w:t>
        </w:r>
      </w:hyperlink>
      <w:r w:rsidRPr="00D22FFF">
        <w:rPr>
          <w:rFonts w:cstheme="minorHAnsi"/>
        </w:rPr>
        <w:t>), which computes AGB as a function of measurements of DBH from the tree census and tree height (H) estimated from DBH using allometric equations constructed from trees in central Panama (Appendix S1 in Supporting information). Previous work has suggested that including a term for tree height improves AGB estimation (Feldpausch </w:t>
      </w:r>
      <w:r w:rsidRPr="00D22FFF">
        <w:rPr>
          <w:rFonts w:cstheme="minorHAnsi"/>
          <w:i/>
          <w:iCs/>
        </w:rPr>
        <w:t>et al</w:t>
      </w:r>
      <w:r w:rsidRPr="00D22FFF">
        <w:rPr>
          <w:rFonts w:cstheme="minorHAnsi"/>
        </w:rPr>
        <w:t>. </w:t>
      </w:r>
      <w:hyperlink r:id="rId104" w:anchor="jec12635-bib-0031" w:history="1">
        <w:r w:rsidRPr="00D22FFF">
          <w:rPr>
            <w:rStyle w:val="Hyperlink"/>
            <w:rFonts w:eastAsiaTheme="majorEastAsia" w:cstheme="minorHAnsi"/>
            <w:b/>
            <w:bCs/>
            <w:color w:val="000000"/>
          </w:rPr>
          <w:t>2012</w:t>
        </w:r>
      </w:hyperlink>
      <w:r w:rsidRPr="00D22FFF">
        <w:rPr>
          <w:rFonts w:cstheme="minorHAnsi"/>
        </w:rPr>
        <w:t>). Wood density values were measured for trees in Central Panama (Wright </w:t>
      </w:r>
      <w:r w:rsidRPr="00D22FFF">
        <w:rPr>
          <w:rFonts w:cstheme="minorHAnsi"/>
          <w:i/>
          <w:iCs/>
        </w:rPr>
        <w:t>et al</w:t>
      </w:r>
      <w:r w:rsidRPr="00D22FFF">
        <w:rPr>
          <w:rFonts w:cstheme="minorHAnsi"/>
        </w:rPr>
        <w:t>. </w:t>
      </w:r>
      <w:hyperlink r:id="rId105" w:anchor="jec12635-bib-0086" w:history="1">
        <w:r w:rsidRPr="00D22FFF">
          <w:rPr>
            <w:rStyle w:val="Hyperlink"/>
            <w:rFonts w:eastAsiaTheme="majorEastAsia" w:cstheme="minorHAnsi"/>
            <w:b/>
            <w:bCs/>
            <w:color w:val="000000"/>
          </w:rPr>
          <w:t>2010</w:t>
        </w:r>
      </w:hyperlink>
      <w:r w:rsidRPr="00D22FFF">
        <w:rPr>
          <w:rFonts w:cstheme="minorHAnsi"/>
        </w:rPr>
        <w:t>). Estimated AGB per tree was then summed within subplots at spatial resolutions of 10 m × 10 m 20 m × 20 m and 50 m × 50 m to create three discretized maps of tree AGB (Fig. </w:t>
      </w:r>
      <w:hyperlink r:id="rId106" w:anchor="jec12635-fig-0001" w:history="1">
        <w:r w:rsidRPr="00D22FFF">
          <w:rPr>
            <w:rStyle w:val="Hyperlink"/>
            <w:rFonts w:eastAsiaTheme="majorEastAsia" w:cstheme="minorHAnsi"/>
            <w:b/>
            <w:bCs/>
            <w:color w:val="005274"/>
          </w:rPr>
          <w:t>1</w:t>
        </w:r>
      </w:hyperlink>
      <w:r w:rsidRPr="00D22FFF">
        <w:rPr>
          <w:rFonts w:cstheme="minorHAnsi"/>
        </w:rPr>
        <w:t>). The mean number of trees and AGB of stems ≥ 1 cm DBH on the 10 m × 10 m quadrats is 41.5 trees ± 11.8 standard deviation and 2533 ± 3913 kg standard deviation, respectively (Fig. </w:t>
      </w:r>
      <w:hyperlink r:id="rId107" w:anchor="jec12635-fig-0001" w:history="1">
        <w:r w:rsidRPr="00D22FFF">
          <w:rPr>
            <w:rStyle w:val="Hyperlink"/>
            <w:rFonts w:eastAsiaTheme="majorEastAsia" w:cstheme="minorHAnsi"/>
            <w:b/>
            <w:bCs/>
            <w:color w:val="005274"/>
          </w:rPr>
          <w:t>1</w:t>
        </w:r>
      </w:hyperlink>
      <w:r w:rsidRPr="00D22FFF">
        <w:rPr>
          <w:rFonts w:cstheme="minorHAnsi"/>
        </w:rPr>
        <w:t>). Equivalent values for the 20 m × 20 m and 50 m × 50 m quadrats are 165.8 ± 33.0 trees and 10 133 ± 754 kg and 1036.3 ± 121.7 trees and 63 333 ± 18 890 kg, respectively (Fig. </w:t>
      </w:r>
      <w:hyperlink r:id="rId108" w:anchor="jec12635-fig-0001" w:history="1">
        <w:r w:rsidRPr="00D22FFF">
          <w:rPr>
            <w:rStyle w:val="Hyperlink"/>
            <w:rFonts w:eastAsiaTheme="majorEastAsia" w:cstheme="minorHAnsi"/>
            <w:b/>
            <w:bCs/>
            <w:color w:val="005274"/>
          </w:rPr>
          <w:t>1</w:t>
        </w:r>
      </w:hyperlink>
      <w:r w:rsidRPr="00D22FFF">
        <w:rPr>
          <w:rFonts w:cstheme="minorHAnsi"/>
        </w:rPr>
        <w:t>). Liana basal area was summed across all individuals within the same grid of plots at each of the three spatial resolutions. We obtained values of the four topography variables at the desired spatial resolution by creating three different DEMs at 10 m × 10 m 20 m × 20 m and 50 m × 50 m using the Triangulated Irregular Network (TIN) interpolation method, available in the QGIS. We adopted a geostatistical approach to construct the spatial layers for the ten soil chemical variables. We calculated the empirical semi‐variogram for each variable (Cressie </w:t>
      </w:r>
      <w:hyperlink r:id="rId109" w:anchor="jec12635-bib-0023" w:history="1">
        <w:r w:rsidRPr="00D22FFF">
          <w:rPr>
            <w:rStyle w:val="Hyperlink"/>
            <w:rFonts w:eastAsiaTheme="majorEastAsia" w:cstheme="minorHAnsi"/>
            <w:b/>
            <w:bCs/>
            <w:color w:val="000000"/>
          </w:rPr>
          <w:t>1993</w:t>
        </w:r>
      </w:hyperlink>
      <w:r w:rsidRPr="00D22FFF">
        <w:rPr>
          <w:rFonts w:cstheme="minorHAnsi"/>
        </w:rPr>
        <w:t>) and then used restricted maximum likelihood (REMS) to fit a spherical model semi‐variogram to the data. Ordinary kriging was then used to extend the soil variables to the spatial resolutions of the grids (10 m × 10 m, 20 m × 20 m, and 50 m × 50 m) using the fitted semi‐variogram. These analyses were conducted using the </w:t>
      </w:r>
      <w:r w:rsidRPr="00D22FFF">
        <w:rPr>
          <w:rStyle w:val="smallcaps"/>
          <w:rFonts w:eastAsiaTheme="majorEastAsia" w:cstheme="minorHAnsi"/>
          <w:smallCaps/>
        </w:rPr>
        <w:t>geor</w:t>
      </w:r>
      <w:r w:rsidRPr="00D22FFF">
        <w:rPr>
          <w:rFonts w:cstheme="minorHAnsi"/>
        </w:rPr>
        <w:t> package for </w:t>
      </w:r>
      <w:r w:rsidRPr="00D22FFF">
        <w:rPr>
          <w:rStyle w:val="smallcaps"/>
          <w:rFonts w:eastAsiaTheme="majorEastAsia" w:cstheme="minorHAnsi"/>
          <w:smallCaps/>
        </w:rPr>
        <w:t>r</w:t>
      </w:r>
      <w:r w:rsidRPr="00D22FFF">
        <w:rPr>
          <w:rFonts w:cstheme="minorHAnsi"/>
        </w:rPr>
        <w:t> v 1.7‐4.1 (Ribeiro &amp; Diggle </w:t>
      </w:r>
      <w:hyperlink r:id="rId110" w:anchor="jec12635-bib-0064" w:history="1">
        <w:r w:rsidRPr="00D22FFF">
          <w:rPr>
            <w:rStyle w:val="Hyperlink"/>
            <w:rFonts w:eastAsiaTheme="majorEastAsia" w:cstheme="minorHAnsi"/>
            <w:b/>
            <w:bCs/>
            <w:color w:val="000000"/>
          </w:rPr>
          <w:t>2001</w:t>
        </w:r>
      </w:hyperlink>
      <w:r w:rsidRPr="00D22FFF">
        <w:rPr>
          <w:rFonts w:cstheme="minorHAnsi"/>
        </w:rPr>
        <w:t>).</w:t>
      </w:r>
    </w:p>
    <w:p w14:paraId="77BBA4DA" w14:textId="77777777" w:rsidR="00534D94" w:rsidRPr="00D22FFF" w:rsidRDefault="00534D94" w:rsidP="00B26A09">
      <w:pPr>
        <w:rPr>
          <w:rFonts w:cstheme="minorHAnsi"/>
        </w:rPr>
      </w:pPr>
    </w:p>
    <w:p w14:paraId="31A0C38F" w14:textId="2B8D8D5F" w:rsidR="005E11F2" w:rsidRPr="00D22FFF" w:rsidRDefault="005E11F2" w:rsidP="005E11F2">
      <w:pPr>
        <w:rPr>
          <w:rFonts w:cstheme="minorHAnsi"/>
        </w:rPr>
      </w:pPr>
      <w:r w:rsidRPr="00D22FFF">
        <w:rPr>
          <w:rFonts w:cstheme="minorHAnsi"/>
          <w:noProof/>
          <w:color w:val="005274"/>
        </w:rPr>
        <w:drawing>
          <wp:inline distT="0" distB="0" distL="0" distR="0" wp14:anchorId="2D479C87" wp14:editId="2B670DEA">
            <wp:extent cx="4762500" cy="2819400"/>
            <wp:effectExtent l="0" t="0" r="0" b="0"/>
            <wp:docPr id="6" name="Picture 6" descr="image">
              <a:hlinkClick xmlns:a="http://schemas.openxmlformats.org/drawingml/2006/main" r:id="rId1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hlinkClick r:id="rId111" tgtFrame="&quot;_blank&quot;"/>
                    </pic:cNvPr>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4762500" cy="2819400"/>
                    </a:xfrm>
                    <a:prstGeom prst="rect">
                      <a:avLst/>
                    </a:prstGeom>
                    <a:noFill/>
                    <a:ln>
                      <a:noFill/>
                    </a:ln>
                  </pic:spPr>
                </pic:pic>
              </a:graphicData>
            </a:graphic>
          </wp:inline>
        </w:drawing>
      </w:r>
    </w:p>
    <w:p w14:paraId="7F7B19D7" w14:textId="77777777" w:rsidR="005E11F2" w:rsidRPr="00D22FFF" w:rsidRDefault="005E11F2" w:rsidP="00534D94">
      <w:pPr>
        <w:pStyle w:val="Heading3"/>
        <w:rPr>
          <w:rFonts w:asciiTheme="minorHAnsi" w:hAnsiTheme="minorHAnsi" w:cstheme="minorHAnsi"/>
        </w:rPr>
      </w:pPr>
      <w:r w:rsidRPr="00D22FFF">
        <w:rPr>
          <w:rStyle w:val="Strong"/>
          <w:rFonts w:asciiTheme="minorHAnsi" w:hAnsiTheme="minorHAnsi" w:cstheme="minorHAnsi"/>
          <w:color w:val="212121"/>
        </w:rPr>
        <w:t>Figure 1</w:t>
      </w:r>
    </w:p>
    <w:p w14:paraId="4FC98EB1" w14:textId="77777777" w:rsidR="005E11F2" w:rsidRPr="00D22FFF" w:rsidRDefault="005E11F2" w:rsidP="005E11F2">
      <w:pPr>
        <w:rPr>
          <w:rFonts w:cstheme="minorHAnsi"/>
        </w:rPr>
      </w:pPr>
      <w:r w:rsidRPr="00D22FFF">
        <w:rPr>
          <w:rFonts w:cstheme="minorHAnsi"/>
        </w:rPr>
        <w:t>Values of AGB (above) and stem density (below) in the different grids (a) 10 m × 10 m (b) 20 m × 20 m and (c) 50 m × 50 m in the BCI plot.</w:t>
      </w:r>
    </w:p>
    <w:p w14:paraId="0273F82B" w14:textId="77777777" w:rsidR="005E11F2" w:rsidRPr="00D22FFF" w:rsidRDefault="005E11F2" w:rsidP="00534D94">
      <w:pPr>
        <w:pStyle w:val="Heading2"/>
        <w:rPr>
          <w:rFonts w:asciiTheme="minorHAnsi" w:hAnsiTheme="minorHAnsi" w:cstheme="minorHAnsi"/>
        </w:rPr>
      </w:pPr>
      <w:r w:rsidRPr="00D22FFF">
        <w:rPr>
          <w:rFonts w:asciiTheme="minorHAnsi" w:hAnsiTheme="minorHAnsi" w:cstheme="minorHAnsi"/>
        </w:rPr>
        <w:t>Model Description and Fitting</w:t>
      </w:r>
    </w:p>
    <w:p w14:paraId="36043142" w14:textId="77777777" w:rsidR="005E11F2" w:rsidRPr="00D22FFF" w:rsidRDefault="005E11F2" w:rsidP="00534D94">
      <w:pPr>
        <w:rPr>
          <w:rFonts w:cstheme="minorHAnsi"/>
        </w:rPr>
      </w:pPr>
      <w:r w:rsidRPr="00D22FFF">
        <w:rPr>
          <w:rFonts w:cstheme="minorHAnsi"/>
        </w:rPr>
        <w:t>The response variables of interest here are total AGB of trees on quadrats of 10 m × 10 m, 20 m × 20 m and 50 m × 50 m. However, AGB depends on tree position, so to evaluate the independent underlying causes of variation in AGB distribution, the effects of the spatial distribution of trees have to be removed. The modelling approach we take here accounts for the spatial distribution of trees and the inherent autocorrelation of demographic processes at small scales (Jansen, Meer &amp; Bongers </w:t>
      </w:r>
      <w:hyperlink r:id="rId113" w:anchor="jec12635-bib-0041" w:history="1">
        <w:r w:rsidRPr="00D22FFF">
          <w:rPr>
            <w:rStyle w:val="Hyperlink"/>
            <w:rFonts w:eastAsiaTheme="majorEastAsia" w:cstheme="minorHAnsi"/>
            <w:b/>
            <w:bCs/>
            <w:color w:val="000000"/>
          </w:rPr>
          <w:t>2008</w:t>
        </w:r>
      </w:hyperlink>
      <w:r w:rsidRPr="00D22FFF">
        <w:rPr>
          <w:rFonts w:cstheme="minorHAnsi"/>
        </w:rPr>
        <w:t>), which may in turn produce some spatial structure in AGB. Ignoring the processes generating spatial autocorrelation would lead to explanatory variables becoming significant even though they are not (Legendre </w:t>
      </w:r>
      <w:hyperlink r:id="rId114" w:anchor="jec12635-bib-0048" w:history="1">
        <w:r w:rsidRPr="00D22FFF">
          <w:rPr>
            <w:rStyle w:val="Hyperlink"/>
            <w:rFonts w:eastAsiaTheme="majorEastAsia" w:cstheme="minorHAnsi"/>
            <w:b/>
            <w:bCs/>
            <w:color w:val="000000"/>
          </w:rPr>
          <w:t>1993</w:t>
        </w:r>
      </w:hyperlink>
      <w:r w:rsidRPr="00D22FFF">
        <w:rPr>
          <w:rFonts w:cstheme="minorHAnsi"/>
        </w:rPr>
        <w:t>; Kissling &amp; Carl </w:t>
      </w:r>
      <w:hyperlink r:id="rId115" w:anchor="jec12635-bib-0043" w:history="1">
        <w:r w:rsidRPr="00D22FFF">
          <w:rPr>
            <w:rStyle w:val="Hyperlink"/>
            <w:rFonts w:eastAsiaTheme="majorEastAsia" w:cstheme="minorHAnsi"/>
            <w:b/>
            <w:bCs/>
            <w:color w:val="000000"/>
          </w:rPr>
          <w:t>2007</w:t>
        </w:r>
      </w:hyperlink>
      <w:r w:rsidRPr="00D22FFF">
        <w:rPr>
          <w:rFonts w:cstheme="minorHAnsi"/>
        </w:rPr>
        <w:t>).</w:t>
      </w:r>
    </w:p>
    <w:p w14:paraId="59E28E30" w14:textId="77777777" w:rsidR="005E11F2" w:rsidRPr="00D22FFF" w:rsidRDefault="005E11F2" w:rsidP="00534D94">
      <w:pPr>
        <w:rPr>
          <w:rFonts w:cstheme="minorHAnsi"/>
        </w:rPr>
      </w:pPr>
      <w:r w:rsidRPr="00D22FFF">
        <w:rPr>
          <w:rFonts w:cstheme="minorHAnsi"/>
        </w:rPr>
        <w:t>We consider the data as a marked spatial point pattern where the locations of the trees form the ‘points’ and AGB for each tree are the marks, and we model the marks along with the spatial point pattern in a joint model. This implies that we have two response variables, the spatial pattern (tree distribution) and the marks (AGB). We used a marked log Gaussian Cox point process model (Rue &amp; Held </w:t>
      </w:r>
      <w:hyperlink r:id="rId116" w:anchor="jec12635-bib-0065" w:history="1">
        <w:r w:rsidRPr="00D22FFF">
          <w:rPr>
            <w:rStyle w:val="Hyperlink"/>
            <w:rFonts w:eastAsiaTheme="majorEastAsia" w:cstheme="minorHAnsi"/>
            <w:b/>
            <w:bCs/>
            <w:color w:val="000000"/>
          </w:rPr>
          <w:t>2005</w:t>
        </w:r>
      </w:hyperlink>
      <w:r w:rsidRPr="00D22FFF">
        <w:rPr>
          <w:rFonts w:cstheme="minorHAnsi"/>
        </w:rPr>
        <w:t>). Log Gaussian Cox processes are special cases of latent Gaussian models, which assume that the observations are independent given one or more latent fields. The latent fields explain the spatial dependence structure in the data by explicitly accounting for spatial autocorrelation through covariates and a spatially smooth random field (also referred to as a spatially structured effect), which accounts for the spatial autocorrelation in the data unexplained by the covariates (Illian </w:t>
      </w:r>
      <w:r w:rsidRPr="00D22FFF">
        <w:rPr>
          <w:rFonts w:cstheme="minorHAnsi"/>
          <w:i/>
          <w:iCs/>
        </w:rPr>
        <w:t>et al</w:t>
      </w:r>
      <w:r w:rsidRPr="00D22FFF">
        <w:rPr>
          <w:rFonts w:cstheme="minorHAnsi"/>
        </w:rPr>
        <w:t>. </w:t>
      </w:r>
      <w:hyperlink r:id="rId117" w:anchor="jec12635-bib-0039" w:history="1">
        <w:r w:rsidRPr="00D22FFF">
          <w:rPr>
            <w:rStyle w:val="Hyperlink"/>
            <w:rFonts w:eastAsiaTheme="majorEastAsia" w:cstheme="minorHAnsi"/>
            <w:b/>
            <w:bCs/>
            <w:color w:val="000000"/>
          </w:rPr>
          <w:t>2012</w:t>
        </w:r>
      </w:hyperlink>
      <w:r w:rsidRPr="00D22FFF">
        <w:rPr>
          <w:rFonts w:cstheme="minorHAnsi"/>
        </w:rPr>
        <w:t>). While AGB was the response variable of interest, we account for spatial autocorrelation in the AGB measurements by modelling the tree pattern simultaneously through the joint modelling approach. The random field was assumed to be a Gauss–Markov random field (GMRF; Rue &amp; Held </w:t>
      </w:r>
      <w:hyperlink r:id="rId118" w:anchor="jec12635-bib-0065" w:history="1">
        <w:r w:rsidRPr="00D22FFF">
          <w:rPr>
            <w:rStyle w:val="Hyperlink"/>
            <w:rFonts w:eastAsiaTheme="majorEastAsia" w:cstheme="minorHAnsi"/>
            <w:b/>
            <w:bCs/>
            <w:color w:val="000000"/>
          </w:rPr>
          <w:t>2005</w:t>
        </w:r>
      </w:hyperlink>
      <w:r w:rsidRPr="00D22FFF">
        <w:rPr>
          <w:rFonts w:cstheme="minorHAnsi"/>
        </w:rPr>
        <w:t>). The GMRF has a local dependence structure, which speeds up computation and makes model fitting practically feasible. In our model, the same GMRF is shared between the two response variables (the marks and spatial point pattern). To fit the model, we use integrated nested Laplace approximation (INLA; Rue, Martino &amp; Chopin </w:t>
      </w:r>
      <w:hyperlink r:id="rId119" w:anchor="jec12635-bib-0066" w:history="1">
        <w:r w:rsidRPr="00D22FFF">
          <w:rPr>
            <w:rStyle w:val="Hyperlink"/>
            <w:rFonts w:eastAsiaTheme="majorEastAsia" w:cstheme="minorHAnsi"/>
            <w:b/>
            <w:bCs/>
            <w:color w:val="000000"/>
          </w:rPr>
          <w:t>2009</w:t>
        </w:r>
      </w:hyperlink>
      <w:r w:rsidRPr="00D22FFF">
        <w:rPr>
          <w:rFonts w:cstheme="minorHAnsi"/>
        </w:rPr>
        <w:t>), which is a computationally efficient way of fitting models in a Bayesian context that speeds up parameter estimation substantially, and thus also enhances the feasibility of fitting of complex spatial models such as the marked point process we use here (Rue, Martino &amp; Chopin </w:t>
      </w:r>
      <w:hyperlink r:id="rId120" w:anchor="jec12635-bib-0066" w:history="1">
        <w:r w:rsidRPr="00D22FFF">
          <w:rPr>
            <w:rStyle w:val="Hyperlink"/>
            <w:rFonts w:eastAsiaTheme="majorEastAsia" w:cstheme="minorHAnsi"/>
            <w:b/>
            <w:bCs/>
            <w:color w:val="000000"/>
          </w:rPr>
          <w:t>2009</w:t>
        </w:r>
      </w:hyperlink>
      <w:r w:rsidRPr="00D22FFF">
        <w:rPr>
          <w:rFonts w:cstheme="minorHAnsi"/>
        </w:rPr>
        <w:t>).</w:t>
      </w:r>
    </w:p>
    <w:p w14:paraId="6375B6C7" w14:textId="433C5B23" w:rsidR="005E11F2" w:rsidRPr="00D22FFF" w:rsidRDefault="005E11F2" w:rsidP="00534D94">
      <w:pPr>
        <w:rPr>
          <w:rFonts w:cstheme="minorHAnsi"/>
        </w:rPr>
      </w:pPr>
      <w:r w:rsidRPr="00D22FFF">
        <w:rPr>
          <w:rFonts w:cstheme="minorHAnsi"/>
        </w:rPr>
        <w:t>The data set comprised a regular grid with </w:t>
      </w:r>
      <w:r w:rsidRPr="00D22FFF">
        <w:rPr>
          <w:rFonts w:cstheme="minorHAnsi"/>
          <w:i/>
          <w:iCs/>
        </w:rPr>
        <w:t>p</w:t>
      </w:r>
      <w:r w:rsidRPr="00D22FFF">
        <w:rPr>
          <w:rFonts w:cstheme="minorHAnsi"/>
        </w:rPr>
        <w:t> rows and </w:t>
      </w:r>
      <w:r w:rsidRPr="00D22FFF">
        <w:rPr>
          <w:rFonts w:cstheme="minorHAnsi"/>
          <w:i/>
          <w:iCs/>
        </w:rPr>
        <w:t>q</w:t>
      </w:r>
      <w:r w:rsidRPr="00D22FFF">
        <w:rPr>
          <w:rFonts w:cstheme="minorHAnsi"/>
        </w:rPr>
        <w:t> columns. Since we have two response variables we have two latent fields, η and ν, that share a common random field </w:t>
      </w:r>
      <w:r w:rsidRPr="00D22FFF">
        <w:rPr>
          <w:rFonts w:cstheme="minorHAnsi"/>
          <w:noProof/>
        </w:rPr>
        <w:drawing>
          <wp:inline distT="0" distB="0" distL="0" distR="0" wp14:anchorId="2F4CB199" wp14:editId="06B6BDDB">
            <wp:extent cx="371475" cy="152400"/>
            <wp:effectExtent l="0" t="0" r="9525" b="0"/>
            <wp:docPr id="5" name="Picture 5" descr="urn:x-wiley:00220477:media:jec12635:jec12635-math-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rn:x-wiley:00220477:media:jec12635:jec12635-math-0001"/>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371475" cy="152400"/>
                    </a:xfrm>
                    <a:prstGeom prst="rect">
                      <a:avLst/>
                    </a:prstGeom>
                    <a:noFill/>
                    <a:ln>
                      <a:noFill/>
                    </a:ln>
                  </pic:spPr>
                </pic:pic>
              </a:graphicData>
            </a:graphic>
          </wp:inline>
        </w:drawing>
      </w:r>
      <w:r w:rsidRPr="00D22FFF">
        <w:rPr>
          <w:rFonts w:cstheme="minorHAnsi"/>
        </w:rPr>
        <w:t> Conditional on the latent field η, the number of points </w:t>
      </w:r>
      <w:r w:rsidRPr="00D22FFF">
        <w:rPr>
          <w:rFonts w:cstheme="minorHAnsi"/>
          <w:i/>
          <w:iCs/>
        </w:rPr>
        <w:t>y</w:t>
      </w:r>
      <w:r w:rsidRPr="00D22FFF">
        <w:rPr>
          <w:rFonts w:cstheme="minorHAnsi"/>
          <w:i/>
          <w:iCs/>
          <w:vertAlign w:val="subscript"/>
        </w:rPr>
        <w:t>ij</w:t>
      </w:r>
      <w:r w:rsidRPr="00D22FFF">
        <w:rPr>
          <w:rFonts w:cstheme="minorHAnsi"/>
        </w:rPr>
        <w:t> in grid cell </w:t>
      </w:r>
      <w:r w:rsidRPr="00D22FFF">
        <w:rPr>
          <w:rFonts w:cstheme="minorHAnsi"/>
          <w:i/>
          <w:iCs/>
        </w:rPr>
        <w:t>s</w:t>
      </w:r>
      <w:r w:rsidRPr="00D22FFF">
        <w:rPr>
          <w:rFonts w:cstheme="minorHAnsi"/>
          <w:i/>
          <w:iCs/>
          <w:vertAlign w:val="subscript"/>
        </w:rPr>
        <w:t>ij</w:t>
      </w:r>
      <w:r w:rsidRPr="00D22FFF">
        <w:rPr>
          <w:rFonts w:cstheme="minorHAnsi"/>
        </w:rPr>
        <w:t> (</w:t>
      </w:r>
      <w:r w:rsidRPr="00D22FFF">
        <w:rPr>
          <w:rFonts w:cstheme="minorHAnsi"/>
          <w:i/>
          <w:iCs/>
        </w:rPr>
        <w:t>i </w:t>
      </w:r>
      <w:r w:rsidRPr="00D22FFF">
        <w:rPr>
          <w:rFonts w:cstheme="minorHAnsi"/>
        </w:rPr>
        <w:t>=</w:t>
      </w:r>
      <w:r w:rsidRPr="00D22FFF">
        <w:rPr>
          <w:rFonts w:cstheme="minorHAnsi"/>
          <w:i/>
          <w:iCs/>
        </w:rPr>
        <w:t> </w:t>
      </w:r>
      <w:r w:rsidRPr="00D22FFF">
        <w:rPr>
          <w:rFonts w:cstheme="minorHAnsi"/>
        </w:rPr>
        <w:t>1, …, </w:t>
      </w:r>
      <w:r w:rsidRPr="00D22FFF">
        <w:rPr>
          <w:rFonts w:cstheme="minorHAnsi"/>
          <w:i/>
          <w:iCs/>
        </w:rPr>
        <w:t>p</w:t>
      </w:r>
      <w:r w:rsidRPr="00D22FFF">
        <w:rPr>
          <w:rFonts w:cstheme="minorHAnsi"/>
        </w:rPr>
        <w:t>;</w:t>
      </w:r>
      <w:r w:rsidRPr="00D22FFF">
        <w:rPr>
          <w:rFonts w:cstheme="minorHAnsi"/>
          <w:i/>
          <w:iCs/>
        </w:rPr>
        <w:t> j </w:t>
      </w:r>
      <w:r w:rsidRPr="00D22FFF">
        <w:rPr>
          <w:rFonts w:cstheme="minorHAnsi"/>
        </w:rPr>
        <w:t>=</w:t>
      </w:r>
      <w:r w:rsidRPr="00D22FFF">
        <w:rPr>
          <w:rFonts w:cstheme="minorHAnsi"/>
          <w:i/>
          <w:iCs/>
        </w:rPr>
        <w:t> </w:t>
      </w:r>
      <w:r w:rsidRPr="00D22FFF">
        <w:rPr>
          <w:rFonts w:cstheme="minorHAnsi"/>
        </w:rPr>
        <w:t>1, …, </w:t>
      </w:r>
      <w:r w:rsidRPr="00D22FFF">
        <w:rPr>
          <w:rFonts w:cstheme="minorHAnsi"/>
          <w:i/>
          <w:iCs/>
        </w:rPr>
        <w:t>q</w:t>
      </w:r>
      <w:r w:rsidRPr="00D22FFF">
        <w:rPr>
          <w:rFonts w:cstheme="minorHAnsi"/>
        </w:rPr>
        <w:t>) is assumed to be Poisson‐distributed, that is</w:t>
      </w:r>
      <w:r w:rsidR="00CE53F9">
        <w:rPr>
          <w:rFonts w:cstheme="minorHAnsi"/>
        </w:rPr>
        <w:t xml:space="preserve"> </w:t>
      </w:r>
      <w:r w:rsidR="002A0514">
        <w:rPr>
          <w:rFonts w:cstheme="minorHAnsi"/>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ij</m:t>
            </m:r>
          </m:sub>
        </m:sSub>
        <m:d>
          <m:dPr>
            <m:begChr m:val="|"/>
            <m:endChr m:val=""/>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η</m:t>
                </m:r>
              </m:e>
              <m:sub>
                <m:r>
                  <w:rPr>
                    <w:rFonts w:ascii="Cambria Math" w:hAnsi="Cambria Math" w:cstheme="minorHAnsi"/>
                    <w:sz w:val="24"/>
                    <w:szCs w:val="24"/>
                  </w:rPr>
                  <m:t>ij</m:t>
                </m:r>
              </m:sub>
            </m:sSub>
          </m:e>
        </m:d>
        <m:r>
          <m:rPr>
            <m:sty m:val="p"/>
          </m:rPr>
          <w:rPr>
            <w:rFonts w:ascii="Cambria Math" w:hAnsi="Cambria Math" w:cstheme="minorHAnsi"/>
            <w:sz w:val="24"/>
            <w:szCs w:val="24"/>
          </w:rPr>
          <m:t>~Po</m:t>
        </m:r>
        <m:d>
          <m:dPr>
            <m:ctrlPr>
              <w:rPr>
                <w:rFonts w:ascii="Cambria Math" w:hAnsi="Cambria Math" w:cstheme="minorHAnsi"/>
                <w:i/>
                <w:sz w:val="24"/>
                <w:szCs w:val="24"/>
              </w:rPr>
            </m:ctrlPr>
          </m:dPr>
          <m:e>
            <m:d>
              <m:dPr>
                <m:begChr m:val="|"/>
                <m:endChr m:val="|"/>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ij</m:t>
                    </m:r>
                  </m:sub>
                </m:sSub>
              </m:e>
            </m:d>
            <m:r>
              <m:rPr>
                <m:sty m:val="p"/>
              </m:rPr>
              <w:rPr>
                <w:rFonts w:ascii="Cambria Math" w:hAnsi="Cambria Math" w:cstheme="minorHAnsi"/>
                <w:sz w:val="24"/>
                <w:szCs w:val="24"/>
              </w:rPr>
              <m:t>exp</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η</m:t>
                    </m:r>
                  </m:e>
                  <m:sub>
                    <m:r>
                      <w:rPr>
                        <w:rFonts w:ascii="Cambria Math" w:hAnsi="Cambria Math" w:cstheme="minorHAnsi"/>
                        <w:sz w:val="24"/>
                        <w:szCs w:val="24"/>
                      </w:rPr>
                      <m:t>ij</m:t>
                    </m:r>
                  </m:sub>
                </m:sSub>
              </m:e>
            </m:d>
          </m:e>
        </m:d>
      </m:oMath>
      <w:r w:rsidRPr="00D22FFF">
        <w:rPr>
          <w:rFonts w:cstheme="minorHAnsi"/>
        </w:rPr>
        <w:t>, and conditional on the latent field </w:t>
      </w:r>
      <w:r w:rsidRPr="00D22FFF">
        <w:rPr>
          <w:rFonts w:cstheme="minorHAnsi"/>
          <w:i/>
          <w:iCs/>
        </w:rPr>
        <w:t>ν</w:t>
      </w:r>
      <w:r w:rsidRPr="00D22FFF">
        <w:rPr>
          <w:rFonts w:cstheme="minorHAnsi"/>
        </w:rPr>
        <w:t>, the value of the response variable AGB, </w:t>
      </w:r>
      <w:r w:rsidRPr="00D22FFF">
        <w:rPr>
          <w:rFonts w:cstheme="minorHAnsi"/>
          <w:i/>
          <w:iCs/>
        </w:rPr>
        <w:t>a</w:t>
      </w:r>
      <w:r w:rsidRPr="00D22FFF">
        <w:rPr>
          <w:rFonts w:cstheme="minorHAnsi"/>
          <w:i/>
          <w:iCs/>
          <w:vertAlign w:val="subscript"/>
        </w:rPr>
        <w:t>ij</w:t>
      </w:r>
      <w:r w:rsidRPr="00D22FFF">
        <w:rPr>
          <w:rFonts w:cstheme="minorHAnsi"/>
        </w:rPr>
        <w:t>, in that cell is assumed to be Gamma‐distributed.</w:t>
      </w:r>
    </w:p>
    <w:p w14:paraId="35F1ED59" w14:textId="77777777" w:rsidR="005E11F2" w:rsidRPr="00D22FFF" w:rsidRDefault="005E11F2" w:rsidP="005E11F2">
      <w:pPr>
        <w:numPr>
          <w:ilvl w:val="0"/>
          <w:numId w:val="2"/>
        </w:numPr>
        <w:spacing w:before="100" w:beforeAutospacing="1" w:after="100" w:afterAutospacing="1" w:line="240" w:lineRule="auto"/>
        <w:rPr>
          <w:rFonts w:cstheme="minorHAnsi"/>
        </w:rPr>
      </w:pPr>
      <w:r w:rsidRPr="00D22FFF">
        <w:rPr>
          <w:rFonts w:cstheme="minorHAnsi"/>
        </w:rPr>
        <w:t>The latent field η</w:t>
      </w:r>
      <w:r w:rsidRPr="00D22FFF">
        <w:rPr>
          <w:rFonts w:cstheme="minorHAnsi"/>
          <w:i/>
          <w:iCs/>
          <w:sz w:val="18"/>
          <w:szCs w:val="18"/>
          <w:vertAlign w:val="subscript"/>
        </w:rPr>
        <w:t>ij</w:t>
      </w:r>
      <w:r w:rsidRPr="00D22FFF">
        <w:rPr>
          <w:rFonts w:cstheme="minorHAnsi"/>
        </w:rPr>
        <w:t> is given as:</w:t>
      </w:r>
    </w:p>
    <w:p w14:paraId="5FF0F795" w14:textId="77777777" w:rsidR="00662ECA" w:rsidRDefault="005E11F2" w:rsidP="005E11F2">
      <w:pPr>
        <w:spacing w:after="0"/>
        <w:rPr>
          <w:rStyle w:val="inline-equationlabel"/>
          <w:rFonts w:cstheme="minorHAnsi"/>
        </w:rPr>
      </w:pPr>
      <w:r w:rsidRPr="00D22FFF">
        <w:rPr>
          <w:rFonts w:cstheme="minorHAnsi"/>
          <w:noProof/>
        </w:rPr>
        <w:drawing>
          <wp:inline distT="0" distB="0" distL="0" distR="0" wp14:anchorId="160076A0" wp14:editId="683EA4C2">
            <wp:extent cx="2247900" cy="219075"/>
            <wp:effectExtent l="0" t="0" r="0" b="9525"/>
            <wp:docPr id="3" name="Picture 3" descr="equatio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rn:x-wiley:00220477:media:jec12635:jec12635-math-0003"/>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2247900" cy="219075"/>
                    </a:xfrm>
                    <a:prstGeom prst="rect">
                      <a:avLst/>
                    </a:prstGeom>
                    <a:noFill/>
                    <a:ln>
                      <a:noFill/>
                    </a:ln>
                  </pic:spPr>
                </pic:pic>
              </a:graphicData>
            </a:graphic>
          </wp:inline>
        </w:drawing>
      </w:r>
    </w:p>
    <w:p w14:paraId="3132274A" w14:textId="630451CC" w:rsidR="00010EA3" w:rsidRPr="00010EA3" w:rsidRDefault="00FC7194" w:rsidP="00010EA3">
      <w:pPr>
        <w:spacing w:after="0"/>
        <w:rPr>
          <w:rFonts w:cstheme="minorHAnsi"/>
          <w:i/>
          <w:iCs/>
          <w:sz w:val="32"/>
          <w:szCs w:val="32"/>
          <w:vertAlign w:val="subscript"/>
        </w:rPr>
      </w:pPr>
      <m:oMathPara>
        <m:oMathParaPr>
          <m:jc m:val="left"/>
        </m:oMathParaPr>
        <m:oMath>
          <m:sSub>
            <m:sSubPr>
              <m:ctrlPr>
                <w:rPr>
                  <w:rFonts w:ascii="Cambria Math" w:hAnsi="Cambria Math" w:cstheme="minorHAnsi"/>
                  <w:i/>
                  <w:sz w:val="32"/>
                  <w:szCs w:val="32"/>
                </w:rPr>
              </m:ctrlPr>
            </m:sSubPr>
            <m:e>
              <m:r>
                <m:rPr>
                  <m:sty m:val="p"/>
                </m:rPr>
                <w:rPr>
                  <w:rFonts w:ascii="Cambria Math" w:hAnsi="Cambria Math" w:cstheme="minorHAnsi"/>
                  <w:sz w:val="32"/>
                  <w:szCs w:val="32"/>
                </w:rPr>
                <m:t>η</m:t>
              </m:r>
            </m:e>
            <m:sub>
              <m:r>
                <w:rPr>
                  <w:rFonts w:ascii="Cambria Math" w:hAnsi="Cambria Math" w:cstheme="minorHAnsi"/>
                  <w:sz w:val="32"/>
                  <w:szCs w:val="32"/>
                </w:rPr>
                <m:t>ij</m:t>
              </m:r>
            </m:sub>
          </m:sSub>
          <m:r>
            <w:rPr>
              <w:rFonts w:ascii="Cambria Math" w:hAnsi="Cambria Math" w:cstheme="minorHAnsi"/>
              <w:sz w:val="32"/>
              <w:szCs w:val="32"/>
            </w:rPr>
            <m:t xml:space="preserve">= </m:t>
          </m:r>
          <m:sSub>
            <m:sSubPr>
              <m:ctrlPr>
                <w:rPr>
                  <w:rFonts w:ascii="Cambria Math" w:hAnsi="Cambria Math" w:cstheme="minorHAnsi"/>
                  <w:iCs/>
                  <w:sz w:val="32"/>
                  <w:szCs w:val="32"/>
                </w:rPr>
              </m:ctrlPr>
            </m:sSubPr>
            <m:e>
              <m:r>
                <m:rPr>
                  <m:sty m:val="p"/>
                </m:rPr>
                <w:rPr>
                  <w:rFonts w:ascii="Cambria Math" w:hAnsi="Cambria Math" w:cstheme="minorHAnsi"/>
                  <w:sz w:val="32"/>
                  <w:szCs w:val="32"/>
                </w:rPr>
                <m:t>α</m:t>
              </m:r>
            </m:e>
            <m:sub>
              <m:r>
                <m:rPr>
                  <m:sty m:val="p"/>
                </m:rPr>
                <w:rPr>
                  <w:rFonts w:ascii="Cambria Math" w:hAnsi="Cambria Math" w:cstheme="minorHAnsi"/>
                  <w:sz w:val="32"/>
                  <w:szCs w:val="32"/>
                </w:rPr>
                <m:t>η</m:t>
              </m:r>
            </m:sub>
          </m:sSub>
          <m:r>
            <w:rPr>
              <w:rFonts w:ascii="Cambria Math" w:hAnsi="Cambria Math" w:cstheme="minorHAnsi"/>
              <w:sz w:val="32"/>
              <w:szCs w:val="32"/>
            </w:rPr>
            <m:t xml:space="preserve"> +</m:t>
          </m:r>
          <m:nary>
            <m:naryPr>
              <m:chr m:val="∑"/>
              <m:limLoc m:val="undOvr"/>
              <m:subHide m:val="1"/>
              <m:supHide m:val="1"/>
              <m:ctrlPr>
                <w:rPr>
                  <w:rFonts w:ascii="Cambria Math" w:hAnsi="Cambria Math" w:cstheme="minorHAnsi"/>
                  <w:i/>
                  <w:sz w:val="32"/>
                  <w:szCs w:val="32"/>
                </w:rPr>
              </m:ctrlPr>
            </m:naryPr>
            <m:sub/>
            <m:sup/>
            <m:e>
              <m:sSub>
                <m:sSubPr>
                  <m:ctrlPr>
                    <w:rPr>
                      <w:rFonts w:ascii="Cambria Math" w:hAnsi="Cambria Math" w:cstheme="minorHAnsi"/>
                      <w:iCs/>
                      <w:sz w:val="32"/>
                      <w:szCs w:val="32"/>
                    </w:rPr>
                  </m:ctrlPr>
                </m:sSubPr>
                <m:e>
                  <m:r>
                    <m:rPr>
                      <m:sty m:val="p"/>
                    </m:rPr>
                    <w:rPr>
                      <w:rFonts w:ascii="Cambria Math" w:hAnsi="Cambria Math" w:cstheme="minorHAnsi"/>
                      <w:sz w:val="32"/>
                      <w:szCs w:val="32"/>
                    </w:rPr>
                    <m:t>β</m:t>
                  </m:r>
                </m:e>
                <m:sub>
                  <m:r>
                    <w:rPr>
                      <w:rFonts w:ascii="Cambria Math" w:hAnsi="Cambria Math" w:cstheme="minorHAnsi"/>
                      <w:sz w:val="32"/>
                      <w:szCs w:val="32"/>
                    </w:rPr>
                    <m:t>pi</m:t>
                  </m:r>
                </m:sub>
              </m:sSub>
              <m:sSub>
                <m:sSubPr>
                  <m:ctrlPr>
                    <w:rPr>
                      <w:rFonts w:ascii="Cambria Math" w:hAnsi="Cambria Math" w:cstheme="minorHAnsi"/>
                      <w:i/>
                      <w:iCs/>
                      <w:sz w:val="32"/>
                      <w:szCs w:val="32"/>
                    </w:rPr>
                  </m:ctrlPr>
                </m:sSubPr>
                <m:e>
                  <m:r>
                    <w:rPr>
                      <w:rFonts w:ascii="Cambria Math" w:hAnsi="Cambria Math" w:cstheme="minorHAnsi"/>
                      <w:sz w:val="32"/>
                      <w:szCs w:val="32"/>
                    </w:rPr>
                    <m:t>z</m:t>
                  </m:r>
                </m:e>
                <m:sub>
                  <m:r>
                    <w:rPr>
                      <w:rFonts w:ascii="Cambria Math" w:hAnsi="Cambria Math" w:cstheme="minorHAnsi"/>
                      <w:sz w:val="32"/>
                      <w:szCs w:val="32"/>
                    </w:rPr>
                    <m:t>ij</m:t>
                  </m:r>
                </m:sub>
              </m:sSub>
              <m:r>
                <w:rPr>
                  <w:rFonts w:ascii="Cambria Math" w:hAnsi="Cambria Math" w:cstheme="minorHAnsi"/>
                  <w:sz w:val="32"/>
                  <w:szCs w:val="32"/>
                </w:rPr>
                <m:t xml:space="preserve">+ </m:t>
              </m:r>
              <m:sSub>
                <m:sSubPr>
                  <m:ctrlPr>
                    <w:rPr>
                      <w:rFonts w:ascii="Cambria Math" w:hAnsi="Cambria Math" w:cstheme="minorHAnsi"/>
                      <w:i/>
                      <w:iCs/>
                      <w:sz w:val="32"/>
                      <w:szCs w:val="32"/>
                    </w:rPr>
                  </m:ctrlPr>
                </m:sSubPr>
                <m:e>
                  <m:r>
                    <w:rPr>
                      <w:rFonts w:ascii="Cambria Math" w:hAnsi="Cambria Math" w:cstheme="minorHAnsi"/>
                      <w:sz w:val="32"/>
                      <w:szCs w:val="32"/>
                    </w:rPr>
                    <m:t>f</m:t>
                  </m:r>
                </m:e>
                <m:sub>
                  <m:r>
                    <w:rPr>
                      <w:rFonts w:ascii="Cambria Math" w:hAnsi="Cambria Math" w:cstheme="minorHAnsi"/>
                      <w:sz w:val="32"/>
                      <w:szCs w:val="32"/>
                    </w:rPr>
                    <m:t>s</m:t>
                  </m:r>
                </m:sub>
              </m:sSub>
              <m:r>
                <w:rPr>
                  <w:rFonts w:ascii="Cambria Math" w:hAnsi="Cambria Math" w:cstheme="minorHAnsi"/>
                  <w:sz w:val="32"/>
                  <w:szCs w:val="32"/>
                </w:rPr>
                <m:t>(</m:t>
              </m:r>
              <m:sSub>
                <m:sSubPr>
                  <m:ctrlPr>
                    <w:rPr>
                      <w:rFonts w:ascii="Cambria Math" w:hAnsi="Cambria Math" w:cstheme="minorHAnsi"/>
                      <w:i/>
                      <w:iCs/>
                      <w:sz w:val="32"/>
                      <w:szCs w:val="32"/>
                    </w:rPr>
                  </m:ctrlPr>
                </m:sSubPr>
                <m:e>
                  <m:r>
                    <w:rPr>
                      <w:rFonts w:ascii="Cambria Math" w:hAnsi="Cambria Math" w:cstheme="minorHAnsi"/>
                      <w:sz w:val="32"/>
                      <w:szCs w:val="32"/>
                    </w:rPr>
                    <m:t>s</m:t>
                  </m:r>
                </m:e>
                <m:sub>
                  <m:r>
                    <w:rPr>
                      <w:rFonts w:ascii="Cambria Math" w:hAnsi="Cambria Math" w:cstheme="minorHAnsi"/>
                      <w:sz w:val="32"/>
                      <w:szCs w:val="32"/>
                    </w:rPr>
                    <m:t>ij</m:t>
                  </m:r>
                </m:sub>
              </m:sSub>
              <m:r>
                <w:rPr>
                  <w:rFonts w:ascii="Cambria Math" w:hAnsi="Cambria Math" w:cstheme="minorHAnsi"/>
                  <w:sz w:val="32"/>
                  <w:szCs w:val="32"/>
                </w:rPr>
                <m:t xml:space="preserve">)+ </m:t>
              </m:r>
              <m:sSub>
                <m:sSubPr>
                  <m:ctrlPr>
                    <w:rPr>
                      <w:rFonts w:ascii="Cambria Math" w:hAnsi="Cambria Math" w:cstheme="minorHAnsi"/>
                      <w:i/>
                      <w:iCs/>
                      <w:sz w:val="32"/>
                      <w:szCs w:val="32"/>
                    </w:rPr>
                  </m:ctrlPr>
                </m:sSubPr>
                <m:e>
                  <m:r>
                    <w:rPr>
                      <w:rFonts w:ascii="Cambria Math" w:hAnsi="Cambria Math" w:cstheme="minorHAnsi"/>
                      <w:sz w:val="32"/>
                      <w:szCs w:val="32"/>
                    </w:rPr>
                    <m:t>e</m:t>
                  </m:r>
                </m:e>
                <m:sub>
                  <m:sSub>
                    <m:sSubPr>
                      <m:ctrlPr>
                        <w:rPr>
                          <w:rFonts w:ascii="Cambria Math" w:hAnsi="Cambria Math" w:cstheme="minorHAnsi"/>
                          <w:i/>
                          <w:iCs/>
                          <w:sz w:val="32"/>
                          <w:szCs w:val="32"/>
                        </w:rPr>
                      </m:ctrlPr>
                    </m:sSubPr>
                    <m:e>
                      <m:r>
                        <w:rPr>
                          <w:rFonts w:ascii="Cambria Math" w:hAnsi="Cambria Math" w:cstheme="minorHAnsi"/>
                          <w:sz w:val="32"/>
                          <w:szCs w:val="32"/>
                        </w:rPr>
                        <m:t>p</m:t>
                      </m:r>
                    </m:e>
                    <m:sub>
                      <m:r>
                        <w:rPr>
                          <w:rFonts w:ascii="Cambria Math" w:hAnsi="Cambria Math" w:cstheme="minorHAnsi"/>
                          <w:sz w:val="32"/>
                          <w:szCs w:val="32"/>
                          <w:vertAlign w:val="subscript"/>
                        </w:rPr>
                        <m:t>ij</m:t>
                      </m:r>
                    </m:sub>
                  </m:sSub>
                </m:sub>
              </m:sSub>
            </m:e>
          </m:nary>
          <m:r>
            <w:rPr>
              <w:rFonts w:ascii="Cambria Math" w:hAnsi="Cambria Math" w:cstheme="minorHAnsi"/>
              <w:sz w:val="32"/>
              <w:szCs w:val="32"/>
            </w:rPr>
            <m:t xml:space="preserve"> </m:t>
          </m:r>
        </m:oMath>
      </m:oMathPara>
    </w:p>
    <w:p w14:paraId="1D2B4F3E" w14:textId="6C19FD13" w:rsidR="005E11F2" w:rsidRPr="00D22FFF" w:rsidRDefault="00010EA3" w:rsidP="00010EA3">
      <w:pPr>
        <w:spacing w:after="0"/>
        <w:rPr>
          <w:rFonts w:cstheme="minorHAnsi"/>
        </w:rPr>
      </w:pPr>
      <w:r w:rsidRPr="00010EA3">
        <w:rPr>
          <w:rFonts w:cstheme="minorHAnsi"/>
        </w:rPr>
        <w:t xml:space="preserve"> </w:t>
      </w:r>
      <w:r w:rsidR="005E11F2" w:rsidRPr="00D22FFF">
        <w:rPr>
          <w:rStyle w:val="inline-equationlabel"/>
          <w:rFonts w:cstheme="minorHAnsi"/>
        </w:rPr>
        <w:t>(eqn 1)</w:t>
      </w:r>
    </w:p>
    <w:p w14:paraId="218BC42F" w14:textId="77777777" w:rsidR="005E11F2" w:rsidRPr="00D22FFF" w:rsidRDefault="005E11F2" w:rsidP="005E11F2">
      <w:pPr>
        <w:rPr>
          <w:rFonts w:cstheme="minorHAnsi"/>
        </w:rPr>
      </w:pPr>
      <w:r w:rsidRPr="00D22FFF">
        <w:rPr>
          <w:rFonts w:cstheme="minorHAnsi"/>
        </w:rPr>
        <w:t>and</w:t>
      </w:r>
    </w:p>
    <w:p w14:paraId="09F1FD91" w14:textId="77777777" w:rsidR="005E11F2" w:rsidRPr="00D22FFF" w:rsidRDefault="005E11F2" w:rsidP="005E11F2">
      <w:pPr>
        <w:numPr>
          <w:ilvl w:val="0"/>
          <w:numId w:val="3"/>
        </w:numPr>
        <w:spacing w:before="100" w:beforeAutospacing="1" w:after="100" w:afterAutospacing="1" w:line="240" w:lineRule="auto"/>
        <w:rPr>
          <w:rFonts w:cstheme="minorHAnsi"/>
        </w:rPr>
      </w:pPr>
      <w:r w:rsidRPr="00D22FFF">
        <w:rPr>
          <w:rFonts w:cstheme="minorHAnsi"/>
        </w:rPr>
        <w:t>the latent field </w:t>
      </w:r>
      <w:r w:rsidRPr="00D22FFF">
        <w:rPr>
          <w:rFonts w:cstheme="minorHAnsi"/>
          <w:i/>
          <w:iCs/>
        </w:rPr>
        <w:t>v</w:t>
      </w:r>
      <w:r w:rsidRPr="00D22FFF">
        <w:rPr>
          <w:rFonts w:cstheme="minorHAnsi"/>
          <w:i/>
          <w:iCs/>
          <w:sz w:val="18"/>
          <w:szCs w:val="18"/>
          <w:vertAlign w:val="subscript"/>
        </w:rPr>
        <w:t>ij</w:t>
      </w:r>
      <w:r w:rsidRPr="00D22FFF">
        <w:rPr>
          <w:rFonts w:cstheme="minorHAnsi"/>
        </w:rPr>
        <w:t> is given as:</w:t>
      </w:r>
    </w:p>
    <w:p w14:paraId="06B67B19" w14:textId="77777777" w:rsidR="00912B90" w:rsidRDefault="005E11F2" w:rsidP="005E11F2">
      <w:pPr>
        <w:spacing w:after="0"/>
        <w:rPr>
          <w:rStyle w:val="inline-equationlabel"/>
          <w:rFonts w:cstheme="minorHAnsi"/>
        </w:rPr>
      </w:pPr>
      <w:r w:rsidRPr="00D22FFF">
        <w:rPr>
          <w:rFonts w:cstheme="minorHAnsi"/>
          <w:noProof/>
        </w:rPr>
        <w:drawing>
          <wp:inline distT="0" distB="0" distL="0" distR="0" wp14:anchorId="2AD3A6A7" wp14:editId="60B11474">
            <wp:extent cx="2228850" cy="219075"/>
            <wp:effectExtent l="0" t="0" r="0" b="9525"/>
            <wp:docPr id="2" name="Picture 2" descr="Equatio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rn:x-wiley:00220477:media:jec12635:jec12635-math-0004"/>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2228850" cy="219075"/>
                    </a:xfrm>
                    <a:prstGeom prst="rect">
                      <a:avLst/>
                    </a:prstGeom>
                    <a:noFill/>
                    <a:ln>
                      <a:noFill/>
                    </a:ln>
                  </pic:spPr>
                </pic:pic>
              </a:graphicData>
            </a:graphic>
          </wp:inline>
        </w:drawing>
      </w:r>
    </w:p>
    <w:p w14:paraId="2495F731" w14:textId="00E689B3" w:rsidR="00912B90" w:rsidRPr="00E05F71" w:rsidRDefault="00FC7194" w:rsidP="005E11F2">
      <w:pPr>
        <w:spacing w:after="0"/>
        <w:rPr>
          <w:rStyle w:val="inline-equationlabel"/>
          <w:rFonts w:cstheme="minorHAnsi"/>
        </w:rPr>
      </w:pPr>
      <m:oMathPara>
        <m:oMathParaPr>
          <m:jc m:val="left"/>
        </m:oMathParaPr>
        <m:oMath>
          <m:sSub>
            <m:sSubPr>
              <m:ctrlPr>
                <w:rPr>
                  <w:rFonts w:ascii="Cambria Math" w:hAnsi="Cambria Math" w:cstheme="minorHAnsi"/>
                  <w:i/>
                  <w:sz w:val="32"/>
                  <w:szCs w:val="32"/>
                </w:rPr>
              </m:ctrlPr>
            </m:sSubPr>
            <m:e>
              <m:r>
                <m:rPr>
                  <m:sty m:val="p"/>
                </m:rPr>
                <w:rPr>
                  <w:rFonts w:ascii="Cambria Math" w:hAnsi="Cambria Math" w:cstheme="minorHAnsi"/>
                  <w:sz w:val="32"/>
                  <w:szCs w:val="32"/>
                </w:rPr>
                <m:t>v</m:t>
              </m:r>
            </m:e>
            <m:sub>
              <m:r>
                <w:rPr>
                  <w:rFonts w:ascii="Cambria Math" w:hAnsi="Cambria Math" w:cstheme="minorHAnsi"/>
                  <w:sz w:val="32"/>
                  <w:szCs w:val="32"/>
                </w:rPr>
                <m:t>ij</m:t>
              </m:r>
            </m:sub>
          </m:sSub>
          <m:r>
            <w:rPr>
              <w:rFonts w:ascii="Cambria Math" w:hAnsi="Cambria Math" w:cstheme="minorHAnsi"/>
              <w:sz w:val="32"/>
              <w:szCs w:val="32"/>
            </w:rPr>
            <m:t xml:space="preserve">= </m:t>
          </m:r>
          <m:sSub>
            <m:sSubPr>
              <m:ctrlPr>
                <w:rPr>
                  <w:rFonts w:ascii="Cambria Math" w:hAnsi="Cambria Math" w:cstheme="minorHAnsi"/>
                  <w:iCs/>
                  <w:sz w:val="32"/>
                  <w:szCs w:val="32"/>
                </w:rPr>
              </m:ctrlPr>
            </m:sSubPr>
            <m:e>
              <m:r>
                <m:rPr>
                  <m:sty m:val="p"/>
                </m:rPr>
                <w:rPr>
                  <w:rFonts w:ascii="Cambria Math" w:hAnsi="Cambria Math" w:cstheme="minorHAnsi"/>
                  <w:sz w:val="32"/>
                  <w:szCs w:val="32"/>
                </w:rPr>
                <m:t>α</m:t>
              </m:r>
            </m:e>
            <m:sub>
              <m:r>
                <w:rPr>
                  <w:rFonts w:ascii="Cambria Math" w:hAnsi="Cambria Math" w:cstheme="minorHAnsi"/>
                  <w:sz w:val="32"/>
                  <w:szCs w:val="32"/>
                </w:rPr>
                <m:t>v</m:t>
              </m:r>
            </m:sub>
          </m:sSub>
          <m:r>
            <w:rPr>
              <w:rFonts w:ascii="Cambria Math" w:hAnsi="Cambria Math" w:cstheme="minorHAnsi"/>
              <w:sz w:val="32"/>
              <w:szCs w:val="32"/>
            </w:rPr>
            <m:t xml:space="preserve"> +</m:t>
          </m:r>
          <m:nary>
            <m:naryPr>
              <m:chr m:val="∑"/>
              <m:limLoc m:val="undOvr"/>
              <m:subHide m:val="1"/>
              <m:supHide m:val="1"/>
              <m:ctrlPr>
                <w:rPr>
                  <w:rFonts w:ascii="Cambria Math" w:hAnsi="Cambria Math" w:cstheme="minorHAnsi"/>
                  <w:i/>
                  <w:sz w:val="32"/>
                  <w:szCs w:val="32"/>
                </w:rPr>
              </m:ctrlPr>
            </m:naryPr>
            <m:sub/>
            <m:sup/>
            <m:e>
              <m:sSub>
                <m:sSubPr>
                  <m:ctrlPr>
                    <w:rPr>
                      <w:rFonts w:ascii="Cambria Math" w:hAnsi="Cambria Math" w:cstheme="minorHAnsi"/>
                      <w:iCs/>
                      <w:sz w:val="32"/>
                      <w:szCs w:val="32"/>
                    </w:rPr>
                  </m:ctrlPr>
                </m:sSubPr>
                <m:e>
                  <m:r>
                    <m:rPr>
                      <m:sty m:val="p"/>
                    </m:rPr>
                    <w:rPr>
                      <w:rFonts w:ascii="Cambria Math" w:hAnsi="Cambria Math" w:cstheme="minorHAnsi"/>
                      <w:sz w:val="32"/>
                      <w:szCs w:val="32"/>
                    </w:rPr>
                    <m:t>β</m:t>
                  </m:r>
                </m:e>
                <m:sub>
                  <m:r>
                    <w:rPr>
                      <w:rFonts w:ascii="Cambria Math" w:hAnsi="Cambria Math" w:cstheme="minorHAnsi"/>
                      <w:sz w:val="32"/>
                      <w:szCs w:val="32"/>
                    </w:rPr>
                    <m:t>mi</m:t>
                  </m:r>
                </m:sub>
              </m:sSub>
              <m:sSub>
                <m:sSubPr>
                  <m:ctrlPr>
                    <w:rPr>
                      <w:rFonts w:ascii="Cambria Math" w:hAnsi="Cambria Math" w:cstheme="minorHAnsi"/>
                      <w:i/>
                      <w:iCs/>
                      <w:sz w:val="32"/>
                      <w:szCs w:val="32"/>
                    </w:rPr>
                  </m:ctrlPr>
                </m:sSubPr>
                <m:e>
                  <m:r>
                    <w:rPr>
                      <w:rFonts w:ascii="Cambria Math" w:hAnsi="Cambria Math" w:cstheme="minorHAnsi"/>
                      <w:sz w:val="32"/>
                      <w:szCs w:val="32"/>
                    </w:rPr>
                    <m:t>z</m:t>
                  </m:r>
                </m:e>
                <m:sub>
                  <m:r>
                    <w:rPr>
                      <w:rFonts w:ascii="Cambria Math" w:hAnsi="Cambria Math" w:cstheme="minorHAnsi"/>
                      <w:sz w:val="32"/>
                      <w:szCs w:val="32"/>
                    </w:rPr>
                    <m:t>ij</m:t>
                  </m:r>
                </m:sub>
              </m:sSub>
              <m:r>
                <w:rPr>
                  <w:rFonts w:ascii="Cambria Math" w:hAnsi="Cambria Math" w:cstheme="minorHAnsi"/>
                  <w:sz w:val="32"/>
                  <w:szCs w:val="32"/>
                </w:rPr>
                <m:t xml:space="preserve">+ </m:t>
              </m:r>
              <m:sSub>
                <m:sSubPr>
                  <m:ctrlPr>
                    <w:rPr>
                      <w:rFonts w:ascii="Cambria Math" w:hAnsi="Cambria Math" w:cstheme="minorHAnsi"/>
                      <w:i/>
                      <w:iCs/>
                      <w:sz w:val="32"/>
                      <w:szCs w:val="32"/>
                    </w:rPr>
                  </m:ctrlPr>
                </m:sSubPr>
                <m:e>
                  <m:r>
                    <w:rPr>
                      <w:rFonts w:ascii="Cambria Math" w:hAnsi="Cambria Math" w:cstheme="minorHAnsi"/>
                      <w:sz w:val="32"/>
                      <w:szCs w:val="32"/>
                    </w:rPr>
                    <m:t>f</m:t>
                  </m:r>
                </m:e>
                <m:sub>
                  <m:r>
                    <w:rPr>
                      <w:rFonts w:ascii="Cambria Math" w:hAnsi="Cambria Math" w:cstheme="minorHAnsi"/>
                      <w:sz w:val="32"/>
                      <w:szCs w:val="32"/>
                    </w:rPr>
                    <m:t>s</m:t>
                  </m:r>
                </m:sub>
              </m:sSub>
              <m:r>
                <w:rPr>
                  <w:rFonts w:ascii="Cambria Math" w:hAnsi="Cambria Math" w:cstheme="minorHAnsi"/>
                  <w:sz w:val="32"/>
                  <w:szCs w:val="32"/>
                </w:rPr>
                <m:t>(</m:t>
              </m:r>
              <m:sSub>
                <m:sSubPr>
                  <m:ctrlPr>
                    <w:rPr>
                      <w:rFonts w:ascii="Cambria Math" w:hAnsi="Cambria Math" w:cstheme="minorHAnsi"/>
                      <w:i/>
                      <w:iCs/>
                      <w:sz w:val="32"/>
                      <w:szCs w:val="32"/>
                    </w:rPr>
                  </m:ctrlPr>
                </m:sSubPr>
                <m:e>
                  <m:r>
                    <w:rPr>
                      <w:rFonts w:ascii="Cambria Math" w:hAnsi="Cambria Math" w:cstheme="minorHAnsi"/>
                      <w:sz w:val="32"/>
                      <w:szCs w:val="32"/>
                    </w:rPr>
                    <m:t>s</m:t>
                  </m:r>
                </m:e>
                <m:sub>
                  <m:r>
                    <w:rPr>
                      <w:rFonts w:ascii="Cambria Math" w:hAnsi="Cambria Math" w:cstheme="minorHAnsi"/>
                      <w:sz w:val="32"/>
                      <w:szCs w:val="32"/>
                    </w:rPr>
                    <m:t>ij</m:t>
                  </m:r>
                </m:sub>
              </m:sSub>
              <m:r>
                <w:rPr>
                  <w:rFonts w:ascii="Cambria Math" w:hAnsi="Cambria Math" w:cstheme="minorHAnsi"/>
                  <w:sz w:val="32"/>
                  <w:szCs w:val="32"/>
                </w:rPr>
                <m:t xml:space="preserve">)+ </m:t>
              </m:r>
              <m:sSub>
                <m:sSubPr>
                  <m:ctrlPr>
                    <w:rPr>
                      <w:rFonts w:ascii="Cambria Math" w:hAnsi="Cambria Math" w:cstheme="minorHAnsi"/>
                      <w:i/>
                      <w:iCs/>
                      <w:sz w:val="32"/>
                      <w:szCs w:val="32"/>
                    </w:rPr>
                  </m:ctrlPr>
                </m:sSubPr>
                <m:e>
                  <m:r>
                    <w:rPr>
                      <w:rFonts w:ascii="Cambria Math" w:hAnsi="Cambria Math" w:cstheme="minorHAnsi"/>
                      <w:sz w:val="32"/>
                      <w:szCs w:val="32"/>
                    </w:rPr>
                    <m:t>e</m:t>
                  </m:r>
                </m:e>
                <m:sub>
                  <m:sSub>
                    <m:sSubPr>
                      <m:ctrlPr>
                        <w:rPr>
                          <w:rFonts w:ascii="Cambria Math" w:hAnsi="Cambria Math" w:cstheme="minorHAnsi"/>
                          <w:i/>
                          <w:iCs/>
                          <w:sz w:val="32"/>
                          <w:szCs w:val="32"/>
                        </w:rPr>
                      </m:ctrlPr>
                    </m:sSubPr>
                    <m:e>
                      <m:r>
                        <w:rPr>
                          <w:rFonts w:ascii="Cambria Math" w:hAnsi="Cambria Math" w:cstheme="minorHAnsi"/>
                          <w:sz w:val="32"/>
                          <w:szCs w:val="32"/>
                        </w:rPr>
                        <m:t>m</m:t>
                      </m:r>
                    </m:e>
                    <m:sub>
                      <m:r>
                        <w:rPr>
                          <w:rFonts w:ascii="Cambria Math" w:hAnsi="Cambria Math" w:cstheme="minorHAnsi"/>
                          <w:sz w:val="32"/>
                          <w:szCs w:val="32"/>
                          <w:vertAlign w:val="subscript"/>
                        </w:rPr>
                        <m:t>ij</m:t>
                      </m:r>
                    </m:sub>
                  </m:sSub>
                </m:sub>
              </m:sSub>
            </m:e>
          </m:nary>
        </m:oMath>
      </m:oMathPara>
    </w:p>
    <w:p w14:paraId="239969E3" w14:textId="219D24B5" w:rsidR="005E11F2" w:rsidRPr="00D22FFF" w:rsidRDefault="005E11F2" w:rsidP="005E11F2">
      <w:pPr>
        <w:spacing w:after="0"/>
        <w:rPr>
          <w:rFonts w:cstheme="minorHAnsi"/>
        </w:rPr>
      </w:pPr>
      <w:r w:rsidRPr="00D22FFF">
        <w:rPr>
          <w:rStyle w:val="inline-equationlabel"/>
          <w:rFonts w:cstheme="minorHAnsi"/>
        </w:rPr>
        <w:t>(eqn 2)</w:t>
      </w:r>
    </w:p>
    <w:p w14:paraId="4F7FE482" w14:textId="77777777" w:rsidR="005E11F2" w:rsidRPr="00D22FFF" w:rsidRDefault="005E11F2" w:rsidP="005E11F2">
      <w:pPr>
        <w:rPr>
          <w:rFonts w:cstheme="minorHAnsi"/>
        </w:rPr>
      </w:pPr>
      <w:r w:rsidRPr="00D22FFF">
        <w:rPr>
          <w:rFonts w:cstheme="minorHAnsi"/>
        </w:rPr>
        <w:t>where α</w:t>
      </w:r>
      <w:r w:rsidRPr="00D22FFF">
        <w:rPr>
          <w:rFonts w:cstheme="minorHAnsi"/>
          <w:sz w:val="18"/>
          <w:szCs w:val="18"/>
          <w:vertAlign w:val="subscript"/>
        </w:rPr>
        <w:t>η</w:t>
      </w:r>
      <w:r w:rsidRPr="00D22FFF">
        <w:rPr>
          <w:rFonts w:cstheme="minorHAnsi"/>
        </w:rPr>
        <w:t> and α</w:t>
      </w:r>
      <w:r w:rsidRPr="00D22FFF">
        <w:rPr>
          <w:rFonts w:cstheme="minorHAnsi"/>
          <w:i/>
          <w:iCs/>
          <w:sz w:val="18"/>
          <w:szCs w:val="18"/>
          <w:vertAlign w:val="subscript"/>
        </w:rPr>
        <w:t>v</w:t>
      </w:r>
      <w:r w:rsidRPr="00D22FFF">
        <w:rPr>
          <w:rFonts w:cstheme="minorHAnsi"/>
        </w:rPr>
        <w:t> are intercept terms, β</w:t>
      </w:r>
      <w:r w:rsidRPr="00D22FFF">
        <w:rPr>
          <w:rFonts w:cstheme="minorHAnsi"/>
          <w:i/>
          <w:iCs/>
          <w:sz w:val="18"/>
          <w:szCs w:val="18"/>
          <w:vertAlign w:val="subscript"/>
        </w:rPr>
        <w:t>k</w:t>
      </w:r>
      <w:r w:rsidRPr="00D22FFF">
        <w:rPr>
          <w:rFonts w:cstheme="minorHAnsi"/>
        </w:rPr>
        <w:t> are parameters reflecting linear effects of explanatory covariates </w:t>
      </w:r>
      <w:r w:rsidRPr="00D22FFF">
        <w:rPr>
          <w:rFonts w:cstheme="minorHAnsi"/>
          <w:i/>
          <w:iCs/>
        </w:rPr>
        <w:t>z</w:t>
      </w:r>
      <w:r w:rsidRPr="00D22FFF">
        <w:rPr>
          <w:rFonts w:cstheme="minorHAnsi"/>
          <w:i/>
          <w:iCs/>
          <w:sz w:val="18"/>
          <w:szCs w:val="18"/>
          <w:vertAlign w:val="subscript"/>
        </w:rPr>
        <w:t>kij</w:t>
      </w:r>
      <w:r w:rsidRPr="00D22FFF">
        <w:rPr>
          <w:rFonts w:cstheme="minorHAnsi"/>
        </w:rPr>
        <w:t> in grid (the corresponding grid size in each case), </w:t>
      </w:r>
      <w:r w:rsidRPr="00D22FFF">
        <w:rPr>
          <w:rFonts w:cstheme="minorHAnsi"/>
          <w:i/>
          <w:iCs/>
        </w:rPr>
        <w:t>f</w:t>
      </w:r>
      <w:r w:rsidRPr="00D22FFF">
        <w:rPr>
          <w:rFonts w:cstheme="minorHAnsi"/>
          <w:i/>
          <w:iCs/>
          <w:sz w:val="18"/>
          <w:szCs w:val="18"/>
          <w:vertAlign w:val="subscript"/>
        </w:rPr>
        <w:t>s</w:t>
      </w:r>
      <w:r w:rsidRPr="00D22FFF">
        <w:rPr>
          <w:rFonts w:cstheme="minorHAnsi"/>
        </w:rPr>
        <w:t>(</w:t>
      </w:r>
      <w:r w:rsidRPr="00D22FFF">
        <w:rPr>
          <w:rFonts w:cstheme="minorHAnsi"/>
          <w:i/>
          <w:iCs/>
        </w:rPr>
        <w:t>s</w:t>
      </w:r>
      <w:r w:rsidRPr="00D22FFF">
        <w:rPr>
          <w:rFonts w:cstheme="minorHAnsi"/>
          <w:i/>
          <w:iCs/>
          <w:sz w:val="18"/>
          <w:szCs w:val="18"/>
          <w:vertAlign w:val="subscript"/>
        </w:rPr>
        <w:t>ij</w:t>
      </w:r>
      <w:r w:rsidRPr="00D22FFF">
        <w:rPr>
          <w:rFonts w:cstheme="minorHAnsi"/>
        </w:rPr>
        <w:t>) is the spatially structured effect GMRF in grid cell </w:t>
      </w:r>
      <w:r w:rsidRPr="00D22FFF">
        <w:rPr>
          <w:rFonts w:cstheme="minorHAnsi"/>
          <w:i/>
          <w:iCs/>
        </w:rPr>
        <w:t>s</w:t>
      </w:r>
      <w:r w:rsidRPr="00D22FFF">
        <w:rPr>
          <w:rFonts w:cstheme="minorHAnsi"/>
          <w:i/>
          <w:iCs/>
          <w:sz w:val="18"/>
          <w:szCs w:val="18"/>
          <w:vertAlign w:val="subscript"/>
        </w:rPr>
        <w:t>ij</w:t>
      </w:r>
      <w:r w:rsidRPr="00D22FFF">
        <w:rPr>
          <w:rFonts w:cstheme="minorHAnsi"/>
        </w:rPr>
        <w:t>, modelled using a two‐dimensional random walk. The </w:t>
      </w:r>
      <w:r w:rsidRPr="00D22FFF">
        <w:rPr>
          <w:rFonts w:cstheme="minorHAnsi"/>
          <w:i/>
          <w:iCs/>
        </w:rPr>
        <w:t>e</w:t>
      </w:r>
      <w:r w:rsidRPr="00D22FFF">
        <w:rPr>
          <w:rFonts w:cstheme="minorHAnsi"/>
          <w:i/>
          <w:iCs/>
          <w:sz w:val="18"/>
          <w:szCs w:val="18"/>
          <w:vertAlign w:val="subscript"/>
        </w:rPr>
        <w:t>ij</w:t>
      </w:r>
      <w:r w:rsidRPr="00D22FFF">
        <w:rPr>
          <w:rFonts w:cstheme="minorHAnsi"/>
        </w:rPr>
        <w:t> are unstructured, independent and identically distributed random variables (iid), that is error terms, following a normal distribution. Total AGB (</w:t>
      </w:r>
      <w:r w:rsidRPr="00D22FFF">
        <w:rPr>
          <w:rFonts w:cstheme="minorHAnsi"/>
          <w:i/>
          <w:iCs/>
        </w:rPr>
        <w:t>v</w:t>
      </w:r>
      <w:r w:rsidRPr="00D22FFF">
        <w:rPr>
          <w:rFonts w:cstheme="minorHAnsi"/>
        </w:rPr>
        <w:t>) was included as Kg per grid cell and tree density (η) as number of trees per quadrat. All the covariates were centred before being included in the model.</w:t>
      </w:r>
    </w:p>
    <w:p w14:paraId="786E2E28" w14:textId="77777777" w:rsidR="005E11F2" w:rsidRPr="00D22FFF" w:rsidRDefault="005E11F2" w:rsidP="00B97FB6">
      <w:pPr>
        <w:rPr>
          <w:rFonts w:cstheme="minorHAnsi"/>
        </w:rPr>
      </w:pPr>
      <w:r w:rsidRPr="00D22FFF">
        <w:rPr>
          <w:rFonts w:cstheme="minorHAnsi"/>
        </w:rPr>
        <w:t>The proposed model was fitted using INLA through the R library R‐INLA [47], which implies that inference was implemented in a Bayesian context. Hence, we needed to choose appropriate prior values in order to obtain the posterior distribution of the parameters that describe the model. We assigned Gaussian priors to the random terms in equations </w:t>
      </w:r>
      <w:hyperlink r:id="rId124" w:anchor="jec12635-disp-0001" w:tooltip="Link to equation" w:history="1">
        <w:r w:rsidRPr="00D22FFF">
          <w:rPr>
            <w:rStyle w:val="Hyperlink"/>
            <w:rFonts w:eastAsiaTheme="majorEastAsia" w:cstheme="minorHAnsi"/>
            <w:b/>
            <w:bCs/>
            <w:color w:val="005274"/>
          </w:rPr>
          <w:t>1</w:t>
        </w:r>
      </w:hyperlink>
      <w:r w:rsidRPr="00D22FFF">
        <w:rPr>
          <w:rFonts w:cstheme="minorHAnsi"/>
        </w:rPr>
        <w:t> and </w:t>
      </w:r>
      <w:hyperlink r:id="rId125" w:anchor="jec12635-disp-0002" w:tooltip="Link to equation" w:history="1">
        <w:r w:rsidRPr="00D22FFF">
          <w:rPr>
            <w:rStyle w:val="Hyperlink"/>
            <w:rFonts w:eastAsiaTheme="majorEastAsia" w:cstheme="minorHAnsi"/>
            <w:b/>
            <w:bCs/>
            <w:color w:val="005274"/>
          </w:rPr>
          <w:t>2</w:t>
        </w:r>
      </w:hyperlink>
      <w:r w:rsidRPr="00D22FFF">
        <w:rPr>
          <w:rFonts w:cstheme="minorHAnsi"/>
        </w:rPr>
        <w:t>. For the spatial field, </w:t>
      </w:r>
      <w:r w:rsidRPr="00D22FFF">
        <w:rPr>
          <w:rFonts w:cstheme="minorHAnsi"/>
          <w:i/>
          <w:iCs/>
        </w:rPr>
        <w:t>f</w:t>
      </w:r>
      <w:r w:rsidRPr="00D22FFF">
        <w:rPr>
          <w:rFonts w:cstheme="minorHAnsi"/>
          <w:i/>
          <w:iCs/>
          <w:vertAlign w:val="subscript"/>
        </w:rPr>
        <w:t>s</w:t>
      </w:r>
      <w:r w:rsidRPr="00D22FFF">
        <w:rPr>
          <w:rFonts w:cstheme="minorHAnsi"/>
        </w:rPr>
        <w:t>(</w:t>
      </w:r>
      <w:r w:rsidRPr="00D22FFF">
        <w:rPr>
          <w:rFonts w:cstheme="minorHAnsi"/>
          <w:i/>
          <w:iCs/>
        </w:rPr>
        <w:t>s</w:t>
      </w:r>
      <w:r w:rsidRPr="00D22FFF">
        <w:rPr>
          <w:rFonts w:cstheme="minorHAnsi"/>
          <w:i/>
          <w:iCs/>
          <w:vertAlign w:val="subscript"/>
        </w:rPr>
        <w:t>ij</w:t>
      </w:r>
      <w:r w:rsidRPr="00D22FFF">
        <w:rPr>
          <w:rFonts w:cstheme="minorHAnsi"/>
        </w:rPr>
        <w:t>) we used a gamma prior for the precision and scale parameters, with distribution (0.1, 0.001) (see Saatchi </w:t>
      </w:r>
      <w:r w:rsidRPr="00D22FFF">
        <w:rPr>
          <w:rFonts w:cstheme="minorHAnsi"/>
          <w:i/>
          <w:iCs/>
        </w:rPr>
        <w:t>et al</w:t>
      </w:r>
      <w:r w:rsidRPr="00D22FFF">
        <w:rPr>
          <w:rFonts w:cstheme="minorHAnsi"/>
        </w:rPr>
        <w:t>. </w:t>
      </w:r>
      <w:hyperlink r:id="rId126" w:anchor="jec12635-bib-0068" w:history="1">
        <w:r w:rsidRPr="00D22FFF">
          <w:rPr>
            <w:rStyle w:val="Hyperlink"/>
            <w:rFonts w:eastAsiaTheme="majorEastAsia" w:cstheme="minorHAnsi"/>
            <w:b/>
            <w:bCs/>
            <w:color w:val="000000"/>
          </w:rPr>
          <w:t>2011</w:t>
        </w:r>
      </w:hyperlink>
      <w:r w:rsidRPr="00D22FFF">
        <w:rPr>
          <w:rFonts w:cstheme="minorHAnsi"/>
        </w:rPr>
        <w:t> for more details). We chose a conservative value for the prior to ensure that the significant covariates were ecologically meaningful.</w:t>
      </w:r>
    </w:p>
    <w:p w14:paraId="35EDBA0E" w14:textId="77777777" w:rsidR="005E11F2" w:rsidRPr="00D22FFF" w:rsidRDefault="005E11F2" w:rsidP="00B97FB6">
      <w:pPr>
        <w:rPr>
          <w:rFonts w:cstheme="minorHAnsi"/>
        </w:rPr>
      </w:pPr>
      <w:r w:rsidRPr="00D22FFF">
        <w:rPr>
          <w:rFonts w:cstheme="minorHAnsi"/>
        </w:rPr>
        <w:t>A stepwise approach to model selection was implemented as follows. We first fitted the model including all the covariates as linear terms (fixed effects), plus the spatial and error terms (random effects), at the three different grid sizes. However, because some of the covariates were correlated (Appendix S2), we then fitted models including each covariate separately, along with the spatial and error terms for both the spatial distribution of trees and AGB. We repeated the same set of models and included each covariate along with the quadratic value of the covariate, to look for quadratic effects. We selected the covariates that were significant at the 97.5% level in those individual models (the model including one covariate at a time, or a covariate with a quadratic term, Appendix S4). We fitted several models including systematically all different combinations of those relevant covariates. We calculated the Deviance Information Criterion (DIC) for each fitted model. We then followed a stepwise modelling approach: we initially included one covariate at a time and checked whether it was significant or not. Subsequently, we included different combinations of the covariates that were significant either for AGB or tree density and kept all significant variables in the model (Appendix S4). We started including combinations of pairs of significant covariates that were not correlated (Pearson's coefficient &lt; 0.2). Then, we incremented one by one the number of covariates until all of the significant ones were included. In those combinations, we avoided variables that were correlated. In the resulting models, some of the covariates that were significant when included alone resulted in no significant variables when combined with others (Appendix S4). If different models had the same number of significant covariates, we chose the best model based on the DIC values, and will refer to this model as the final model from now on. We considered a model to be better than another model when their DIC values differed by 5 or more, as smaller differences are insufficient to distinguish among alternative models (Zuur </w:t>
      </w:r>
      <w:r w:rsidRPr="00D22FFF">
        <w:rPr>
          <w:rFonts w:cstheme="minorHAnsi"/>
          <w:i/>
          <w:iCs/>
        </w:rPr>
        <w:t>et al</w:t>
      </w:r>
      <w:r w:rsidRPr="00D22FFF">
        <w:rPr>
          <w:rFonts w:cstheme="minorHAnsi"/>
        </w:rPr>
        <w:t>. </w:t>
      </w:r>
      <w:hyperlink r:id="rId127" w:anchor="jec12635-bib-0090" w:history="1">
        <w:r w:rsidRPr="00D22FFF">
          <w:rPr>
            <w:rStyle w:val="Hyperlink"/>
            <w:rFonts w:eastAsiaTheme="majorEastAsia" w:cstheme="minorHAnsi"/>
            <w:b/>
            <w:bCs/>
            <w:color w:val="000000"/>
          </w:rPr>
          <w:t>2009</w:t>
        </w:r>
      </w:hyperlink>
      <w:r w:rsidRPr="00D22FFF">
        <w:rPr>
          <w:rFonts w:cstheme="minorHAnsi"/>
        </w:rPr>
        <w:t>). We made sure that the covariates included in the final models were uncorrelated (Pearson's coefficient &lt; 0.2). The R code adopted for these analyses can be found in Appendix S3.</w:t>
      </w:r>
    </w:p>
    <w:p w14:paraId="7C0778EF" w14:textId="77777777" w:rsidR="005E11F2" w:rsidRPr="00D22FFF" w:rsidRDefault="005E11F2" w:rsidP="00B97FB6">
      <w:pPr>
        <w:rPr>
          <w:rFonts w:cstheme="minorHAnsi"/>
        </w:rPr>
      </w:pPr>
      <w:r w:rsidRPr="00D22FFF">
        <w:rPr>
          <w:rFonts w:cstheme="minorHAnsi"/>
        </w:rPr>
        <w:t>We derived a set of nested models from the final model to determine the relative importance of the significant factors. For each nested model, we included only one of the significant covariates as a fixed effect, along with the spatial and error terms. This approach assumes that the final model provides full explanatory power for the fixed variables and that the null model (including only the random effects) has zero explanatory power. We quantified this through changes in DIC among the final, null and nested models, where the difference in DIC between each nested model and the null model was expressed as a percentage of the difference in DIC between the final and null models.</w:t>
      </w:r>
    </w:p>
    <w:p w14:paraId="45B75E76" w14:textId="77777777" w:rsidR="005E11F2" w:rsidRPr="00D22FFF" w:rsidRDefault="005E11F2" w:rsidP="00B97FB6">
      <w:pPr>
        <w:pStyle w:val="Heading1"/>
        <w:rPr>
          <w:rFonts w:asciiTheme="minorHAnsi" w:hAnsiTheme="minorHAnsi" w:cstheme="minorHAnsi"/>
        </w:rPr>
      </w:pPr>
      <w:r w:rsidRPr="00D22FFF">
        <w:rPr>
          <w:rFonts w:asciiTheme="minorHAnsi" w:hAnsiTheme="minorHAnsi" w:cstheme="minorHAnsi"/>
        </w:rPr>
        <w:t>Results</w:t>
      </w:r>
    </w:p>
    <w:p w14:paraId="26AFB59A" w14:textId="6245FA64" w:rsidR="005E11F2" w:rsidRPr="00D22FFF" w:rsidRDefault="005E11F2" w:rsidP="00B97FB6">
      <w:pPr>
        <w:rPr>
          <w:rFonts w:cstheme="minorHAnsi"/>
        </w:rPr>
      </w:pPr>
      <w:r w:rsidRPr="00D22FFF">
        <w:rPr>
          <w:rFonts w:cstheme="minorHAnsi"/>
        </w:rPr>
        <w:t>The final models (including all the significant covariates and the best models in terms of the DIC, Appendix S4) displayed different combinations of significant spatial covariates at the three spatial scales considered in these analyses (Fig. </w:t>
      </w:r>
      <w:hyperlink r:id="rId128" w:anchor="jec12635-fig-0002" w:history="1">
        <w:r w:rsidRPr="00D22FFF">
          <w:rPr>
            <w:rStyle w:val="Hyperlink"/>
            <w:rFonts w:eastAsiaTheme="majorEastAsia" w:cstheme="minorHAnsi"/>
            <w:b/>
            <w:bCs/>
            <w:color w:val="005274"/>
          </w:rPr>
          <w:t>2</w:t>
        </w:r>
      </w:hyperlink>
      <w:r w:rsidRPr="00D22FFF">
        <w:rPr>
          <w:rFonts w:cstheme="minorHAnsi"/>
        </w:rPr>
        <w:t>). The error field did not show any spatial structure for those models (Appendix S5), indicating that spatial autocorrelation had been captured by the covariates and the spatial field. The variables that were significant predictors of AGB at the 97.5% level were different to those that explained tree distribution for the three different grid sizes (Fig. </w:t>
      </w:r>
      <w:hyperlink r:id="rId129" w:anchor="jec12635-fig-0002" w:history="1">
        <w:r w:rsidRPr="00D22FFF">
          <w:rPr>
            <w:rStyle w:val="Hyperlink"/>
            <w:rFonts w:eastAsiaTheme="majorEastAsia" w:cstheme="minorHAnsi"/>
            <w:b/>
            <w:bCs/>
            <w:color w:val="005274"/>
          </w:rPr>
          <w:t>2</w:t>
        </w:r>
      </w:hyperlink>
      <w:r w:rsidRPr="00D22FFF">
        <w:rPr>
          <w:rFonts w:cstheme="minorHAnsi"/>
        </w:rPr>
        <w:t>).</w:t>
      </w:r>
    </w:p>
    <w:p w14:paraId="3DD69B87" w14:textId="664C1676" w:rsidR="005E11F2" w:rsidRPr="00D22FFF" w:rsidRDefault="005E11F2" w:rsidP="005E11F2">
      <w:pPr>
        <w:rPr>
          <w:rFonts w:cstheme="minorHAnsi"/>
        </w:rPr>
      </w:pPr>
      <w:r w:rsidRPr="00D22FFF">
        <w:rPr>
          <w:rFonts w:cstheme="minorHAnsi"/>
          <w:noProof/>
          <w:color w:val="005274"/>
        </w:rPr>
        <w:drawing>
          <wp:inline distT="0" distB="0" distL="0" distR="0" wp14:anchorId="14AD15EF" wp14:editId="63B1AADC">
            <wp:extent cx="2743200" cy="2615184"/>
            <wp:effectExtent l="0" t="0" r="0" b="0"/>
            <wp:docPr id="1" name="Picture 1" descr="image">
              <a:hlinkClick xmlns:a="http://schemas.openxmlformats.org/drawingml/2006/main" r:id="rId13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a:hlinkClick r:id="rId130" tgtFrame="&quot;_blank&quot;"/>
                    </pic:cNvPr>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2743200" cy="2615184"/>
                    </a:xfrm>
                    <a:prstGeom prst="rect">
                      <a:avLst/>
                    </a:prstGeom>
                    <a:noFill/>
                    <a:ln>
                      <a:noFill/>
                    </a:ln>
                  </pic:spPr>
                </pic:pic>
              </a:graphicData>
            </a:graphic>
          </wp:inline>
        </w:drawing>
      </w:r>
    </w:p>
    <w:p w14:paraId="6D1967ED" w14:textId="77777777" w:rsidR="005E11F2" w:rsidRPr="00D22FFF" w:rsidRDefault="005E11F2" w:rsidP="00B97FB6">
      <w:pPr>
        <w:pStyle w:val="Heading3"/>
        <w:rPr>
          <w:rFonts w:asciiTheme="minorHAnsi" w:hAnsiTheme="minorHAnsi" w:cstheme="minorHAnsi"/>
        </w:rPr>
      </w:pPr>
      <w:r w:rsidRPr="00D22FFF">
        <w:rPr>
          <w:rStyle w:val="Strong"/>
          <w:rFonts w:asciiTheme="minorHAnsi" w:hAnsiTheme="minorHAnsi" w:cstheme="minorHAnsi"/>
          <w:color w:val="212121"/>
        </w:rPr>
        <w:t>Figure 2</w:t>
      </w:r>
    </w:p>
    <w:p w14:paraId="6FFA296A" w14:textId="77777777" w:rsidR="005E11F2" w:rsidRPr="00D22FFF" w:rsidRDefault="005E11F2" w:rsidP="005E11F2">
      <w:pPr>
        <w:rPr>
          <w:rFonts w:cstheme="minorHAnsi"/>
        </w:rPr>
      </w:pPr>
      <w:r w:rsidRPr="00D22FFF">
        <w:rPr>
          <w:rFonts w:cstheme="minorHAnsi"/>
        </w:rPr>
        <w:t>Significant variables (at 97.5%) explaining AGB spatial distribution (above) and tree density (below) in the best model for grids of 50 m × 50 m, 20 m × 20 m and 10 m × 10 m on the BCI Forest Dynamics Plot. Positive associations are represented as positive values and negative associations as negative values in the histograms. The length of the bars indicate the explanatory power of the covariate, defined as the percentage change in DIC between the null model with random effects alone (0% DIC) and alternative models which include one significant covariate as a fixed effect (indicated along the × axis) along with the random spatial field and errors. The DIC of the final model is represented as 100%. Factors have been ordered from the most relevant (left to right) in terms of explanatory power for each grid size.</w:t>
      </w:r>
    </w:p>
    <w:p w14:paraId="6B13A9F7" w14:textId="77777777" w:rsidR="005E11F2" w:rsidRPr="00D22FFF" w:rsidRDefault="005E11F2" w:rsidP="004F162D">
      <w:pPr>
        <w:rPr>
          <w:rFonts w:cstheme="minorHAnsi"/>
        </w:rPr>
      </w:pPr>
      <w:r w:rsidRPr="00D22FFF">
        <w:rPr>
          <w:rFonts w:cstheme="minorHAnsi"/>
        </w:rPr>
        <w:t>A total of 58 models were compared at the largest spatial scale of 50 m × 50 m (Appendix S4a). There were strong effects of liana stem density (negative) and soil pH (positive) on values of AGB (Fig. </w:t>
      </w:r>
      <w:hyperlink r:id="rId132" w:anchor="jec12635-fig-0002" w:history="1">
        <w:r w:rsidRPr="00D22FFF">
          <w:rPr>
            <w:rFonts w:cstheme="minorHAnsi"/>
          </w:rPr>
          <w:t>2</w:t>
        </w:r>
      </w:hyperlink>
      <w:r w:rsidRPr="00D22FFF">
        <w:rPr>
          <w:rFonts w:cstheme="minorHAnsi"/>
        </w:rPr>
        <w:t>). Only one variable explained tree distribution: areas with lower soil P concentrations supported a higher density of tree stems. Including a term for liana stem density had the largest impact in terms of percentage reduction in the DIC relative to the null model (Fig. </w:t>
      </w:r>
      <w:hyperlink r:id="rId133" w:anchor="jec12635-fig-0002" w:history="1">
        <w:r w:rsidRPr="00D22FFF">
          <w:rPr>
            <w:rFonts w:cstheme="minorHAnsi"/>
          </w:rPr>
          <w:t>2</w:t>
        </w:r>
      </w:hyperlink>
      <w:r w:rsidRPr="00D22FFF">
        <w:rPr>
          <w:rFonts w:cstheme="minorHAnsi"/>
        </w:rPr>
        <w:t>). The variables identified as significant either for tree density or AGB were not correlated. As can be seen in Appendix S4, including hillshade instead of P also resulted in a significant model with the same number of variables. However, we chose the best model based on the DIC and the model including P had lower DIC (Appendix S4); that is, it had more explanatory power. Yet, we could note here that hillshade was correlated with soil nutrients (Appendix S2).</w:t>
      </w:r>
    </w:p>
    <w:p w14:paraId="6C6C4D35" w14:textId="77777777" w:rsidR="005E11F2" w:rsidRPr="00D22FFF" w:rsidRDefault="005E11F2" w:rsidP="004F162D">
      <w:pPr>
        <w:rPr>
          <w:rFonts w:cstheme="minorHAnsi"/>
        </w:rPr>
      </w:pPr>
      <w:r w:rsidRPr="00D22FFF">
        <w:rPr>
          <w:rFonts w:cstheme="minorHAnsi"/>
        </w:rPr>
        <w:t>We compared 76 models at a spatial scale of 20 m × 20 m (Appendix S4b). An increase in the density of liana stems had a negative effect on values of AGB. An increase in soil K concentration contributed to higher values of AGB (Fig. </w:t>
      </w:r>
      <w:hyperlink r:id="rId134" w:anchor="jec12635-fig-0002" w:history="1">
        <w:r w:rsidRPr="00D22FFF">
          <w:rPr>
            <w:rStyle w:val="Hyperlink"/>
            <w:rFonts w:eastAsiaTheme="majorEastAsia" w:cstheme="minorHAnsi"/>
            <w:b/>
            <w:bCs/>
            <w:color w:val="005274"/>
          </w:rPr>
          <w:t>2</w:t>
        </w:r>
      </w:hyperlink>
      <w:r w:rsidRPr="00D22FFF">
        <w:rPr>
          <w:rFonts w:cstheme="minorHAnsi"/>
        </w:rPr>
        <w:t>). A quadratic effect of lianas was also significant (Fig. </w:t>
      </w:r>
      <w:hyperlink r:id="rId135" w:anchor="jec12635-fig-0002" w:history="1">
        <w:r w:rsidRPr="00D22FFF">
          <w:rPr>
            <w:rStyle w:val="Hyperlink"/>
            <w:rFonts w:eastAsiaTheme="majorEastAsia" w:cstheme="minorHAnsi"/>
            <w:b/>
            <w:bCs/>
            <w:color w:val="005274"/>
          </w:rPr>
          <w:t>2</w:t>
        </w:r>
      </w:hyperlink>
      <w:r w:rsidRPr="00D22FFF">
        <w:rPr>
          <w:rFonts w:cstheme="minorHAnsi"/>
        </w:rPr>
        <w:t>), indicating the existence of a maximal value of liana abundance which reduces tree AGB accumulation at this scale of study. Soil concentrations of P and Fe were significantly positively and negatively correlated with tree density, respectively (Fig. </w:t>
      </w:r>
      <w:hyperlink r:id="rId136" w:anchor="jec12635-fig-0002" w:history="1">
        <w:r w:rsidRPr="00D22FFF">
          <w:rPr>
            <w:rStyle w:val="Hyperlink"/>
            <w:rFonts w:eastAsiaTheme="majorEastAsia" w:cstheme="minorHAnsi"/>
            <w:b/>
            <w:bCs/>
            <w:color w:val="005274"/>
          </w:rPr>
          <w:t>2</w:t>
        </w:r>
      </w:hyperlink>
      <w:r w:rsidRPr="00D22FFF">
        <w:rPr>
          <w:rFonts w:cstheme="minorHAnsi"/>
        </w:rPr>
        <w:t>; Appendix S4b). The soil nutrients Fe and P were not correlated in our data set (Pearson correlation = 0.05; Appendix S4). Note that a second model including Mn</w:t>
      </w:r>
      <w:r w:rsidRPr="00D22FFF">
        <w:rPr>
          <w:rFonts w:cstheme="minorHAnsi"/>
          <w:vertAlign w:val="superscript"/>
        </w:rPr>
        <w:t>2</w:t>
      </w:r>
      <w:r w:rsidRPr="00D22FFF">
        <w:rPr>
          <w:rFonts w:cstheme="minorHAnsi"/>
        </w:rPr>
        <w:t> instead of Fe was also significant, but its DIC was higher. In addition, the effect of Mn was not significant, and Mn and K are positively correlated (Pearson correlation = 0.4; Appendix S2). Slope was identified as significant in some models (Appendix S4), but these were associated with models with higher DIC. As for analyses conducted at a scale of 50 m × 50 m, slope is highly correlated with soil nutrients (Appendix S2).</w:t>
      </w:r>
    </w:p>
    <w:p w14:paraId="11DADA6D" w14:textId="77777777" w:rsidR="005E11F2" w:rsidRPr="00D22FFF" w:rsidRDefault="005E11F2" w:rsidP="004F162D">
      <w:pPr>
        <w:rPr>
          <w:rFonts w:cstheme="minorHAnsi"/>
        </w:rPr>
      </w:pPr>
      <w:r w:rsidRPr="00D22FFF">
        <w:rPr>
          <w:rFonts w:cstheme="minorHAnsi"/>
        </w:rPr>
        <w:t>We compared 66 models at the smallest scale of 10 m × 10 m (Appendix S4c). None of the covariates were significant in explaining the spatial distribution of AGB in trees (Fig. </w:t>
      </w:r>
      <w:hyperlink r:id="rId137" w:anchor="jec12635-fig-0002" w:history="1">
        <w:r w:rsidRPr="00D22FFF">
          <w:rPr>
            <w:rStyle w:val="Hyperlink"/>
            <w:rFonts w:eastAsiaTheme="majorEastAsia" w:cstheme="minorHAnsi"/>
            <w:b/>
            <w:bCs/>
            <w:color w:val="005274"/>
          </w:rPr>
          <w:t>2</w:t>
        </w:r>
      </w:hyperlink>
      <w:r w:rsidRPr="00D22FFF">
        <w:rPr>
          <w:rFonts w:cstheme="minorHAnsi"/>
        </w:rPr>
        <w:t>). Quadrats with a higher density of tree stems were associated with slopes and gullies, and had less acidic soils (as reflected in a quadratic relationship with pH). Including the terms for soil pH (quadratic term) had the greatest relative impact in terms of reducing values of DIC (Fig. </w:t>
      </w:r>
      <w:hyperlink r:id="rId138" w:anchor="jec12635-fig-0002" w:history="1">
        <w:r w:rsidRPr="00D22FFF">
          <w:rPr>
            <w:rStyle w:val="Hyperlink"/>
            <w:rFonts w:eastAsiaTheme="majorEastAsia" w:cstheme="minorHAnsi"/>
            <w:b/>
            <w:bCs/>
            <w:color w:val="005274"/>
          </w:rPr>
          <w:t>2</w:t>
        </w:r>
      </w:hyperlink>
      <w:r w:rsidRPr="00D22FFF">
        <w:rPr>
          <w:rFonts w:cstheme="minorHAnsi"/>
        </w:rPr>
        <w:t>).</w:t>
      </w:r>
    </w:p>
    <w:p w14:paraId="13FA37EE" w14:textId="77777777" w:rsidR="005E11F2" w:rsidRPr="00D22FFF" w:rsidRDefault="005E11F2" w:rsidP="004F162D">
      <w:pPr>
        <w:pStyle w:val="Heading1"/>
        <w:rPr>
          <w:rFonts w:asciiTheme="minorHAnsi" w:hAnsiTheme="minorHAnsi" w:cstheme="minorHAnsi"/>
        </w:rPr>
      </w:pPr>
      <w:r w:rsidRPr="00D22FFF">
        <w:rPr>
          <w:rFonts w:asciiTheme="minorHAnsi" w:hAnsiTheme="minorHAnsi" w:cstheme="minorHAnsi"/>
        </w:rPr>
        <w:t>Discussion</w:t>
      </w:r>
    </w:p>
    <w:p w14:paraId="01405F03" w14:textId="77777777" w:rsidR="005E11F2" w:rsidRPr="00D22FFF" w:rsidRDefault="005E11F2" w:rsidP="004F162D">
      <w:pPr>
        <w:rPr>
          <w:rFonts w:cstheme="minorHAnsi"/>
        </w:rPr>
      </w:pPr>
      <w:r w:rsidRPr="00D22FFF">
        <w:rPr>
          <w:rFonts w:cstheme="minorHAnsi"/>
        </w:rPr>
        <w:t>Our study demonstrates that fine‐scale distribution of AGB was non‐random with respect to biotic and abiotic variables on the BCI forest dynamics plot. Liana abundance (basal area of liana stems) is the strongest predictor of tree AGB at the fine scale represented by a grain of 100‐m</w:t>
      </w:r>
      <w:r w:rsidRPr="00D22FFF">
        <w:rPr>
          <w:rFonts w:cstheme="minorHAnsi"/>
          <w:vertAlign w:val="superscript"/>
        </w:rPr>
        <w:t>2</w:t>
      </w:r>
      <w:r w:rsidRPr="00D22FFF">
        <w:rPr>
          <w:rFonts w:cstheme="minorHAnsi"/>
        </w:rPr>
        <w:t>, 400‐m</w:t>
      </w:r>
      <w:r w:rsidRPr="00D22FFF">
        <w:rPr>
          <w:rFonts w:cstheme="minorHAnsi"/>
          <w:vertAlign w:val="superscript"/>
        </w:rPr>
        <w:t>2</w:t>
      </w:r>
      <w:r w:rsidRPr="00D22FFF">
        <w:rPr>
          <w:rFonts w:cstheme="minorHAnsi"/>
        </w:rPr>
        <w:t> and 2500‐m</w:t>
      </w:r>
      <w:r w:rsidRPr="00D22FFF">
        <w:rPr>
          <w:rFonts w:cstheme="minorHAnsi"/>
          <w:vertAlign w:val="superscript"/>
        </w:rPr>
        <w:t>2</w:t>
      </w:r>
      <w:r w:rsidRPr="00D22FFF">
        <w:rPr>
          <w:rFonts w:cstheme="minorHAnsi"/>
        </w:rPr>
        <w:t> quadrats within a single 50‐ha plot. The availability of soil nutrients was also revealed as an important driver of spatial variation in AGB. Microtopographic variation across the plot was not a significant factor explaining differences on AGB when accounting for soil nutrients and liana density, although topography explained the distribution of stem density independently of AGB (Fig. </w:t>
      </w:r>
      <w:hyperlink r:id="rId139" w:anchor="jec12635-fig-0002" w:history="1">
        <w:r w:rsidRPr="00D22FFF">
          <w:rPr>
            <w:rStyle w:val="Hyperlink"/>
            <w:rFonts w:eastAsiaTheme="majorEastAsia" w:cstheme="minorHAnsi"/>
            <w:b/>
            <w:bCs/>
            <w:color w:val="005274"/>
          </w:rPr>
          <w:t>2</w:t>
        </w:r>
      </w:hyperlink>
      <w:r w:rsidRPr="00D22FFF">
        <w:rPr>
          <w:rFonts w:cstheme="minorHAnsi"/>
        </w:rPr>
        <w:t>). Uncovering these patterns was dependent on the spatially explicit modelling of fine‐scale AGB variation while accounting for autocorrelation associated with spatial structure in stem density. In other words, we accounted for the dependence of tree density and AGB in the shared spatial random field, which allows us to identify the particular factors that affect each of those variables individually.</w:t>
      </w:r>
    </w:p>
    <w:p w14:paraId="1D899663" w14:textId="77777777" w:rsidR="005E11F2" w:rsidRPr="00D22FFF" w:rsidRDefault="005E11F2" w:rsidP="004F162D">
      <w:pPr>
        <w:pStyle w:val="Heading2"/>
        <w:rPr>
          <w:rFonts w:asciiTheme="minorHAnsi" w:hAnsiTheme="minorHAnsi" w:cstheme="minorHAnsi"/>
        </w:rPr>
      </w:pPr>
      <w:r w:rsidRPr="00D22FFF">
        <w:rPr>
          <w:rFonts w:asciiTheme="minorHAnsi" w:hAnsiTheme="minorHAnsi" w:cstheme="minorHAnsi"/>
        </w:rPr>
        <w:t>Effects of Lianas on Above‐ground Biomass Stocks</w:t>
      </w:r>
    </w:p>
    <w:p w14:paraId="425B1275" w14:textId="77777777" w:rsidR="005E11F2" w:rsidRPr="00D22FFF" w:rsidRDefault="005E11F2" w:rsidP="004F162D">
      <w:pPr>
        <w:rPr>
          <w:rFonts w:cstheme="minorHAnsi"/>
        </w:rPr>
      </w:pPr>
      <w:r w:rsidRPr="00D22FFF">
        <w:rPr>
          <w:rFonts w:cstheme="minorHAnsi"/>
        </w:rPr>
        <w:t>Our study shows that higher liana stem density is related to lower tree AGB. This result agrees and extends the findings in (Durán &amp; Gianoli </w:t>
      </w:r>
      <w:hyperlink r:id="rId140" w:anchor="jec12635-bib-0029" w:history="1">
        <w:r w:rsidRPr="00D22FFF">
          <w:rPr>
            <w:rStyle w:val="Hyperlink"/>
            <w:rFonts w:eastAsiaTheme="majorEastAsia" w:cstheme="minorHAnsi"/>
            <w:b/>
            <w:bCs/>
            <w:color w:val="000000"/>
          </w:rPr>
          <w:t>2013</w:t>
        </w:r>
      </w:hyperlink>
      <w:r w:rsidRPr="00D22FFF">
        <w:rPr>
          <w:rFonts w:cstheme="minorHAnsi"/>
        </w:rPr>
        <w:t>) who found a negative correlation between carbon stored in large trees and the presence of lianas at plot level. Our methods accounted for additional variation through additional explanatory factors including tree density, topography and soil nutrients and demonstrate a greater importance of liana abundance over these alternative explanatory variables (Fig. </w:t>
      </w:r>
      <w:hyperlink r:id="rId141" w:anchor="jec12635-fig-0002" w:history="1">
        <w:r w:rsidRPr="00D22FFF">
          <w:rPr>
            <w:rStyle w:val="Hyperlink"/>
            <w:rFonts w:eastAsiaTheme="majorEastAsia" w:cstheme="minorHAnsi"/>
            <w:b/>
            <w:bCs/>
            <w:color w:val="005274"/>
          </w:rPr>
          <w:t>2</w:t>
        </w:r>
      </w:hyperlink>
      <w:r w:rsidRPr="00D22FFF">
        <w:rPr>
          <w:rFonts w:cstheme="minorHAnsi"/>
        </w:rPr>
        <w:t>). Two underlying ecological mechanisms could explain the lower AGB of trees in patches with greater liana abundance: (i) competition from lianas reduces tree growth, survivorship and biomass accumulation and/or (ii) lianas are indicators of patches with more frequent or more recent disturbance, where large trees are absent or less abundant.</w:t>
      </w:r>
    </w:p>
    <w:p w14:paraId="3ADFE437" w14:textId="77777777" w:rsidR="005E11F2" w:rsidRPr="00D22FFF" w:rsidRDefault="005E11F2" w:rsidP="004F162D">
      <w:pPr>
        <w:rPr>
          <w:rFonts w:cstheme="minorHAnsi"/>
        </w:rPr>
      </w:pPr>
      <w:r w:rsidRPr="00D22FFF">
        <w:rPr>
          <w:rFonts w:cstheme="minorHAnsi"/>
        </w:rPr>
        <w:t>Recent research at our study site supports the plausibility of both mechanisms, but strongly supports the capacity of lianas to reduce forest‐level AGB. A liana removal experiment in the Gigante Peninsula, adjacent to BCI, found that liana infestation reduced net biomass accumulation by 76% (van der Heijden, Powers &amp; Schnitzer </w:t>
      </w:r>
      <w:hyperlink r:id="rId142" w:anchor="jec12635-bib-0035" w:history="1">
        <w:r w:rsidRPr="00D22FFF">
          <w:rPr>
            <w:rStyle w:val="Hyperlink"/>
            <w:rFonts w:eastAsiaTheme="majorEastAsia" w:cstheme="minorHAnsi"/>
            <w:b/>
            <w:bCs/>
            <w:color w:val="000000"/>
          </w:rPr>
          <w:t>2015</w:t>
        </w:r>
      </w:hyperlink>
      <w:r w:rsidRPr="00D22FFF">
        <w:rPr>
          <w:rFonts w:cstheme="minorHAnsi"/>
        </w:rPr>
        <w:t>) due to decreased tree growth (explaining 48% of forest‐level biomass accumulation reduction) and increased tree mortality (explaining 41% forest‐level biomass accumulation reduction). Indeed evidence of lianas reducing tree growth has been observed in American (van der Heijden &amp; Phillips </w:t>
      </w:r>
      <w:hyperlink r:id="rId143" w:anchor="jec12635-bib-0034" w:history="1">
        <w:r w:rsidRPr="00D22FFF">
          <w:rPr>
            <w:rStyle w:val="Hyperlink"/>
            <w:rFonts w:eastAsiaTheme="majorEastAsia" w:cstheme="minorHAnsi"/>
            <w:b/>
            <w:bCs/>
            <w:color w:val="000000"/>
          </w:rPr>
          <w:t>2009</w:t>
        </w:r>
      </w:hyperlink>
      <w:r w:rsidRPr="00D22FFF">
        <w:rPr>
          <w:rFonts w:cstheme="minorHAnsi"/>
        </w:rPr>
        <w:t>; Ingwell </w:t>
      </w:r>
      <w:r w:rsidRPr="00D22FFF">
        <w:rPr>
          <w:rFonts w:cstheme="minorHAnsi"/>
          <w:i/>
          <w:iCs/>
        </w:rPr>
        <w:t>et al</w:t>
      </w:r>
      <w:r w:rsidRPr="00D22FFF">
        <w:rPr>
          <w:rFonts w:cstheme="minorHAnsi"/>
        </w:rPr>
        <w:t>. </w:t>
      </w:r>
      <w:hyperlink r:id="rId144" w:anchor="jec12635-bib-0040" w:history="1">
        <w:r w:rsidRPr="00D22FFF">
          <w:rPr>
            <w:rStyle w:val="Hyperlink"/>
            <w:rFonts w:eastAsiaTheme="majorEastAsia" w:cstheme="minorHAnsi"/>
            <w:b/>
            <w:bCs/>
            <w:color w:val="000000"/>
          </w:rPr>
          <w:t>2010</w:t>
        </w:r>
      </w:hyperlink>
      <w:r w:rsidRPr="00D22FFF">
        <w:rPr>
          <w:rFonts w:cstheme="minorHAnsi"/>
        </w:rPr>
        <w:t>) and Asian (Wright </w:t>
      </w:r>
      <w:r w:rsidRPr="00D22FFF">
        <w:rPr>
          <w:rFonts w:cstheme="minorHAnsi"/>
          <w:i/>
          <w:iCs/>
        </w:rPr>
        <w:t>et al</w:t>
      </w:r>
      <w:r w:rsidRPr="00D22FFF">
        <w:rPr>
          <w:rFonts w:cstheme="minorHAnsi"/>
        </w:rPr>
        <w:t>. </w:t>
      </w:r>
      <w:hyperlink r:id="rId145" w:anchor="jec12635-bib-0088" w:history="1">
        <w:r w:rsidRPr="00D22FFF">
          <w:rPr>
            <w:rStyle w:val="Hyperlink"/>
            <w:rFonts w:eastAsiaTheme="majorEastAsia" w:cstheme="minorHAnsi"/>
            <w:b/>
            <w:bCs/>
            <w:color w:val="000000"/>
          </w:rPr>
          <w:t>2015</w:t>
        </w:r>
      </w:hyperlink>
      <w:r w:rsidRPr="00D22FFF">
        <w:rPr>
          <w:rFonts w:cstheme="minorHAnsi"/>
        </w:rPr>
        <w:t>) tropical forests, and long‐term experimental research suggests that lianas reduce the rate of carbon accumulation in forest gaps (Schnitzer </w:t>
      </w:r>
      <w:r w:rsidRPr="00D22FFF">
        <w:rPr>
          <w:rFonts w:cstheme="minorHAnsi"/>
          <w:i/>
          <w:iCs/>
        </w:rPr>
        <w:t>et al</w:t>
      </w:r>
      <w:r w:rsidRPr="00D22FFF">
        <w:rPr>
          <w:rFonts w:cstheme="minorHAnsi"/>
        </w:rPr>
        <w:t>. </w:t>
      </w:r>
      <w:hyperlink r:id="rId146" w:anchor="jec12635-bib-0077" w:history="1">
        <w:r w:rsidRPr="00D22FFF">
          <w:rPr>
            <w:rStyle w:val="Hyperlink"/>
            <w:rFonts w:eastAsiaTheme="majorEastAsia" w:cstheme="minorHAnsi"/>
            <w:b/>
            <w:bCs/>
            <w:color w:val="000000"/>
          </w:rPr>
          <w:t>2014</w:t>
        </w:r>
      </w:hyperlink>
      <w:r w:rsidRPr="00D22FFF">
        <w:rPr>
          <w:rFonts w:cstheme="minorHAnsi"/>
        </w:rPr>
        <w:t>). Lianas also delay tree recruitment in some gaps by suppressing tree regeneration and regrowth of canopy trees and thus keeping the canopy gaps open for longer (Schnitzer, Dalling &amp; Carson </w:t>
      </w:r>
      <w:hyperlink r:id="rId147" w:anchor="jec12635-bib-0074" w:history="1">
        <w:r w:rsidRPr="00D22FFF">
          <w:rPr>
            <w:rStyle w:val="Hyperlink"/>
            <w:rFonts w:eastAsiaTheme="majorEastAsia" w:cstheme="minorHAnsi"/>
            <w:b/>
            <w:bCs/>
            <w:color w:val="000000"/>
          </w:rPr>
          <w:t>2000</w:t>
        </w:r>
      </w:hyperlink>
      <w:r w:rsidRPr="00D22FFF">
        <w:rPr>
          <w:rFonts w:cstheme="minorHAnsi"/>
        </w:rPr>
        <w:t>; Schnitzer &amp; Carson </w:t>
      </w:r>
      <w:hyperlink r:id="rId148" w:anchor="jec12635-bib-0073" w:history="1">
        <w:r w:rsidRPr="00D22FFF">
          <w:rPr>
            <w:rStyle w:val="Hyperlink"/>
            <w:rFonts w:eastAsiaTheme="majorEastAsia" w:cstheme="minorHAnsi"/>
            <w:b/>
            <w:bCs/>
            <w:color w:val="000000"/>
          </w:rPr>
          <w:t>2010</w:t>
        </w:r>
      </w:hyperlink>
      <w:r w:rsidRPr="00D22FFF">
        <w:rPr>
          <w:rFonts w:cstheme="minorHAnsi"/>
        </w:rPr>
        <w:t>; Tymen </w:t>
      </w:r>
      <w:r w:rsidRPr="00D22FFF">
        <w:rPr>
          <w:rFonts w:cstheme="minorHAnsi"/>
          <w:i/>
          <w:iCs/>
        </w:rPr>
        <w:t>et al</w:t>
      </w:r>
      <w:r w:rsidRPr="00D22FFF">
        <w:rPr>
          <w:rFonts w:cstheme="minorHAnsi"/>
        </w:rPr>
        <w:t>. </w:t>
      </w:r>
      <w:hyperlink r:id="rId149" w:anchor="jec12635-bib-0083" w:history="1">
        <w:r w:rsidRPr="00D22FFF">
          <w:rPr>
            <w:rStyle w:val="Hyperlink"/>
            <w:rFonts w:eastAsiaTheme="majorEastAsia" w:cstheme="minorHAnsi"/>
            <w:b/>
            <w:bCs/>
            <w:color w:val="000000"/>
          </w:rPr>
          <w:t>2016</w:t>
        </w:r>
      </w:hyperlink>
      <w:r w:rsidRPr="00D22FFF">
        <w:rPr>
          <w:rFonts w:cstheme="minorHAnsi"/>
        </w:rPr>
        <w:t>). These results are consistent with the hypothesis that lianas reduce AGB accumulation in trees through direct competition.</w:t>
      </w:r>
    </w:p>
    <w:p w14:paraId="3A42DBB6" w14:textId="77777777" w:rsidR="005E11F2" w:rsidRPr="00D22FFF" w:rsidRDefault="005E11F2" w:rsidP="004F162D">
      <w:pPr>
        <w:rPr>
          <w:rFonts w:cstheme="minorHAnsi"/>
        </w:rPr>
      </w:pPr>
      <w:r w:rsidRPr="00D22FFF">
        <w:rPr>
          <w:rFonts w:cstheme="minorHAnsi"/>
        </w:rPr>
        <w:t>Additionally, a positive relationship between liana abundance and soil fertility has been found in some other tropical forests (Schnitzer &amp; Bongers </w:t>
      </w:r>
      <w:hyperlink r:id="rId150" w:anchor="jec12635-bib-0072" w:history="1">
        <w:r w:rsidRPr="00D22FFF">
          <w:rPr>
            <w:rStyle w:val="Hyperlink"/>
            <w:rFonts w:eastAsiaTheme="majorEastAsia" w:cstheme="minorHAnsi"/>
            <w:b/>
            <w:bCs/>
            <w:color w:val="000000"/>
          </w:rPr>
          <w:t>2002</w:t>
        </w:r>
      </w:hyperlink>
      <w:r w:rsidRPr="00D22FFF">
        <w:rPr>
          <w:rFonts w:cstheme="minorHAnsi"/>
        </w:rPr>
        <w:t>; Tymen </w:t>
      </w:r>
      <w:r w:rsidRPr="00D22FFF">
        <w:rPr>
          <w:rFonts w:cstheme="minorHAnsi"/>
          <w:i/>
          <w:iCs/>
        </w:rPr>
        <w:t>et al</w:t>
      </w:r>
      <w:r w:rsidRPr="00D22FFF">
        <w:rPr>
          <w:rFonts w:cstheme="minorHAnsi"/>
        </w:rPr>
        <w:t>. </w:t>
      </w:r>
      <w:hyperlink r:id="rId151" w:anchor="jec12635-bib-0083" w:history="1">
        <w:r w:rsidRPr="00D22FFF">
          <w:rPr>
            <w:rStyle w:val="Hyperlink"/>
            <w:rFonts w:eastAsiaTheme="majorEastAsia" w:cstheme="minorHAnsi"/>
            <w:b/>
            <w:bCs/>
            <w:color w:val="000000"/>
          </w:rPr>
          <w:t>2016</w:t>
        </w:r>
      </w:hyperlink>
      <w:r w:rsidRPr="00D22FFF">
        <w:rPr>
          <w:rFonts w:cstheme="minorHAnsi"/>
        </w:rPr>
        <w:t>), although this result is not consistent (Dalling </w:t>
      </w:r>
      <w:r w:rsidRPr="00D22FFF">
        <w:rPr>
          <w:rFonts w:cstheme="minorHAnsi"/>
          <w:i/>
          <w:iCs/>
        </w:rPr>
        <w:t>et al</w:t>
      </w:r>
      <w:r w:rsidRPr="00D22FFF">
        <w:rPr>
          <w:rFonts w:cstheme="minorHAnsi"/>
        </w:rPr>
        <w:t>. </w:t>
      </w:r>
      <w:hyperlink r:id="rId152" w:anchor="jec12635-bib-0024" w:history="1">
        <w:r w:rsidRPr="00D22FFF">
          <w:rPr>
            <w:rStyle w:val="Hyperlink"/>
            <w:rFonts w:eastAsiaTheme="majorEastAsia" w:cstheme="minorHAnsi"/>
            <w:b/>
            <w:bCs/>
            <w:color w:val="000000"/>
          </w:rPr>
          <w:t>2012</w:t>
        </w:r>
      </w:hyperlink>
      <w:r w:rsidRPr="00D22FFF">
        <w:rPr>
          <w:rFonts w:cstheme="minorHAnsi"/>
        </w:rPr>
        <w:t>; Ledo &amp; Schnitzer </w:t>
      </w:r>
      <w:hyperlink r:id="rId153" w:anchor="jec12635-bib-0047" w:history="1">
        <w:r w:rsidRPr="00D22FFF">
          <w:rPr>
            <w:rStyle w:val="Hyperlink"/>
            <w:rFonts w:eastAsiaTheme="majorEastAsia" w:cstheme="minorHAnsi"/>
            <w:b/>
            <w:bCs/>
            <w:color w:val="000000"/>
          </w:rPr>
          <w:t>2014</w:t>
        </w:r>
      </w:hyperlink>
      <w:r w:rsidRPr="00D22FFF">
        <w:rPr>
          <w:rFonts w:cstheme="minorHAnsi"/>
        </w:rPr>
        <w:t>). Tymen </w:t>
      </w:r>
      <w:r w:rsidRPr="00D22FFF">
        <w:rPr>
          <w:rFonts w:cstheme="minorHAnsi"/>
          <w:i/>
          <w:iCs/>
        </w:rPr>
        <w:t>et al</w:t>
      </w:r>
      <w:r w:rsidRPr="00D22FFF">
        <w:rPr>
          <w:rFonts w:cstheme="minorHAnsi"/>
        </w:rPr>
        <w:t>. (</w:t>
      </w:r>
      <w:hyperlink r:id="rId154" w:anchor="jec12635-bib-0083" w:history="1">
        <w:r w:rsidRPr="00D22FFF">
          <w:rPr>
            <w:rStyle w:val="Hyperlink"/>
            <w:rFonts w:eastAsiaTheme="majorEastAsia" w:cstheme="minorHAnsi"/>
            <w:b/>
            <w:bCs/>
            <w:color w:val="000000"/>
          </w:rPr>
          <w:t>2016</w:t>
        </w:r>
      </w:hyperlink>
      <w:r w:rsidRPr="00D22FFF">
        <w:rPr>
          <w:rFonts w:cstheme="minorHAnsi"/>
        </w:rPr>
        <w:t>) suggested that the higher nutrient concentration in soils of liana‐infested forests may be the result of a release of nutrients from vegetation after a forest blowdown. The presence, abundance and distribution of lianas across the BCI plot are linked to patches with more frequent disturbance (Dalling </w:t>
      </w:r>
      <w:r w:rsidRPr="00D22FFF">
        <w:rPr>
          <w:rFonts w:cstheme="minorHAnsi"/>
          <w:i/>
          <w:iCs/>
        </w:rPr>
        <w:t>et al</w:t>
      </w:r>
      <w:r w:rsidRPr="00D22FFF">
        <w:rPr>
          <w:rFonts w:cstheme="minorHAnsi"/>
        </w:rPr>
        <w:t>. </w:t>
      </w:r>
      <w:hyperlink r:id="rId155" w:anchor="jec12635-bib-0024" w:history="1">
        <w:r w:rsidRPr="00D22FFF">
          <w:rPr>
            <w:rStyle w:val="Hyperlink"/>
            <w:rFonts w:eastAsiaTheme="majorEastAsia" w:cstheme="minorHAnsi"/>
            <w:b/>
            <w:bCs/>
            <w:color w:val="000000"/>
          </w:rPr>
          <w:t>2012</w:t>
        </w:r>
      </w:hyperlink>
      <w:r w:rsidRPr="00D22FFF">
        <w:rPr>
          <w:rFonts w:cstheme="minorHAnsi"/>
        </w:rPr>
        <w:t>; Ledo &amp; Schnitzer </w:t>
      </w:r>
      <w:hyperlink r:id="rId156" w:anchor="jec12635-bib-0047" w:history="1">
        <w:r w:rsidRPr="00D22FFF">
          <w:rPr>
            <w:rStyle w:val="Hyperlink"/>
            <w:rFonts w:eastAsiaTheme="majorEastAsia" w:cstheme="minorHAnsi"/>
            <w:b/>
            <w:bCs/>
            <w:color w:val="000000"/>
          </w:rPr>
          <w:t>2014</w:t>
        </w:r>
      </w:hyperlink>
      <w:r w:rsidRPr="00D22FFF">
        <w:rPr>
          <w:rFonts w:cstheme="minorHAnsi"/>
        </w:rPr>
        <w:t>), which is also consistent with the relationship observed in our data because areas in which disturbances are more frequent are less likely to support the large trees that often dominate AGB (Slik </w:t>
      </w:r>
      <w:r w:rsidRPr="00D22FFF">
        <w:rPr>
          <w:rFonts w:cstheme="minorHAnsi"/>
          <w:i/>
          <w:iCs/>
        </w:rPr>
        <w:t>et al</w:t>
      </w:r>
      <w:r w:rsidRPr="00D22FFF">
        <w:rPr>
          <w:rFonts w:cstheme="minorHAnsi"/>
        </w:rPr>
        <w:t>. </w:t>
      </w:r>
      <w:hyperlink r:id="rId157" w:anchor="jec12635-bib-0080" w:history="1">
        <w:r w:rsidRPr="00D22FFF">
          <w:rPr>
            <w:rStyle w:val="Hyperlink"/>
            <w:rFonts w:eastAsiaTheme="majorEastAsia" w:cstheme="minorHAnsi"/>
            <w:b/>
            <w:bCs/>
            <w:color w:val="000000"/>
          </w:rPr>
          <w:t>2013</w:t>
        </w:r>
      </w:hyperlink>
      <w:r w:rsidRPr="00D22FFF">
        <w:rPr>
          <w:rFonts w:cstheme="minorHAnsi"/>
        </w:rPr>
        <w:t>).</w:t>
      </w:r>
    </w:p>
    <w:p w14:paraId="31F3A4C4" w14:textId="77777777" w:rsidR="005E11F2" w:rsidRPr="00D22FFF" w:rsidRDefault="005E11F2" w:rsidP="004F162D">
      <w:pPr>
        <w:rPr>
          <w:rFonts w:cstheme="minorHAnsi"/>
        </w:rPr>
      </w:pPr>
      <w:r w:rsidRPr="00D22FFF">
        <w:rPr>
          <w:rFonts w:cstheme="minorHAnsi"/>
        </w:rPr>
        <w:t>While our results cannot distinguish between these explanations for the negative association between AGB in trees and liana abundance, experimental work at a nearby site indicates that lianas reduce forest‐level AGB (van der Heijden &amp; Phillips </w:t>
      </w:r>
      <w:hyperlink r:id="rId158" w:anchor="jec12635-bib-0034" w:history="1">
        <w:r w:rsidRPr="00D22FFF">
          <w:rPr>
            <w:rStyle w:val="Hyperlink"/>
            <w:rFonts w:eastAsiaTheme="majorEastAsia" w:cstheme="minorHAnsi"/>
            <w:b/>
            <w:bCs/>
            <w:color w:val="000000"/>
          </w:rPr>
          <w:t>2009</w:t>
        </w:r>
      </w:hyperlink>
      <w:r w:rsidRPr="00D22FFF">
        <w:rPr>
          <w:rFonts w:cstheme="minorHAnsi"/>
        </w:rPr>
        <w:t>; van der Heijden, Powers &amp; Schnitzer </w:t>
      </w:r>
      <w:hyperlink r:id="rId159" w:anchor="jec12635-bib-0035" w:history="1">
        <w:r w:rsidRPr="00D22FFF">
          <w:rPr>
            <w:rStyle w:val="Hyperlink"/>
            <w:rFonts w:eastAsiaTheme="majorEastAsia" w:cstheme="minorHAnsi"/>
            <w:b/>
            <w:bCs/>
            <w:color w:val="000000"/>
          </w:rPr>
          <w:t>2015</w:t>
        </w:r>
      </w:hyperlink>
      <w:r w:rsidRPr="00D22FFF">
        <w:rPr>
          <w:rFonts w:cstheme="minorHAnsi"/>
        </w:rPr>
        <w:t>), in contrast, the role of lianas as indicators of prior disturbance remains uncertain. Moreover, our results allow us to discount the likelihood that the pattern is due entirely to the separation of lianas from large trees in recently disturbed patches, because an additional prediction of that mechanism would be a positive association between liana and tree abundance through intense recruitment of individuals of both life‐forms in recently disturbed areas, unless lianas inhibit recruitment into the 1 cm DBH size class represented in the plot inventory. The explanation for the observed pattern may be a combination of both underlying mechanisms, but certainly a negative effect of lianas on tree growth and survival.</w:t>
      </w:r>
    </w:p>
    <w:p w14:paraId="6B04D043" w14:textId="77777777" w:rsidR="005E11F2" w:rsidRPr="00D22FFF" w:rsidRDefault="005E11F2" w:rsidP="004F162D">
      <w:pPr>
        <w:pStyle w:val="Heading2"/>
        <w:rPr>
          <w:rFonts w:asciiTheme="minorHAnsi" w:hAnsiTheme="minorHAnsi" w:cstheme="minorHAnsi"/>
        </w:rPr>
      </w:pPr>
      <w:r w:rsidRPr="00D22FFF">
        <w:rPr>
          <w:rFonts w:asciiTheme="minorHAnsi" w:hAnsiTheme="minorHAnsi" w:cstheme="minorHAnsi"/>
        </w:rPr>
        <w:t>Effect of Soil Nutrients on Above‐ground Biomass Stocks</w:t>
      </w:r>
    </w:p>
    <w:p w14:paraId="32B68B1C" w14:textId="77777777" w:rsidR="005E11F2" w:rsidRPr="00D22FFF" w:rsidRDefault="005E11F2" w:rsidP="004F162D">
      <w:pPr>
        <w:rPr>
          <w:rFonts w:cstheme="minorHAnsi"/>
        </w:rPr>
      </w:pPr>
      <w:r w:rsidRPr="00D22FFF">
        <w:rPr>
          <w:rFonts w:cstheme="minorHAnsi"/>
        </w:rPr>
        <w:t>Spatial distribution of AGB at a continental scale responds to climate and soil fertility (Quesada </w:t>
      </w:r>
      <w:r w:rsidRPr="00D22FFF">
        <w:rPr>
          <w:rFonts w:cstheme="minorHAnsi"/>
          <w:i/>
          <w:iCs/>
        </w:rPr>
        <w:t>et al</w:t>
      </w:r>
      <w:r w:rsidRPr="00D22FFF">
        <w:rPr>
          <w:rFonts w:cstheme="minorHAnsi"/>
        </w:rPr>
        <w:t>. </w:t>
      </w:r>
      <w:hyperlink r:id="rId160" w:anchor="jec12635-bib-0062" w:history="1">
        <w:r w:rsidRPr="00D22FFF">
          <w:rPr>
            <w:rStyle w:val="Hyperlink"/>
            <w:rFonts w:eastAsiaTheme="majorEastAsia" w:cstheme="minorHAnsi"/>
            <w:b/>
            <w:bCs/>
            <w:color w:val="000000"/>
          </w:rPr>
          <w:t>2012</w:t>
        </w:r>
      </w:hyperlink>
      <w:r w:rsidRPr="00D22FFF">
        <w:rPr>
          <w:rFonts w:cstheme="minorHAnsi"/>
        </w:rPr>
        <w:t>; Lewis </w:t>
      </w:r>
      <w:r w:rsidRPr="00D22FFF">
        <w:rPr>
          <w:rFonts w:cstheme="minorHAnsi"/>
          <w:i/>
          <w:iCs/>
        </w:rPr>
        <w:t>et al</w:t>
      </w:r>
      <w:r w:rsidRPr="00D22FFF">
        <w:rPr>
          <w:rFonts w:cstheme="minorHAnsi"/>
        </w:rPr>
        <w:t>. </w:t>
      </w:r>
      <w:hyperlink r:id="rId161" w:anchor="jec12635-bib-0049" w:history="1">
        <w:r w:rsidRPr="00D22FFF">
          <w:rPr>
            <w:rStyle w:val="Hyperlink"/>
            <w:rFonts w:eastAsiaTheme="majorEastAsia" w:cstheme="minorHAnsi"/>
            <w:b/>
            <w:bCs/>
            <w:color w:val="000000"/>
          </w:rPr>
          <w:t>2013</w:t>
        </w:r>
      </w:hyperlink>
      <w:r w:rsidRPr="00D22FFF">
        <w:rPr>
          <w:rFonts w:cstheme="minorHAnsi"/>
        </w:rPr>
        <w:t>). Climate was not considered in our study because at the scale of analysis (50 ha) little variation in rainfall or temperature would be expected. Nevertheless, richer soils enhanced AGB accumulation at the fine scales of our analysis (Fig. </w:t>
      </w:r>
      <w:hyperlink r:id="rId162" w:anchor="jec12635-fig-0001" w:history="1">
        <w:r w:rsidRPr="00D22FFF">
          <w:rPr>
            <w:rStyle w:val="Hyperlink"/>
            <w:rFonts w:eastAsiaTheme="majorEastAsia" w:cstheme="minorHAnsi"/>
            <w:b/>
            <w:bCs/>
            <w:color w:val="005274"/>
          </w:rPr>
          <w:t>1</w:t>
        </w:r>
      </w:hyperlink>
      <w:r w:rsidRPr="00D22FFF">
        <w:rPr>
          <w:rFonts w:cstheme="minorHAnsi"/>
        </w:rPr>
        <w:t>), which suggests that a positive relationship between measures of soil chemical fertility and AGB in trees extends from local to continental scales. This pattern supports a strong body of research suggesting that nutrient availability may limit AGB accumulation in tropical forests (Asner </w:t>
      </w:r>
      <w:r w:rsidRPr="00D22FFF">
        <w:rPr>
          <w:rFonts w:cstheme="minorHAnsi"/>
          <w:i/>
          <w:iCs/>
        </w:rPr>
        <w:t>et al</w:t>
      </w:r>
      <w:r w:rsidRPr="00D22FFF">
        <w:rPr>
          <w:rFonts w:cstheme="minorHAnsi"/>
        </w:rPr>
        <w:t>. </w:t>
      </w:r>
      <w:hyperlink r:id="rId163" w:anchor="jec12635-bib-0003" w:history="1">
        <w:r w:rsidRPr="00D22FFF">
          <w:rPr>
            <w:rStyle w:val="Hyperlink"/>
            <w:rFonts w:eastAsiaTheme="majorEastAsia" w:cstheme="minorHAnsi"/>
            <w:b/>
            <w:bCs/>
            <w:color w:val="000000"/>
          </w:rPr>
          <w:t>2004</w:t>
        </w:r>
      </w:hyperlink>
      <w:r w:rsidRPr="00D22FFF">
        <w:rPr>
          <w:rFonts w:cstheme="minorHAnsi"/>
        </w:rPr>
        <w:t>; Wright </w:t>
      </w:r>
      <w:r w:rsidRPr="00D22FFF">
        <w:rPr>
          <w:rFonts w:cstheme="minorHAnsi"/>
          <w:i/>
          <w:iCs/>
        </w:rPr>
        <w:t>et al</w:t>
      </w:r>
      <w:r w:rsidRPr="00D22FFF">
        <w:rPr>
          <w:rFonts w:cstheme="minorHAnsi"/>
        </w:rPr>
        <w:t>. </w:t>
      </w:r>
      <w:hyperlink r:id="rId164" w:anchor="jec12635-bib-0087" w:history="1">
        <w:r w:rsidRPr="00D22FFF">
          <w:rPr>
            <w:rStyle w:val="Hyperlink"/>
            <w:rFonts w:eastAsiaTheme="majorEastAsia" w:cstheme="minorHAnsi"/>
            <w:b/>
            <w:bCs/>
            <w:color w:val="000000"/>
          </w:rPr>
          <w:t>2011</w:t>
        </w:r>
      </w:hyperlink>
      <w:r w:rsidRPr="00D22FFF">
        <w:rPr>
          <w:rFonts w:cstheme="minorHAnsi"/>
        </w:rPr>
        <w:t>; Wright </w:t>
      </w:r>
      <w:hyperlink r:id="rId165" w:anchor="jec12635-bib-0085" w:history="1">
        <w:r w:rsidRPr="00D22FFF">
          <w:rPr>
            <w:rStyle w:val="Hyperlink"/>
            <w:rFonts w:eastAsiaTheme="majorEastAsia" w:cstheme="minorHAnsi"/>
            <w:b/>
            <w:bCs/>
            <w:color w:val="000000"/>
          </w:rPr>
          <w:t>2013</w:t>
        </w:r>
      </w:hyperlink>
      <w:r w:rsidRPr="00D22FFF">
        <w:rPr>
          <w:rFonts w:cstheme="minorHAnsi"/>
        </w:rPr>
        <w:t>). We found that AGB storage is linked to variation in soil pH, with more AGB stored in vegetation growing on less acidic soils. We also observed that areas with higher values of soil K concentration support greater AGB (Fig. </w:t>
      </w:r>
      <w:hyperlink r:id="rId166" w:anchor="jec12635-fig-0002" w:history="1">
        <w:r w:rsidRPr="00D22FFF">
          <w:rPr>
            <w:rStyle w:val="Hyperlink"/>
            <w:rFonts w:eastAsiaTheme="majorEastAsia" w:cstheme="minorHAnsi"/>
            <w:b/>
            <w:bCs/>
            <w:color w:val="005274"/>
          </w:rPr>
          <w:t>2</w:t>
        </w:r>
      </w:hyperlink>
      <w:r w:rsidRPr="00D22FFF">
        <w:rPr>
          <w:rFonts w:cstheme="minorHAnsi"/>
        </w:rPr>
        <w:t>). This pattern is consistent with the findings of a long‐term fertilization experiment on the Gigante Peninsula close to our study site, which has demonstrated that K addition increased stand‐level biomass and production of fine root biomass, enhanced seedling tissue nutrient concentrations, reduced seedling root allocation and improved stomatal control and photosynthesis (Wright </w:t>
      </w:r>
      <w:r w:rsidRPr="00D22FFF">
        <w:rPr>
          <w:rFonts w:cstheme="minorHAnsi"/>
          <w:i/>
          <w:iCs/>
        </w:rPr>
        <w:t>et al</w:t>
      </w:r>
      <w:r w:rsidRPr="00D22FFF">
        <w:rPr>
          <w:rFonts w:cstheme="minorHAnsi"/>
        </w:rPr>
        <w:t>. </w:t>
      </w:r>
      <w:hyperlink r:id="rId167" w:anchor="jec12635-bib-0087" w:history="1">
        <w:r w:rsidRPr="00D22FFF">
          <w:rPr>
            <w:rStyle w:val="Hyperlink"/>
            <w:rFonts w:eastAsiaTheme="majorEastAsia" w:cstheme="minorHAnsi"/>
            <w:b/>
            <w:bCs/>
            <w:color w:val="000000"/>
          </w:rPr>
          <w:t>2011</w:t>
        </w:r>
      </w:hyperlink>
      <w:r w:rsidRPr="00D22FFF">
        <w:rPr>
          <w:rFonts w:cstheme="minorHAnsi"/>
        </w:rPr>
        <w:t>; Pasquini &amp; Santiago </w:t>
      </w:r>
      <w:hyperlink r:id="rId168" w:anchor="jec12635-bib-0055" w:history="1">
        <w:r w:rsidRPr="00D22FFF">
          <w:rPr>
            <w:rStyle w:val="Hyperlink"/>
            <w:rFonts w:eastAsiaTheme="majorEastAsia" w:cstheme="minorHAnsi"/>
            <w:b/>
            <w:bCs/>
            <w:color w:val="000000"/>
          </w:rPr>
          <w:t>2012</w:t>
        </w:r>
      </w:hyperlink>
      <w:r w:rsidRPr="00D22FFF">
        <w:rPr>
          <w:rFonts w:cstheme="minorHAnsi"/>
        </w:rPr>
        <w:t>; Santiago </w:t>
      </w:r>
      <w:r w:rsidRPr="00D22FFF">
        <w:rPr>
          <w:rFonts w:cstheme="minorHAnsi"/>
          <w:i/>
          <w:iCs/>
        </w:rPr>
        <w:t>et al</w:t>
      </w:r>
      <w:r w:rsidRPr="00D22FFF">
        <w:rPr>
          <w:rFonts w:cstheme="minorHAnsi"/>
        </w:rPr>
        <w:t>. </w:t>
      </w:r>
      <w:hyperlink r:id="rId169" w:anchor="jec12635-bib-0069" w:history="1">
        <w:r w:rsidRPr="00D22FFF">
          <w:rPr>
            <w:rStyle w:val="Hyperlink"/>
            <w:rFonts w:eastAsiaTheme="majorEastAsia" w:cstheme="minorHAnsi"/>
            <w:b/>
            <w:bCs/>
            <w:color w:val="000000"/>
          </w:rPr>
          <w:t>2012</w:t>
        </w:r>
      </w:hyperlink>
      <w:r w:rsidRPr="00D22FFF">
        <w:rPr>
          <w:rFonts w:cstheme="minorHAnsi"/>
        </w:rPr>
        <w:t>; Wurzburger &amp; Wright </w:t>
      </w:r>
      <w:hyperlink r:id="rId170" w:anchor="jec12635-bib-0089" w:history="1">
        <w:r w:rsidRPr="00D22FFF">
          <w:rPr>
            <w:rStyle w:val="Hyperlink"/>
            <w:rFonts w:eastAsiaTheme="majorEastAsia" w:cstheme="minorHAnsi"/>
            <w:b/>
            <w:bCs/>
            <w:color w:val="000000"/>
          </w:rPr>
          <w:t>2015</w:t>
        </w:r>
      </w:hyperlink>
      <w:r w:rsidRPr="00D22FFF">
        <w:rPr>
          <w:rFonts w:cstheme="minorHAnsi"/>
        </w:rPr>
        <w:t>). In the same experiment, P addition increased fine litter production and photosynthetic rates (Wright </w:t>
      </w:r>
      <w:r w:rsidRPr="00D22FFF">
        <w:rPr>
          <w:rFonts w:cstheme="minorHAnsi"/>
          <w:i/>
          <w:iCs/>
        </w:rPr>
        <w:t>et al</w:t>
      </w:r>
      <w:r w:rsidRPr="00D22FFF">
        <w:rPr>
          <w:rFonts w:cstheme="minorHAnsi"/>
        </w:rPr>
        <w:t>. </w:t>
      </w:r>
      <w:hyperlink r:id="rId171" w:anchor="jec12635-bib-0087" w:history="1">
        <w:r w:rsidRPr="00D22FFF">
          <w:rPr>
            <w:rStyle w:val="Hyperlink"/>
            <w:rFonts w:eastAsiaTheme="majorEastAsia" w:cstheme="minorHAnsi"/>
            <w:b/>
            <w:bCs/>
            <w:color w:val="000000"/>
          </w:rPr>
          <w:t>2011</w:t>
        </w:r>
      </w:hyperlink>
      <w:r w:rsidRPr="00D22FFF">
        <w:rPr>
          <w:rFonts w:cstheme="minorHAnsi"/>
        </w:rPr>
        <w:t>; Pasquini, Wright &amp; Santiago </w:t>
      </w:r>
      <w:hyperlink r:id="rId172" w:anchor="jec12635-bib-0056" w:history="1">
        <w:r w:rsidRPr="00D22FFF">
          <w:rPr>
            <w:rStyle w:val="Hyperlink"/>
            <w:rFonts w:eastAsiaTheme="majorEastAsia" w:cstheme="minorHAnsi"/>
            <w:b/>
            <w:bCs/>
            <w:color w:val="000000"/>
          </w:rPr>
          <w:t>2015</w:t>
        </w:r>
      </w:hyperlink>
      <w:r w:rsidRPr="00D22FFF">
        <w:rPr>
          <w:rFonts w:cstheme="minorHAnsi"/>
        </w:rPr>
        <w:t>). These studies suggest that soil K and P concentrations have a fundamental role in regulating forest productivity, and our analyses suggest that they also contribute to variation in ecosystem‐level AGB. On the other hand, Lewis </w:t>
      </w:r>
      <w:r w:rsidRPr="00D22FFF">
        <w:rPr>
          <w:rFonts w:cstheme="minorHAnsi"/>
          <w:i/>
          <w:iCs/>
        </w:rPr>
        <w:t>et al</w:t>
      </w:r>
      <w:r w:rsidRPr="00D22FFF">
        <w:rPr>
          <w:rFonts w:cstheme="minorHAnsi"/>
        </w:rPr>
        <w:t>. (</w:t>
      </w:r>
      <w:hyperlink r:id="rId173" w:anchor="jec12635-bib-0049" w:history="1">
        <w:r w:rsidRPr="00D22FFF">
          <w:rPr>
            <w:rStyle w:val="Hyperlink"/>
            <w:rFonts w:eastAsiaTheme="majorEastAsia" w:cstheme="minorHAnsi"/>
            <w:b/>
            <w:bCs/>
            <w:color w:val="000000"/>
          </w:rPr>
          <w:t>2013</w:t>
        </w:r>
      </w:hyperlink>
      <w:r w:rsidRPr="00D22FFF">
        <w:rPr>
          <w:rFonts w:cstheme="minorHAnsi"/>
        </w:rPr>
        <w:t>) found a negative correlation between AGB and soil fertility measured as the sum of base cations among African tropical forests. Nevertheless, at the large scales of their analysis soil fertility is correlated with climate gradients, and it is therefore difficult to decouple the confounding effects of these factors on AGB storage. Lewis </w:t>
      </w:r>
      <w:r w:rsidRPr="00D22FFF">
        <w:rPr>
          <w:rFonts w:cstheme="minorHAnsi"/>
          <w:i/>
          <w:iCs/>
        </w:rPr>
        <w:t>et al</w:t>
      </w:r>
      <w:r w:rsidRPr="00D22FFF">
        <w:rPr>
          <w:rFonts w:cstheme="minorHAnsi"/>
        </w:rPr>
        <w:t>. (</w:t>
      </w:r>
      <w:hyperlink r:id="rId174" w:anchor="jec12635-bib-0049" w:history="1">
        <w:r w:rsidRPr="00D22FFF">
          <w:rPr>
            <w:rStyle w:val="Hyperlink"/>
            <w:rFonts w:eastAsiaTheme="majorEastAsia" w:cstheme="minorHAnsi"/>
            <w:b/>
            <w:bCs/>
            <w:color w:val="000000"/>
          </w:rPr>
          <w:t>2013</w:t>
        </w:r>
      </w:hyperlink>
      <w:r w:rsidRPr="00D22FFF">
        <w:rPr>
          <w:rFonts w:cstheme="minorHAnsi"/>
        </w:rPr>
        <w:t>) concluded that more information on African forest is necessary to coherent understand factors contributing to AGB storage.</w:t>
      </w:r>
    </w:p>
    <w:p w14:paraId="200372E3" w14:textId="77777777" w:rsidR="005E11F2" w:rsidRPr="00D22FFF" w:rsidRDefault="005E11F2" w:rsidP="004F162D">
      <w:pPr>
        <w:rPr>
          <w:rFonts w:cstheme="minorHAnsi"/>
        </w:rPr>
      </w:pPr>
      <w:r w:rsidRPr="00D22FFF">
        <w:rPr>
          <w:rFonts w:cstheme="minorHAnsi"/>
        </w:rPr>
        <w:t>The emergence of soil pH as a key predictor of spatial variation in AGB follows from the association between soil acidity and numerous measures of soil chemical and biological fertility (Ashman &amp; Puri </w:t>
      </w:r>
      <w:hyperlink r:id="rId175" w:anchor="jec12635-bib-0002" w:history="1">
        <w:r w:rsidRPr="00D22FFF">
          <w:rPr>
            <w:rStyle w:val="Hyperlink"/>
            <w:rFonts w:eastAsiaTheme="majorEastAsia" w:cstheme="minorHAnsi"/>
            <w:b/>
            <w:bCs/>
            <w:color w:val="000000"/>
          </w:rPr>
          <w:t>2013</w:t>
        </w:r>
      </w:hyperlink>
      <w:r w:rsidRPr="00D22FFF">
        <w:rPr>
          <w:rFonts w:cstheme="minorHAnsi"/>
        </w:rPr>
        <w:t>), including many factors that were not measured in the study, such us microbial activity and the availability of toxic elements. Soil pH may also be an indicator of exchangeable cation concentrations, as a decline in pH may cause an increase cation solubility and losses through leaching (Turner </w:t>
      </w:r>
      <w:r w:rsidRPr="00D22FFF">
        <w:rPr>
          <w:rFonts w:cstheme="minorHAnsi"/>
          <w:i/>
          <w:iCs/>
        </w:rPr>
        <w:t>et al</w:t>
      </w:r>
      <w:r w:rsidRPr="00D22FFF">
        <w:rPr>
          <w:rFonts w:cstheme="minorHAnsi"/>
        </w:rPr>
        <w:t>. </w:t>
      </w:r>
      <w:hyperlink r:id="rId176" w:anchor="jec12635-bib-0082" w:history="1">
        <w:r w:rsidRPr="00D22FFF">
          <w:rPr>
            <w:rStyle w:val="Hyperlink"/>
            <w:rFonts w:eastAsiaTheme="majorEastAsia" w:cstheme="minorHAnsi"/>
            <w:b/>
            <w:bCs/>
            <w:color w:val="000000"/>
          </w:rPr>
          <w:t>2013</w:t>
        </w:r>
      </w:hyperlink>
      <w:r w:rsidRPr="00D22FFF">
        <w:rPr>
          <w:rFonts w:cstheme="minorHAnsi"/>
        </w:rPr>
        <w:t>). It is also important to bear in mind that most of the soil nutrient concentrations were intercorrelated, including pH (Appendix S2), which indicates that the availability of multiple nutrients would increase or decrease in parallel with variation in soil pH (Ashman &amp; Puri </w:t>
      </w:r>
      <w:hyperlink r:id="rId177" w:anchor="jec12635-bib-0002" w:history="1">
        <w:r w:rsidRPr="00D22FFF">
          <w:rPr>
            <w:rStyle w:val="Hyperlink"/>
            <w:rFonts w:eastAsiaTheme="majorEastAsia" w:cstheme="minorHAnsi"/>
            <w:b/>
            <w:bCs/>
            <w:color w:val="000000"/>
          </w:rPr>
          <w:t>2013</w:t>
        </w:r>
      </w:hyperlink>
      <w:r w:rsidRPr="00D22FFF">
        <w:rPr>
          <w:rFonts w:cstheme="minorHAnsi"/>
        </w:rPr>
        <w:t>). Soil fertility also varies with topographic variation (Appendix S2, Chadwick &amp; Asner </w:t>
      </w:r>
      <w:hyperlink r:id="rId178" w:anchor="jec12635-bib-0011" w:history="1">
        <w:r w:rsidRPr="00D22FFF">
          <w:rPr>
            <w:rStyle w:val="Hyperlink"/>
            <w:rFonts w:eastAsiaTheme="majorEastAsia" w:cstheme="minorHAnsi"/>
            <w:b/>
            <w:bCs/>
            <w:color w:val="000000"/>
          </w:rPr>
          <w:t>2016</w:t>
        </w:r>
      </w:hyperlink>
      <w:r w:rsidRPr="00D22FFF">
        <w:rPr>
          <w:rFonts w:cstheme="minorHAnsi"/>
        </w:rPr>
        <w:t>). These correlations point to an underlying gradient in multiple soil chemical properties that governs the spatial distribution of AGB.</w:t>
      </w:r>
    </w:p>
    <w:p w14:paraId="3F5B2D68" w14:textId="77777777" w:rsidR="005E11F2" w:rsidRPr="00D22FFF" w:rsidRDefault="005E11F2" w:rsidP="004F162D">
      <w:pPr>
        <w:rPr>
          <w:rFonts w:cstheme="minorHAnsi"/>
        </w:rPr>
      </w:pPr>
      <w:r w:rsidRPr="00D22FFF">
        <w:rPr>
          <w:rFonts w:cstheme="minorHAnsi"/>
        </w:rPr>
        <w:t>Our findings suggest that spatial variation in AGB may be linked to soil resource availability independently of patterns in stem density, which is indicative of soils driving differences in tree size class distributions and/or species composition (John </w:t>
      </w:r>
      <w:r w:rsidRPr="00D22FFF">
        <w:rPr>
          <w:rFonts w:cstheme="minorHAnsi"/>
          <w:i/>
          <w:iCs/>
        </w:rPr>
        <w:t>et al</w:t>
      </w:r>
      <w:r w:rsidRPr="00D22FFF">
        <w:rPr>
          <w:rFonts w:cstheme="minorHAnsi"/>
        </w:rPr>
        <w:t>. </w:t>
      </w:r>
      <w:hyperlink r:id="rId179" w:anchor="jec12635-bib-0042" w:history="1">
        <w:r w:rsidRPr="00D22FFF">
          <w:rPr>
            <w:rStyle w:val="Hyperlink"/>
            <w:rFonts w:eastAsiaTheme="majorEastAsia" w:cstheme="minorHAnsi"/>
            <w:b/>
            <w:bCs/>
            <w:color w:val="000000"/>
          </w:rPr>
          <w:t>2007</w:t>
        </w:r>
      </w:hyperlink>
      <w:r w:rsidRPr="00D22FFF">
        <w:rPr>
          <w:rFonts w:cstheme="minorHAnsi"/>
        </w:rPr>
        <w:t>). Other studies have determined that tree species distributions on the BCI plot are related to soil resource availability (Baldeck </w:t>
      </w:r>
      <w:r w:rsidRPr="00D22FFF">
        <w:rPr>
          <w:rFonts w:cstheme="minorHAnsi"/>
          <w:i/>
          <w:iCs/>
        </w:rPr>
        <w:t>et al</w:t>
      </w:r>
      <w:r w:rsidRPr="00D22FFF">
        <w:rPr>
          <w:rFonts w:cstheme="minorHAnsi"/>
        </w:rPr>
        <w:t>. </w:t>
      </w:r>
      <w:hyperlink r:id="rId180" w:anchor="jec12635-bib-0007" w:history="1">
        <w:r w:rsidRPr="00D22FFF">
          <w:rPr>
            <w:rStyle w:val="Hyperlink"/>
            <w:rFonts w:eastAsiaTheme="majorEastAsia" w:cstheme="minorHAnsi"/>
            <w:b/>
            <w:bCs/>
            <w:color w:val="000000"/>
          </w:rPr>
          <w:t>2013</w:t>
        </w:r>
      </w:hyperlink>
      <w:r w:rsidRPr="00D22FFF">
        <w:rPr>
          <w:rFonts w:cstheme="minorHAnsi"/>
        </w:rPr>
        <w:t>), which may contribute to differences in AGB (Poorter </w:t>
      </w:r>
      <w:r w:rsidRPr="00D22FFF">
        <w:rPr>
          <w:rFonts w:cstheme="minorHAnsi"/>
          <w:i/>
          <w:iCs/>
        </w:rPr>
        <w:t>et al</w:t>
      </w:r>
      <w:r w:rsidRPr="00D22FFF">
        <w:rPr>
          <w:rFonts w:cstheme="minorHAnsi"/>
        </w:rPr>
        <w:t>. </w:t>
      </w:r>
      <w:hyperlink r:id="rId181" w:anchor="jec12635-bib-0060" w:history="1">
        <w:r w:rsidRPr="00D22FFF">
          <w:rPr>
            <w:rStyle w:val="Hyperlink"/>
            <w:rFonts w:eastAsiaTheme="majorEastAsia" w:cstheme="minorHAnsi"/>
            <w:b/>
            <w:bCs/>
            <w:color w:val="000000"/>
          </w:rPr>
          <w:t>2015</w:t>
        </w:r>
      </w:hyperlink>
      <w:r w:rsidRPr="00D22FFF">
        <w:rPr>
          <w:rFonts w:cstheme="minorHAnsi"/>
        </w:rPr>
        <w:t>). We conclude that soil chemical and/or biological fertility acting at the individual tree scale contributes to spatial variation in AGB. This association may arise from spatial variation in factors such as species distributions, traits such as wood density that contribute to AGB, and/or a disproportionate development of larger trees in the most fertile sites.</w:t>
      </w:r>
    </w:p>
    <w:p w14:paraId="27E9B870" w14:textId="77777777" w:rsidR="005E11F2" w:rsidRPr="00D22FFF" w:rsidRDefault="005E11F2" w:rsidP="004F162D">
      <w:pPr>
        <w:pStyle w:val="Heading1"/>
        <w:rPr>
          <w:rFonts w:asciiTheme="minorHAnsi" w:hAnsiTheme="minorHAnsi" w:cstheme="minorHAnsi"/>
        </w:rPr>
      </w:pPr>
      <w:r w:rsidRPr="00D22FFF">
        <w:rPr>
          <w:rFonts w:asciiTheme="minorHAnsi" w:hAnsiTheme="minorHAnsi" w:cstheme="minorHAnsi"/>
        </w:rPr>
        <w:t>Acknowledgements</w:t>
      </w:r>
    </w:p>
    <w:p w14:paraId="4C55695E" w14:textId="77777777" w:rsidR="005E11F2" w:rsidRPr="00D22FFF" w:rsidRDefault="005E11F2" w:rsidP="004F162D">
      <w:pPr>
        <w:rPr>
          <w:rFonts w:cstheme="minorHAnsi"/>
        </w:rPr>
      </w:pPr>
      <w:r w:rsidRPr="00D22FFF">
        <w:rPr>
          <w:rFonts w:cstheme="minorHAnsi"/>
        </w:rPr>
        <w:t>This study was supported by the FP7‐PEOPLE‐2013‐IEF Marie‐Curie Action – SPATFOREST. Tree data from BCI were provided by the Center for Tropical Forest Science of the Smithsonian Tropical Research Institute and the primary granting agencies that have supported the BCI plot tree census. Data for the liana censuses were supported by the US National Science Foundation grants DEB‐0613666, DEB‐0845071 and DEB‐1019436 (to SAS). Soil data were funded by the National Science Foundation grants DEB021104, DEB021115, DEB0212284 and DEB0212818 supporting soils mapping in the BCI plot. We thank Helene Muller‐Landau for providing some data on tree height for some BCI trees. We also thank all the people who contributed to obtaining the data.</w:t>
      </w:r>
    </w:p>
    <w:p w14:paraId="03B81C56" w14:textId="77777777" w:rsidR="005E11F2" w:rsidRPr="00D22FFF" w:rsidRDefault="005E11F2" w:rsidP="004F162D">
      <w:pPr>
        <w:pStyle w:val="Heading1"/>
        <w:rPr>
          <w:rFonts w:asciiTheme="minorHAnsi" w:hAnsiTheme="minorHAnsi" w:cstheme="minorHAnsi"/>
        </w:rPr>
      </w:pPr>
      <w:r w:rsidRPr="00D22FFF">
        <w:rPr>
          <w:rFonts w:asciiTheme="minorHAnsi" w:hAnsiTheme="minorHAnsi" w:cstheme="minorHAnsi"/>
        </w:rPr>
        <w:t>Data accessibility</w:t>
      </w:r>
    </w:p>
    <w:p w14:paraId="4923B2E8" w14:textId="77777777" w:rsidR="005E11F2" w:rsidRPr="00D22FFF" w:rsidRDefault="005E11F2" w:rsidP="004F162D">
      <w:pPr>
        <w:rPr>
          <w:rFonts w:cstheme="minorHAnsi"/>
        </w:rPr>
      </w:pPr>
      <w:r w:rsidRPr="00D22FFF">
        <w:rPr>
          <w:rFonts w:cstheme="minorHAnsi"/>
        </w:rPr>
        <w:t>The Barro Colorado Forest Census Plot Data are archived and openly available for download from the Smithsonian Institute DSpace repository (</w:t>
      </w:r>
      <w:hyperlink r:id="rId182" w:history="1">
        <w:r w:rsidRPr="00D22FFF">
          <w:rPr>
            <w:rStyle w:val="Hyperlink"/>
            <w:rFonts w:eastAsiaTheme="majorEastAsia" w:cstheme="minorHAnsi"/>
            <w:b/>
            <w:bCs/>
            <w:color w:val="005274"/>
          </w:rPr>
          <w:t>http://dx.doi.org/10.5479/data.bci.20130603</w:t>
        </w:r>
      </w:hyperlink>
      <w:r w:rsidRPr="00D22FFF">
        <w:rPr>
          <w:rFonts w:cstheme="minorHAnsi"/>
        </w:rPr>
        <w:t>; Condit </w:t>
      </w:r>
      <w:r w:rsidRPr="00D22FFF">
        <w:rPr>
          <w:rFonts w:cstheme="minorHAnsi"/>
          <w:i/>
          <w:iCs/>
        </w:rPr>
        <w:t>et al</w:t>
      </w:r>
      <w:r w:rsidRPr="00D22FFF">
        <w:rPr>
          <w:rFonts w:cstheme="minorHAnsi"/>
        </w:rPr>
        <w:t>. </w:t>
      </w:r>
      <w:hyperlink r:id="rId183" w:anchor="jec12635-bib-0500" w:history="1">
        <w:r w:rsidRPr="00D22FFF">
          <w:rPr>
            <w:rStyle w:val="Hyperlink"/>
            <w:rFonts w:eastAsiaTheme="majorEastAsia" w:cstheme="minorHAnsi"/>
            <w:b/>
            <w:bCs/>
            <w:color w:val="000000"/>
          </w:rPr>
          <w:t>2012</w:t>
        </w:r>
      </w:hyperlink>
      <w:r w:rsidRPr="00D22FFF">
        <w:rPr>
          <w:rFonts w:cstheme="minorHAnsi"/>
        </w:rPr>
        <w:t>)</w:t>
      </w:r>
    </w:p>
    <w:p w14:paraId="3C06F2A1" w14:textId="7D1575EC" w:rsidR="005E11F2" w:rsidRPr="00D22FFF" w:rsidRDefault="00F74E31" w:rsidP="00F74E31">
      <w:pPr>
        <w:pStyle w:val="Heading1"/>
        <w:rPr>
          <w:rFonts w:asciiTheme="minorHAnsi" w:hAnsiTheme="minorHAnsi" w:cstheme="minorHAnsi"/>
        </w:rPr>
      </w:pPr>
      <w:r w:rsidRPr="00D22FFF">
        <w:rPr>
          <w:rFonts w:asciiTheme="minorHAnsi" w:hAnsiTheme="minorHAnsi" w:cstheme="minorHAnsi"/>
        </w:rPr>
        <w:t>References</w:t>
      </w:r>
    </w:p>
    <w:p w14:paraId="7E744FD8" w14:textId="77777777" w:rsidR="00F74E31" w:rsidRPr="00D22FFF" w:rsidRDefault="00F74E31" w:rsidP="00D22FFF">
      <w:pPr>
        <w:spacing w:after="0"/>
        <w:ind w:left="720" w:hanging="720"/>
        <w:rPr>
          <w:rFonts w:cstheme="minorHAnsi"/>
        </w:rPr>
      </w:pPr>
      <w:r w:rsidRPr="00D22FFF">
        <w:rPr>
          <w:rFonts w:cstheme="minorHAnsi"/>
        </w:rPr>
        <w:t>Anderson‐Teixeira, K.J., Davies, S.J., Bennett, A.M.Y.C., Muller‐landau, H.C. &amp; Wright, S.J. (2014) CTFS‐ForestGEO: a worldwide network monitoring forests in an era of global change. </w:t>
      </w:r>
      <w:r w:rsidRPr="00D22FFF">
        <w:rPr>
          <w:rFonts w:cstheme="minorHAnsi"/>
          <w:i/>
          <w:iCs/>
        </w:rPr>
        <w:t>Global Change Biology</w:t>
      </w:r>
      <w:r w:rsidRPr="00D22FFF">
        <w:rPr>
          <w:rFonts w:cstheme="minorHAnsi"/>
        </w:rPr>
        <w:t>, </w:t>
      </w:r>
      <w:r w:rsidRPr="00D22FFF">
        <w:rPr>
          <w:rFonts w:cstheme="minorHAnsi"/>
          <w:b/>
          <w:bCs/>
        </w:rPr>
        <w:t>21</w:t>
      </w:r>
      <w:r w:rsidRPr="00D22FFF">
        <w:rPr>
          <w:rFonts w:cstheme="minorHAnsi"/>
        </w:rPr>
        <w:t>, 528– 549.</w:t>
      </w:r>
    </w:p>
    <w:p w14:paraId="5076F701" w14:textId="77777777" w:rsidR="00F74E31" w:rsidRPr="00D22FFF" w:rsidRDefault="00F74E31" w:rsidP="00D22FFF">
      <w:pPr>
        <w:spacing w:after="0"/>
        <w:ind w:left="720" w:hanging="720"/>
        <w:rPr>
          <w:rFonts w:cstheme="minorHAnsi"/>
        </w:rPr>
      </w:pPr>
      <w:r w:rsidRPr="00D22FFF">
        <w:rPr>
          <w:rFonts w:cstheme="minorHAnsi"/>
        </w:rPr>
        <w:t>Ashman, M.R. &amp; Puri, G. (2013) </w:t>
      </w:r>
      <w:r w:rsidRPr="00D22FFF">
        <w:rPr>
          <w:rFonts w:cstheme="minorHAnsi"/>
          <w:i/>
          <w:iCs/>
        </w:rPr>
        <w:t>Essential Soil Science: A Clear and Concise Introduction to Soil Science</w:t>
      </w:r>
      <w:r w:rsidRPr="00D22FFF">
        <w:rPr>
          <w:rFonts w:cstheme="minorHAnsi"/>
        </w:rPr>
        <w:t>. Blackwell Publishing, Malden, MA, USA.</w:t>
      </w:r>
    </w:p>
    <w:p w14:paraId="2998D428" w14:textId="77777777" w:rsidR="00F74E31" w:rsidRPr="00D22FFF" w:rsidRDefault="00F74E31" w:rsidP="00D22FFF">
      <w:pPr>
        <w:spacing w:after="0"/>
        <w:ind w:left="720" w:hanging="720"/>
        <w:rPr>
          <w:rFonts w:cstheme="minorHAnsi"/>
        </w:rPr>
      </w:pPr>
      <w:r w:rsidRPr="00D22FFF">
        <w:rPr>
          <w:rFonts w:cstheme="minorHAnsi"/>
        </w:rPr>
        <w:t>Asner, G.P., Townsend, A.R., Bustamante, M., Nardoto, G.B. &amp; Olander, L.P. (2004) Pasture degradation in the central Amazon: linking changes in carbon and nutrient cycling with remote sensing. </w:t>
      </w:r>
      <w:r w:rsidRPr="00D22FFF">
        <w:rPr>
          <w:rFonts w:cstheme="minorHAnsi"/>
          <w:i/>
          <w:iCs/>
        </w:rPr>
        <w:t>Global Change Biology</w:t>
      </w:r>
      <w:r w:rsidRPr="00D22FFF">
        <w:rPr>
          <w:rFonts w:cstheme="minorHAnsi"/>
        </w:rPr>
        <w:t>, </w:t>
      </w:r>
      <w:r w:rsidRPr="00D22FFF">
        <w:rPr>
          <w:rFonts w:cstheme="minorHAnsi"/>
          <w:b/>
          <w:bCs/>
        </w:rPr>
        <w:t>10</w:t>
      </w:r>
      <w:r w:rsidRPr="00D22FFF">
        <w:rPr>
          <w:rFonts w:cstheme="minorHAnsi"/>
        </w:rPr>
        <w:t>, 844– 862.</w:t>
      </w:r>
    </w:p>
    <w:p w14:paraId="63EB182F" w14:textId="423147B2" w:rsidR="00F74E31" w:rsidRPr="00D22FFF" w:rsidRDefault="00F74E31" w:rsidP="00D22FFF">
      <w:pPr>
        <w:spacing w:after="0"/>
        <w:ind w:left="720" w:hanging="720"/>
        <w:rPr>
          <w:rFonts w:cstheme="minorHAnsi"/>
        </w:rPr>
      </w:pPr>
      <w:r w:rsidRPr="00D22FFF">
        <w:rPr>
          <w:rFonts w:cstheme="minorHAnsi"/>
        </w:rPr>
        <w:t>Asner, G.P., Powell, G.V.N., Mascaro, J., Knapp, D.E., Clark, J.K., Jacobson, J. </w:t>
      </w:r>
      <w:r w:rsidRPr="00D22FFF">
        <w:rPr>
          <w:rFonts w:cstheme="minorHAnsi"/>
          <w:i/>
          <w:iCs/>
        </w:rPr>
        <w:t>et al</w:t>
      </w:r>
      <w:r w:rsidRPr="00D22FFF">
        <w:rPr>
          <w:rFonts w:cstheme="minorHAnsi"/>
        </w:rPr>
        <w:t>. (2010) High‐resolution forest carbon stocks and emissions in the Amazon. </w:t>
      </w:r>
      <w:r w:rsidRPr="00D22FFF">
        <w:rPr>
          <w:rFonts w:cstheme="minorHAnsi"/>
          <w:i/>
          <w:iCs/>
        </w:rPr>
        <w:t>Proceedings of the National Academy of Sciences of the United States of America</w:t>
      </w:r>
      <w:r w:rsidRPr="00D22FFF">
        <w:rPr>
          <w:rFonts w:cstheme="minorHAnsi"/>
        </w:rPr>
        <w:t>, </w:t>
      </w:r>
      <w:r w:rsidRPr="00D22FFF">
        <w:rPr>
          <w:rFonts w:cstheme="minorHAnsi"/>
          <w:b/>
          <w:bCs/>
        </w:rPr>
        <w:t>107</w:t>
      </w:r>
      <w:r w:rsidRPr="00D22FFF">
        <w:rPr>
          <w:rFonts w:cstheme="minorHAnsi"/>
        </w:rPr>
        <w:t>, 16738– 16742.</w:t>
      </w:r>
    </w:p>
    <w:p w14:paraId="56CB126A" w14:textId="77777777" w:rsidR="00F74E31" w:rsidRPr="00D22FFF" w:rsidRDefault="00F74E31" w:rsidP="00D22FFF">
      <w:pPr>
        <w:spacing w:after="0"/>
        <w:ind w:left="720" w:hanging="720"/>
        <w:rPr>
          <w:rFonts w:cstheme="minorHAnsi"/>
        </w:rPr>
      </w:pPr>
      <w:r w:rsidRPr="00D22FFF">
        <w:rPr>
          <w:rFonts w:cstheme="minorHAnsi"/>
        </w:rPr>
        <w:t>Baker, T.R., Phillips, O.L., Malhi, Y., Almeida, S., Arroyo, L., Di Fiore, A. </w:t>
      </w:r>
      <w:r w:rsidRPr="00D22FFF">
        <w:rPr>
          <w:rFonts w:cstheme="minorHAnsi"/>
          <w:i/>
          <w:iCs/>
        </w:rPr>
        <w:t>et al</w:t>
      </w:r>
      <w:r w:rsidRPr="00D22FFF">
        <w:rPr>
          <w:rFonts w:cstheme="minorHAnsi"/>
        </w:rPr>
        <w:t>. (2004a) Increasing biomass in Amazonian forest plots. </w:t>
      </w:r>
      <w:r w:rsidRPr="00D22FFF">
        <w:rPr>
          <w:rFonts w:cstheme="minorHAnsi"/>
          <w:i/>
          <w:iCs/>
        </w:rPr>
        <w:t>Philosophical Transactions of the Royal Society of London Series B, Biological Sciences</w:t>
      </w:r>
      <w:r w:rsidRPr="00D22FFF">
        <w:rPr>
          <w:rFonts w:cstheme="minorHAnsi"/>
        </w:rPr>
        <w:t>, </w:t>
      </w:r>
      <w:r w:rsidRPr="00D22FFF">
        <w:rPr>
          <w:rFonts w:cstheme="minorHAnsi"/>
          <w:b/>
          <w:bCs/>
        </w:rPr>
        <w:t>359</w:t>
      </w:r>
      <w:r w:rsidRPr="00D22FFF">
        <w:rPr>
          <w:rFonts w:cstheme="minorHAnsi"/>
        </w:rPr>
        <w:t>, 353– 365.</w:t>
      </w:r>
    </w:p>
    <w:p w14:paraId="37C61AA9" w14:textId="77777777" w:rsidR="00F74E31" w:rsidRPr="00D22FFF" w:rsidRDefault="00F74E31" w:rsidP="00D22FFF">
      <w:pPr>
        <w:spacing w:after="0"/>
        <w:ind w:left="720" w:hanging="720"/>
        <w:rPr>
          <w:rFonts w:cstheme="minorHAnsi"/>
        </w:rPr>
      </w:pPr>
      <w:r w:rsidRPr="00D22FFF">
        <w:rPr>
          <w:rFonts w:cstheme="minorHAnsi"/>
        </w:rPr>
        <w:t>Baker, T., Phillips, O., Malhi, Y., Almeida, S., Arroyo, L., Di Fiore, A. </w:t>
      </w:r>
      <w:r w:rsidRPr="00D22FFF">
        <w:rPr>
          <w:rFonts w:cstheme="minorHAnsi"/>
          <w:i/>
          <w:iCs/>
        </w:rPr>
        <w:t>et al</w:t>
      </w:r>
      <w:r w:rsidRPr="00D22FFF">
        <w:rPr>
          <w:rFonts w:cstheme="minorHAnsi"/>
        </w:rPr>
        <w:t>. (2004b) Variation in wood density determines spatial patterns in Amazonian forest biomass. </w:t>
      </w:r>
      <w:r w:rsidRPr="00D22FFF">
        <w:rPr>
          <w:rFonts w:cstheme="minorHAnsi"/>
          <w:i/>
          <w:iCs/>
        </w:rPr>
        <w:t>Global Change Biology</w:t>
      </w:r>
      <w:r w:rsidRPr="00D22FFF">
        <w:rPr>
          <w:rFonts w:cstheme="minorHAnsi"/>
        </w:rPr>
        <w:t>, </w:t>
      </w:r>
      <w:r w:rsidRPr="00D22FFF">
        <w:rPr>
          <w:rFonts w:cstheme="minorHAnsi"/>
          <w:b/>
          <w:bCs/>
        </w:rPr>
        <w:t>10</w:t>
      </w:r>
      <w:r w:rsidRPr="00D22FFF">
        <w:rPr>
          <w:rFonts w:cstheme="minorHAnsi"/>
        </w:rPr>
        <w:t>, 545– 562.</w:t>
      </w:r>
    </w:p>
    <w:p w14:paraId="1389DC0B" w14:textId="77777777" w:rsidR="00F74E31" w:rsidRPr="00D22FFF" w:rsidRDefault="00F74E31" w:rsidP="00D22FFF">
      <w:pPr>
        <w:spacing w:after="0"/>
        <w:ind w:left="720" w:hanging="720"/>
        <w:rPr>
          <w:rFonts w:cstheme="minorHAnsi"/>
        </w:rPr>
      </w:pPr>
      <w:r w:rsidRPr="00D22FFF">
        <w:rPr>
          <w:rFonts w:cstheme="minorHAnsi"/>
        </w:rPr>
        <w:t>Baldeck, C.A., Harms, K.E., Yavitt, J.B., John, R., Turner, B.L., Navarrete, H. </w:t>
      </w:r>
      <w:r w:rsidRPr="00D22FFF">
        <w:rPr>
          <w:rFonts w:cstheme="minorHAnsi"/>
          <w:i/>
          <w:iCs/>
        </w:rPr>
        <w:t>et al</w:t>
      </w:r>
      <w:r w:rsidRPr="00D22FFF">
        <w:rPr>
          <w:rFonts w:cstheme="minorHAnsi"/>
        </w:rPr>
        <w:t>. (2013) Soil resources and topography shape local tree community structure in tropical forests. </w:t>
      </w:r>
      <w:r w:rsidRPr="00D22FFF">
        <w:rPr>
          <w:rFonts w:cstheme="minorHAnsi"/>
          <w:i/>
          <w:iCs/>
        </w:rPr>
        <w:t>Proceedings of the Royal Society B</w:t>
      </w:r>
      <w:r w:rsidRPr="00D22FFF">
        <w:rPr>
          <w:rFonts w:cstheme="minorHAnsi"/>
        </w:rPr>
        <w:t>, </w:t>
      </w:r>
      <w:r w:rsidRPr="00D22FFF">
        <w:rPr>
          <w:rFonts w:cstheme="minorHAnsi"/>
          <w:b/>
          <w:bCs/>
        </w:rPr>
        <w:t>280</w:t>
      </w:r>
      <w:r w:rsidRPr="00D22FFF">
        <w:rPr>
          <w:rFonts w:cstheme="minorHAnsi"/>
        </w:rPr>
        <w:t>, 1753.</w:t>
      </w:r>
    </w:p>
    <w:p w14:paraId="52D908C4" w14:textId="77777777" w:rsidR="00F74E31" w:rsidRPr="00D22FFF" w:rsidRDefault="00F74E31" w:rsidP="00D22FFF">
      <w:pPr>
        <w:spacing w:after="0"/>
        <w:ind w:left="720" w:hanging="720"/>
        <w:rPr>
          <w:rFonts w:cstheme="minorHAnsi"/>
        </w:rPr>
      </w:pPr>
      <w:r w:rsidRPr="00D22FFF">
        <w:rPr>
          <w:rFonts w:cstheme="minorHAnsi"/>
        </w:rPr>
        <w:t>Brown, S. &amp; Lugo, A. (1982) The storage and production of organic matter in tropical forests and their role in the global carbon cycle. </w:t>
      </w:r>
      <w:r w:rsidRPr="00D22FFF">
        <w:rPr>
          <w:rFonts w:cstheme="minorHAnsi"/>
          <w:i/>
          <w:iCs/>
        </w:rPr>
        <w:t>Biotropica</w:t>
      </w:r>
      <w:r w:rsidRPr="00D22FFF">
        <w:rPr>
          <w:rFonts w:cstheme="minorHAnsi"/>
        </w:rPr>
        <w:t>, </w:t>
      </w:r>
      <w:r w:rsidRPr="00D22FFF">
        <w:rPr>
          <w:rFonts w:cstheme="minorHAnsi"/>
          <w:b/>
          <w:bCs/>
        </w:rPr>
        <w:t>14</w:t>
      </w:r>
      <w:r w:rsidRPr="00D22FFF">
        <w:rPr>
          <w:rFonts w:cstheme="minorHAnsi"/>
        </w:rPr>
        <w:t>, 161– 187.</w:t>
      </w:r>
    </w:p>
    <w:p w14:paraId="7F9D1879" w14:textId="77777777" w:rsidR="00F74E31" w:rsidRPr="00D22FFF" w:rsidRDefault="00F74E31" w:rsidP="00D22FFF">
      <w:pPr>
        <w:spacing w:after="0"/>
        <w:ind w:left="720" w:hanging="720"/>
        <w:rPr>
          <w:rFonts w:cstheme="minorHAnsi"/>
        </w:rPr>
      </w:pPr>
      <w:r w:rsidRPr="00D22FFF">
        <w:rPr>
          <w:rFonts w:cstheme="minorHAnsi"/>
        </w:rPr>
        <w:t>Bunker, D.E., Declerck, F., Bradford, J.C., Colwell, R.K., Perfecto, I., Phillips, O.L., Sankaran, M. &amp; Naeem, S. (2005) Species loss and aboveground carbon storage in a tropical forest. </w:t>
      </w:r>
      <w:r w:rsidRPr="00D22FFF">
        <w:rPr>
          <w:rFonts w:cstheme="minorHAnsi"/>
          <w:i/>
          <w:iCs/>
        </w:rPr>
        <w:t>Science</w:t>
      </w:r>
      <w:r w:rsidRPr="00D22FFF">
        <w:rPr>
          <w:rFonts w:cstheme="minorHAnsi"/>
        </w:rPr>
        <w:t>, </w:t>
      </w:r>
      <w:r w:rsidRPr="00D22FFF">
        <w:rPr>
          <w:rFonts w:cstheme="minorHAnsi"/>
          <w:b/>
          <w:bCs/>
        </w:rPr>
        <w:t>310</w:t>
      </w:r>
      <w:r w:rsidRPr="00D22FFF">
        <w:rPr>
          <w:rFonts w:cstheme="minorHAnsi"/>
        </w:rPr>
        <w:t>, 1029– 1031.</w:t>
      </w:r>
    </w:p>
    <w:p w14:paraId="2705C518" w14:textId="77777777" w:rsidR="00F74E31" w:rsidRPr="00D22FFF" w:rsidRDefault="00F74E31" w:rsidP="00D22FFF">
      <w:pPr>
        <w:spacing w:after="0"/>
        <w:ind w:left="720" w:hanging="720"/>
        <w:rPr>
          <w:rFonts w:cstheme="minorHAnsi"/>
        </w:rPr>
      </w:pPr>
      <w:r w:rsidRPr="00D22FFF">
        <w:rPr>
          <w:rFonts w:cstheme="minorHAnsi"/>
        </w:rPr>
        <w:t>Canham, C.D., LePage, P.T. &amp; Coates, K.D. (2004) A neighborhood analysis of canopy tree competition: effects of shading versus crowding. </w:t>
      </w:r>
      <w:r w:rsidRPr="00D22FFF">
        <w:rPr>
          <w:rFonts w:cstheme="minorHAnsi"/>
          <w:i/>
          <w:iCs/>
        </w:rPr>
        <w:t>Canadian Journal of Forest Research</w:t>
      </w:r>
      <w:r w:rsidRPr="00D22FFF">
        <w:rPr>
          <w:rFonts w:cstheme="minorHAnsi"/>
        </w:rPr>
        <w:t>, </w:t>
      </w:r>
      <w:r w:rsidRPr="00D22FFF">
        <w:rPr>
          <w:rFonts w:cstheme="minorHAnsi"/>
          <w:b/>
          <w:bCs/>
        </w:rPr>
        <w:t>34</w:t>
      </w:r>
      <w:r w:rsidRPr="00D22FFF">
        <w:rPr>
          <w:rFonts w:cstheme="minorHAnsi"/>
        </w:rPr>
        <w:t>, 778– 787.</w:t>
      </w:r>
    </w:p>
    <w:p w14:paraId="40DE03AF" w14:textId="77777777" w:rsidR="00F74E31" w:rsidRPr="00D22FFF" w:rsidRDefault="00F74E31" w:rsidP="00D22FFF">
      <w:pPr>
        <w:spacing w:after="0"/>
        <w:ind w:left="720" w:hanging="720"/>
        <w:rPr>
          <w:rFonts w:cstheme="minorHAnsi"/>
        </w:rPr>
      </w:pPr>
      <w:r w:rsidRPr="00D22FFF">
        <w:rPr>
          <w:rFonts w:cstheme="minorHAnsi"/>
        </w:rPr>
        <w:t>Chadwick, K.D. &amp; Asner, G.P. (2016) Tropical soil nutrient distributions determined by biotic and hillslope processes. </w:t>
      </w:r>
      <w:r w:rsidRPr="00D22FFF">
        <w:rPr>
          <w:rFonts w:cstheme="minorHAnsi"/>
          <w:i/>
          <w:iCs/>
        </w:rPr>
        <w:t>Biogeochemistry</w:t>
      </w:r>
      <w:r w:rsidRPr="00D22FFF">
        <w:rPr>
          <w:rFonts w:cstheme="minorHAnsi"/>
        </w:rPr>
        <w:t>, </w:t>
      </w:r>
      <w:r w:rsidRPr="00D22FFF">
        <w:rPr>
          <w:rFonts w:cstheme="minorHAnsi"/>
          <w:b/>
          <w:bCs/>
        </w:rPr>
        <w:t>127</w:t>
      </w:r>
      <w:r w:rsidRPr="00D22FFF">
        <w:rPr>
          <w:rFonts w:cstheme="minorHAnsi"/>
        </w:rPr>
        <w:t>, 273– 289.</w:t>
      </w:r>
    </w:p>
    <w:p w14:paraId="57B960EA" w14:textId="77777777" w:rsidR="00F74E31" w:rsidRPr="00D22FFF" w:rsidRDefault="00F74E31" w:rsidP="00D22FFF">
      <w:pPr>
        <w:spacing w:after="0"/>
        <w:ind w:left="720" w:hanging="720"/>
        <w:rPr>
          <w:rFonts w:cstheme="minorHAnsi"/>
        </w:rPr>
      </w:pPr>
      <w:r w:rsidRPr="00D22FFF">
        <w:rPr>
          <w:rFonts w:cstheme="minorHAnsi"/>
        </w:rPr>
        <w:t>Chambers, J.Q., Higuchi, N., Teixeira, L.M., dos Santos, J., Laurance, S.G. &amp; Trumbore, S.E. (2004) Response of tree biomass and wood litter to disturbance in a Central Amazon forest. </w:t>
      </w:r>
      <w:r w:rsidRPr="00D22FFF">
        <w:rPr>
          <w:rFonts w:cstheme="minorHAnsi"/>
          <w:i/>
          <w:iCs/>
        </w:rPr>
        <w:t>Oecologia</w:t>
      </w:r>
      <w:r w:rsidRPr="00D22FFF">
        <w:rPr>
          <w:rFonts w:cstheme="minorHAnsi"/>
        </w:rPr>
        <w:t>, </w:t>
      </w:r>
      <w:r w:rsidRPr="00D22FFF">
        <w:rPr>
          <w:rFonts w:cstheme="minorHAnsi"/>
          <w:b/>
          <w:bCs/>
        </w:rPr>
        <w:t>141</w:t>
      </w:r>
      <w:r w:rsidRPr="00D22FFF">
        <w:rPr>
          <w:rFonts w:cstheme="minorHAnsi"/>
        </w:rPr>
        <w:t>, 596– 611.</w:t>
      </w:r>
    </w:p>
    <w:p w14:paraId="7430DED7" w14:textId="77777777" w:rsidR="00F74E31" w:rsidRPr="00D22FFF" w:rsidRDefault="00F74E31" w:rsidP="00D22FFF">
      <w:pPr>
        <w:spacing w:after="0"/>
        <w:ind w:left="720" w:hanging="720"/>
        <w:rPr>
          <w:rFonts w:cstheme="minorHAnsi"/>
        </w:rPr>
      </w:pPr>
      <w:r w:rsidRPr="00D22FFF">
        <w:rPr>
          <w:rFonts w:cstheme="minorHAnsi"/>
        </w:rPr>
        <w:t>Chave, J., Condit, R., Lao, S., Caspersen, J.P., Foster, R.B. &amp; Hubbell, S.P. (2003) Spatial and temporal variation of biomass in a tropical forest: results from a large census plot in Panama. </w:t>
      </w:r>
      <w:r w:rsidRPr="00D22FFF">
        <w:rPr>
          <w:rFonts w:cstheme="minorHAnsi"/>
          <w:i/>
          <w:iCs/>
        </w:rPr>
        <w:t>Journal of Ecology</w:t>
      </w:r>
      <w:r w:rsidRPr="00D22FFF">
        <w:rPr>
          <w:rFonts w:cstheme="minorHAnsi"/>
        </w:rPr>
        <w:t>, </w:t>
      </w:r>
      <w:r w:rsidRPr="00D22FFF">
        <w:rPr>
          <w:rFonts w:cstheme="minorHAnsi"/>
          <w:b/>
          <w:bCs/>
        </w:rPr>
        <w:t>91</w:t>
      </w:r>
      <w:r w:rsidRPr="00D22FFF">
        <w:rPr>
          <w:rFonts w:cstheme="minorHAnsi"/>
        </w:rPr>
        <w:t>, 240– 252.</w:t>
      </w:r>
    </w:p>
    <w:p w14:paraId="1CD03FDA" w14:textId="77777777" w:rsidR="00F74E31" w:rsidRPr="00D22FFF" w:rsidRDefault="00F74E31" w:rsidP="00D22FFF">
      <w:pPr>
        <w:spacing w:after="0"/>
        <w:ind w:left="720" w:hanging="720"/>
        <w:rPr>
          <w:rFonts w:cstheme="minorHAnsi"/>
        </w:rPr>
      </w:pPr>
      <w:r w:rsidRPr="00D22FFF">
        <w:rPr>
          <w:rFonts w:cstheme="minorHAnsi"/>
        </w:rPr>
        <w:t>Chave, J., Condit, R., Muller‐Landau, H.C., Thomas, S.C., Ashton, P.S., Bunyavejchewin, S. </w:t>
      </w:r>
      <w:r w:rsidRPr="00D22FFF">
        <w:rPr>
          <w:rFonts w:cstheme="minorHAnsi"/>
          <w:i/>
          <w:iCs/>
        </w:rPr>
        <w:t>et al</w:t>
      </w:r>
      <w:r w:rsidRPr="00D22FFF">
        <w:rPr>
          <w:rFonts w:cstheme="minorHAnsi"/>
        </w:rPr>
        <w:t>. (2008) Assessing evidence for a pervasive alteration in tropical tree communities. </w:t>
      </w:r>
      <w:r w:rsidRPr="00D22FFF">
        <w:rPr>
          <w:rFonts w:cstheme="minorHAnsi"/>
          <w:i/>
          <w:iCs/>
        </w:rPr>
        <w:t>PLoS Biology</w:t>
      </w:r>
      <w:r w:rsidRPr="00D22FFF">
        <w:rPr>
          <w:rFonts w:cstheme="minorHAnsi"/>
        </w:rPr>
        <w:t>, </w:t>
      </w:r>
      <w:r w:rsidRPr="00D22FFF">
        <w:rPr>
          <w:rFonts w:cstheme="minorHAnsi"/>
          <w:b/>
          <w:bCs/>
        </w:rPr>
        <w:t>6</w:t>
      </w:r>
      <w:r w:rsidRPr="00D22FFF">
        <w:rPr>
          <w:rFonts w:cstheme="minorHAnsi"/>
        </w:rPr>
        <w:t>, 0455– 0462.</w:t>
      </w:r>
    </w:p>
    <w:p w14:paraId="16C80794" w14:textId="77777777" w:rsidR="00F74E31" w:rsidRPr="00D22FFF" w:rsidRDefault="00F74E31" w:rsidP="00D22FFF">
      <w:pPr>
        <w:spacing w:after="0"/>
        <w:ind w:left="720" w:hanging="720"/>
        <w:rPr>
          <w:rFonts w:cstheme="minorHAnsi"/>
        </w:rPr>
      </w:pPr>
      <w:r w:rsidRPr="00D22FFF">
        <w:rPr>
          <w:rFonts w:cstheme="minorHAnsi"/>
        </w:rPr>
        <w:t>Chave, J., Réjou‐Méchain, M., Búrquez, A., Chidumayo, E., Colgan, M.S., Delitti, W.B.C. </w:t>
      </w:r>
      <w:r w:rsidRPr="00D22FFF">
        <w:rPr>
          <w:rFonts w:cstheme="minorHAnsi"/>
          <w:i/>
          <w:iCs/>
        </w:rPr>
        <w:t>et al</w:t>
      </w:r>
      <w:r w:rsidRPr="00D22FFF">
        <w:rPr>
          <w:rFonts w:cstheme="minorHAnsi"/>
        </w:rPr>
        <w:t>. (2014) Improved allometric models to estimate the aboveground biomass of tropical trees. </w:t>
      </w:r>
      <w:r w:rsidRPr="00D22FFF">
        <w:rPr>
          <w:rFonts w:cstheme="minorHAnsi"/>
          <w:i/>
          <w:iCs/>
        </w:rPr>
        <w:t>Global Change Biology</w:t>
      </w:r>
      <w:r w:rsidRPr="00D22FFF">
        <w:rPr>
          <w:rFonts w:cstheme="minorHAnsi"/>
        </w:rPr>
        <w:t>, </w:t>
      </w:r>
      <w:r w:rsidRPr="00D22FFF">
        <w:rPr>
          <w:rFonts w:cstheme="minorHAnsi"/>
          <w:b/>
          <w:bCs/>
        </w:rPr>
        <w:t>20</w:t>
      </w:r>
      <w:r w:rsidRPr="00D22FFF">
        <w:rPr>
          <w:rFonts w:cstheme="minorHAnsi"/>
        </w:rPr>
        <w:t>, 3177– 3190.</w:t>
      </w:r>
    </w:p>
    <w:p w14:paraId="7176A91E" w14:textId="77777777" w:rsidR="00F74E31" w:rsidRPr="00D22FFF" w:rsidRDefault="00F74E31" w:rsidP="00D22FFF">
      <w:pPr>
        <w:spacing w:after="0"/>
        <w:ind w:left="720" w:hanging="720"/>
        <w:rPr>
          <w:rFonts w:cstheme="minorHAnsi"/>
        </w:rPr>
      </w:pPr>
      <w:r w:rsidRPr="00D22FFF">
        <w:rPr>
          <w:rFonts w:cstheme="minorHAnsi"/>
        </w:rPr>
        <w:t>Chisholm, R., Muller‐Landau, H.C., Abdul Rahman, K., Bebber, D.P., Bin, Y., Bohlman, S.A. </w:t>
      </w:r>
      <w:r w:rsidRPr="00D22FFF">
        <w:rPr>
          <w:rFonts w:cstheme="minorHAnsi"/>
          <w:i/>
          <w:iCs/>
        </w:rPr>
        <w:t>et al</w:t>
      </w:r>
      <w:r w:rsidRPr="00D22FFF">
        <w:rPr>
          <w:rFonts w:cstheme="minorHAnsi"/>
        </w:rPr>
        <w:t>. (2013) Scale‐dependent relationships between tree species richness and ecosystem function in forests. </w:t>
      </w:r>
      <w:r w:rsidRPr="00D22FFF">
        <w:rPr>
          <w:rFonts w:cstheme="minorHAnsi"/>
          <w:i/>
          <w:iCs/>
        </w:rPr>
        <w:t>Journal of Ecology</w:t>
      </w:r>
      <w:r w:rsidRPr="00D22FFF">
        <w:rPr>
          <w:rFonts w:cstheme="minorHAnsi"/>
        </w:rPr>
        <w:t>, </w:t>
      </w:r>
      <w:r w:rsidRPr="00D22FFF">
        <w:rPr>
          <w:rFonts w:cstheme="minorHAnsi"/>
          <w:b/>
          <w:bCs/>
        </w:rPr>
        <w:t>101</w:t>
      </w:r>
      <w:r w:rsidRPr="00D22FFF">
        <w:rPr>
          <w:rFonts w:cstheme="minorHAnsi"/>
        </w:rPr>
        <w:t>, 1214– 1224.</w:t>
      </w:r>
    </w:p>
    <w:p w14:paraId="508ED2B1" w14:textId="77777777" w:rsidR="00F74E31" w:rsidRPr="00D22FFF" w:rsidRDefault="00F74E31" w:rsidP="00D22FFF">
      <w:pPr>
        <w:spacing w:after="0"/>
        <w:ind w:left="720" w:hanging="720"/>
        <w:rPr>
          <w:rFonts w:cstheme="minorHAnsi"/>
        </w:rPr>
      </w:pPr>
      <w:r w:rsidRPr="00D22FFF">
        <w:rPr>
          <w:rFonts w:cstheme="minorHAnsi"/>
        </w:rPr>
        <w:t>Clark, D.A., Clark, D.B. &amp; Oberbauer, S.F. (2013) Field–quantified responses of tropical rainforest aboveground productivity to increasing CO</w:t>
      </w:r>
      <w:r w:rsidRPr="00D22FFF">
        <w:rPr>
          <w:rFonts w:cstheme="minorHAnsi"/>
          <w:vertAlign w:val="subscript"/>
        </w:rPr>
        <w:t>2</w:t>
      </w:r>
      <w:r w:rsidRPr="00D22FFF">
        <w:rPr>
          <w:rFonts w:cstheme="minorHAnsi"/>
        </w:rPr>
        <w:t> and climatic stress, 1997–2009. </w:t>
      </w:r>
      <w:r w:rsidRPr="00D22FFF">
        <w:rPr>
          <w:rFonts w:cstheme="minorHAnsi"/>
          <w:i/>
          <w:iCs/>
        </w:rPr>
        <w:t>Journal of Geophysical Research: Biogeosciences</w:t>
      </w:r>
      <w:r w:rsidRPr="00D22FFF">
        <w:rPr>
          <w:rFonts w:cstheme="minorHAnsi"/>
        </w:rPr>
        <w:t>, </w:t>
      </w:r>
      <w:r w:rsidRPr="00D22FFF">
        <w:rPr>
          <w:rFonts w:cstheme="minorHAnsi"/>
          <w:b/>
          <w:bCs/>
        </w:rPr>
        <w:t>118</w:t>
      </w:r>
      <w:r w:rsidRPr="00D22FFF">
        <w:rPr>
          <w:rFonts w:cstheme="minorHAnsi"/>
        </w:rPr>
        <w:t>, 783– 794.</w:t>
      </w:r>
    </w:p>
    <w:p w14:paraId="2218EC9E" w14:textId="24652685" w:rsidR="00F74E31" w:rsidRPr="00D22FFF" w:rsidRDefault="00F74E31" w:rsidP="00D22FFF">
      <w:pPr>
        <w:spacing w:after="0"/>
        <w:ind w:left="720" w:hanging="720"/>
        <w:rPr>
          <w:rFonts w:cstheme="minorHAnsi"/>
        </w:rPr>
      </w:pPr>
      <w:r w:rsidRPr="00D22FFF">
        <w:rPr>
          <w:rFonts w:cstheme="minorHAnsi"/>
        </w:rPr>
        <w:t>Clark, D.B. &amp; Kellner, J.R. (2012) Tropical forest biomass estimation and the fallacy of misplaced concreteness. </w:t>
      </w:r>
      <w:r w:rsidRPr="00D22FFF">
        <w:rPr>
          <w:rFonts w:cstheme="minorHAnsi"/>
          <w:i/>
          <w:iCs/>
        </w:rPr>
        <w:t>Journal of Vegetation Science</w:t>
      </w:r>
      <w:r w:rsidRPr="00D22FFF">
        <w:rPr>
          <w:rFonts w:cstheme="minorHAnsi"/>
        </w:rPr>
        <w:t>, </w:t>
      </w:r>
      <w:r w:rsidRPr="00D22FFF">
        <w:rPr>
          <w:rFonts w:cstheme="minorHAnsi"/>
          <w:b/>
          <w:bCs/>
        </w:rPr>
        <w:t>23</w:t>
      </w:r>
      <w:r w:rsidRPr="00D22FFF">
        <w:rPr>
          <w:rFonts w:cstheme="minorHAnsi"/>
        </w:rPr>
        <w:t>, 1191– 1196.</w:t>
      </w:r>
    </w:p>
    <w:p w14:paraId="313A3813" w14:textId="77777777" w:rsidR="00F74E31" w:rsidRPr="00D22FFF" w:rsidRDefault="00F74E31" w:rsidP="00D22FFF">
      <w:pPr>
        <w:spacing w:after="0"/>
        <w:ind w:left="720" w:hanging="720"/>
        <w:rPr>
          <w:rFonts w:cstheme="minorHAnsi"/>
        </w:rPr>
      </w:pPr>
      <w:r w:rsidRPr="00D22FFF">
        <w:rPr>
          <w:rFonts w:cstheme="minorHAnsi"/>
        </w:rPr>
        <w:t>Clark, D.A., Piper, S.C., Keeling, C.D. &amp; Clark, D.B. (2003) Tropical rain forest tree growth and atmospheric carbon dynamics linked to interannual temperature variation during 1984‐2000. </w:t>
      </w:r>
      <w:r w:rsidRPr="00D22FFF">
        <w:rPr>
          <w:rFonts w:cstheme="minorHAnsi"/>
          <w:i/>
          <w:iCs/>
        </w:rPr>
        <w:t>Proceedings of the National Academy of Sciences of the United States of America</w:t>
      </w:r>
      <w:r w:rsidRPr="00D22FFF">
        <w:rPr>
          <w:rFonts w:cstheme="minorHAnsi"/>
        </w:rPr>
        <w:t>, </w:t>
      </w:r>
      <w:r w:rsidRPr="00D22FFF">
        <w:rPr>
          <w:rFonts w:cstheme="minorHAnsi"/>
          <w:b/>
          <w:bCs/>
        </w:rPr>
        <w:t>100</w:t>
      </w:r>
      <w:r w:rsidRPr="00D22FFF">
        <w:rPr>
          <w:rFonts w:cstheme="minorHAnsi"/>
        </w:rPr>
        <w:t>, 5852– 5857.</w:t>
      </w:r>
    </w:p>
    <w:p w14:paraId="2CBEBF10" w14:textId="77777777" w:rsidR="00F74E31" w:rsidRPr="00D22FFF" w:rsidRDefault="00F74E31" w:rsidP="00D22FFF">
      <w:pPr>
        <w:spacing w:after="0"/>
        <w:ind w:left="720" w:hanging="720"/>
        <w:rPr>
          <w:rFonts w:cstheme="minorHAnsi"/>
        </w:rPr>
      </w:pPr>
      <w:r w:rsidRPr="00D22FFF">
        <w:rPr>
          <w:rFonts w:cstheme="minorHAnsi"/>
        </w:rPr>
        <w:t>Condit, R. (1998) </w:t>
      </w:r>
      <w:r w:rsidRPr="00D22FFF">
        <w:rPr>
          <w:rFonts w:cstheme="minorHAnsi"/>
          <w:i/>
          <w:iCs/>
        </w:rPr>
        <w:t>Tropical Forest Census Plots: Methods and Results From Barro Colorado Island, Panama and a Comparison With Other Plots</w:t>
      </w:r>
      <w:r w:rsidRPr="00D22FFF">
        <w:rPr>
          <w:rFonts w:cstheme="minorHAnsi"/>
        </w:rPr>
        <w:t>. Springer Science &amp; Business Media, Georgetown, TX, USA.</w:t>
      </w:r>
    </w:p>
    <w:p w14:paraId="24756485" w14:textId="77777777" w:rsidR="00F74E31" w:rsidRPr="00D22FFF" w:rsidRDefault="00F74E31" w:rsidP="00D22FFF">
      <w:pPr>
        <w:spacing w:after="0"/>
        <w:ind w:left="720" w:hanging="720"/>
        <w:rPr>
          <w:rFonts w:cstheme="minorHAnsi"/>
        </w:rPr>
      </w:pPr>
      <w:r w:rsidRPr="00D22FFF">
        <w:rPr>
          <w:rFonts w:cstheme="minorHAnsi"/>
        </w:rPr>
        <w:t>Condit, R., Ashton, P.S., Manokaran, N., LaFrankie, J.V., Hubbell, S.P. &amp; Foster, R.B. (1999) Dynamics of the forest communities at Pasoh and Barro Colorado: comparing two 50‐ha plots. </w:t>
      </w:r>
      <w:r w:rsidRPr="00D22FFF">
        <w:rPr>
          <w:rFonts w:cstheme="minorHAnsi"/>
          <w:i/>
          <w:iCs/>
        </w:rPr>
        <w:t>Philosophical Transactions of the Royal Society of London Series B, Biological Sciences</w:t>
      </w:r>
      <w:r w:rsidRPr="00D22FFF">
        <w:rPr>
          <w:rFonts w:cstheme="minorHAnsi"/>
        </w:rPr>
        <w:t>, </w:t>
      </w:r>
      <w:r w:rsidRPr="00D22FFF">
        <w:rPr>
          <w:rFonts w:cstheme="minorHAnsi"/>
          <w:b/>
          <w:bCs/>
        </w:rPr>
        <w:t>354</w:t>
      </w:r>
      <w:r w:rsidRPr="00D22FFF">
        <w:rPr>
          <w:rFonts w:cstheme="minorHAnsi"/>
        </w:rPr>
        <w:t>, 1739– 1748.</w:t>
      </w:r>
    </w:p>
    <w:p w14:paraId="38C25230" w14:textId="77777777" w:rsidR="00F74E31" w:rsidRPr="00D22FFF" w:rsidRDefault="00F74E31" w:rsidP="00D22FFF">
      <w:pPr>
        <w:spacing w:after="0"/>
        <w:ind w:left="720" w:hanging="720"/>
        <w:rPr>
          <w:rFonts w:cstheme="minorHAnsi"/>
        </w:rPr>
      </w:pPr>
      <w:r w:rsidRPr="00D22FFF">
        <w:rPr>
          <w:rFonts w:cstheme="minorHAnsi"/>
        </w:rPr>
        <w:t>Condit, R., Lao, S., Pérez, R., Dolins, S.B., Foster, R.B. &amp; Hubbell, S.P. (2012) Barro Colorado Forest Census Plot Data, 2012 Version. </w:t>
      </w:r>
      <w:r w:rsidRPr="00D22FFF">
        <w:rPr>
          <w:rFonts w:cstheme="minorHAnsi"/>
          <w:i/>
          <w:iCs/>
        </w:rPr>
        <w:t>Center for Tropical Forest Science Databases</w:t>
      </w:r>
      <w:r w:rsidRPr="00D22FFF">
        <w:rPr>
          <w:rFonts w:cstheme="minorHAnsi"/>
        </w:rPr>
        <w:t>. </w:t>
      </w:r>
      <w:hyperlink r:id="rId184" w:history="1">
        <w:r w:rsidRPr="00D22FFF">
          <w:rPr>
            <w:rStyle w:val="Hyperlink"/>
            <w:rFonts w:cstheme="minorHAnsi"/>
          </w:rPr>
          <w:t>http://dx.doi.org/10.5479/data.bci.20130603</w:t>
        </w:r>
      </w:hyperlink>
      <w:r w:rsidRPr="00D22FFF">
        <w:rPr>
          <w:rFonts w:cstheme="minorHAnsi"/>
        </w:rPr>
        <w:t>.</w:t>
      </w:r>
    </w:p>
    <w:p w14:paraId="218DC5EA" w14:textId="77777777" w:rsidR="00F74E31" w:rsidRPr="00D22FFF" w:rsidRDefault="00F74E31" w:rsidP="00D22FFF">
      <w:pPr>
        <w:spacing w:after="0"/>
        <w:ind w:left="720" w:hanging="720"/>
        <w:rPr>
          <w:rFonts w:cstheme="minorHAnsi"/>
        </w:rPr>
      </w:pPr>
      <w:r w:rsidRPr="00D22FFF">
        <w:rPr>
          <w:rFonts w:cstheme="minorHAnsi"/>
        </w:rPr>
        <w:t>Coomes, D.A., Burslem, D.F.R.P. &amp; Simonson, W.D. (Eds) (2014) </w:t>
      </w:r>
      <w:r w:rsidRPr="00D22FFF">
        <w:rPr>
          <w:rFonts w:cstheme="minorHAnsi"/>
          <w:i/>
          <w:iCs/>
        </w:rPr>
        <w:t>Forests and Global Change</w:t>
      </w:r>
      <w:r w:rsidRPr="00D22FFF">
        <w:rPr>
          <w:rFonts w:cstheme="minorHAnsi"/>
        </w:rPr>
        <w:t>. Cambridge University Press, Cambridge, UK.</w:t>
      </w:r>
    </w:p>
    <w:p w14:paraId="11B0F7F2" w14:textId="77777777" w:rsidR="00F74E31" w:rsidRPr="00D22FFF" w:rsidRDefault="00F74E31" w:rsidP="00D22FFF">
      <w:pPr>
        <w:spacing w:after="0"/>
        <w:ind w:left="720" w:hanging="720"/>
        <w:rPr>
          <w:rFonts w:cstheme="minorHAnsi"/>
        </w:rPr>
      </w:pPr>
      <w:r w:rsidRPr="00D22FFF">
        <w:rPr>
          <w:rFonts w:cstheme="minorHAnsi"/>
        </w:rPr>
        <w:t>Cressie, N.A.C. (1993) </w:t>
      </w:r>
      <w:r w:rsidRPr="00D22FFF">
        <w:rPr>
          <w:rFonts w:cstheme="minorHAnsi"/>
          <w:i/>
          <w:iCs/>
        </w:rPr>
        <w:t>Statistics for Spatial Data</w:t>
      </w:r>
      <w:r w:rsidRPr="00D22FFF">
        <w:rPr>
          <w:rFonts w:cstheme="minorHAnsi"/>
        </w:rPr>
        <w:t>. Wiley, New York, NY, USA.</w:t>
      </w:r>
    </w:p>
    <w:p w14:paraId="132FFFC3" w14:textId="77777777" w:rsidR="00F74E31" w:rsidRPr="00D22FFF" w:rsidRDefault="00F74E31" w:rsidP="00D22FFF">
      <w:pPr>
        <w:spacing w:after="0"/>
        <w:ind w:left="720" w:hanging="720"/>
        <w:rPr>
          <w:rFonts w:cstheme="minorHAnsi"/>
        </w:rPr>
      </w:pPr>
      <w:r w:rsidRPr="00D22FFF">
        <w:rPr>
          <w:rFonts w:cstheme="minorHAnsi"/>
        </w:rPr>
        <w:t>Dalling, J.W., Schnitzer, S.A., Baldeck, C., Harms, K.E., John, R., Mangan, S.A., Lobo, E., Yavitt, J.B. &amp; Hubbell, S.P. (2012) Resource‐based habitat associations in a neotropical liana community. </w:t>
      </w:r>
      <w:r w:rsidRPr="00D22FFF">
        <w:rPr>
          <w:rFonts w:cstheme="minorHAnsi"/>
          <w:i/>
          <w:iCs/>
        </w:rPr>
        <w:t>Journal of Ecology</w:t>
      </w:r>
      <w:r w:rsidRPr="00D22FFF">
        <w:rPr>
          <w:rFonts w:cstheme="minorHAnsi"/>
        </w:rPr>
        <w:t>, </w:t>
      </w:r>
      <w:r w:rsidRPr="00D22FFF">
        <w:rPr>
          <w:rFonts w:cstheme="minorHAnsi"/>
          <w:b/>
          <w:bCs/>
        </w:rPr>
        <w:t>100</w:t>
      </w:r>
      <w:r w:rsidRPr="00D22FFF">
        <w:rPr>
          <w:rFonts w:cstheme="minorHAnsi"/>
        </w:rPr>
        <w:t>, 1174– 1182.</w:t>
      </w:r>
    </w:p>
    <w:p w14:paraId="75CC0B62" w14:textId="77777777" w:rsidR="00F74E31" w:rsidRPr="00D22FFF" w:rsidRDefault="00F74E31" w:rsidP="00D22FFF">
      <w:pPr>
        <w:spacing w:after="0"/>
        <w:ind w:left="720" w:hanging="720"/>
        <w:rPr>
          <w:rFonts w:cstheme="minorHAnsi"/>
        </w:rPr>
      </w:pPr>
      <w:r w:rsidRPr="00D22FFF">
        <w:rPr>
          <w:rFonts w:cstheme="minorHAnsi"/>
        </w:rPr>
        <w:t>Detto, M. &amp; Muller‐Landau, H.C. (2013) Fitting ecological process models to spatial patterns using scalewise variances and moment equations. </w:t>
      </w:r>
      <w:r w:rsidRPr="00D22FFF">
        <w:rPr>
          <w:rFonts w:cstheme="minorHAnsi"/>
          <w:i/>
          <w:iCs/>
        </w:rPr>
        <w:t>The American Naturalist</w:t>
      </w:r>
      <w:r w:rsidRPr="00D22FFF">
        <w:rPr>
          <w:rFonts w:cstheme="minorHAnsi"/>
        </w:rPr>
        <w:t>, </w:t>
      </w:r>
      <w:r w:rsidRPr="00D22FFF">
        <w:rPr>
          <w:rFonts w:cstheme="minorHAnsi"/>
          <w:b/>
          <w:bCs/>
        </w:rPr>
        <w:t>181</w:t>
      </w:r>
      <w:r w:rsidRPr="00D22FFF">
        <w:rPr>
          <w:rFonts w:cstheme="minorHAnsi"/>
        </w:rPr>
        <w:t>, E68– E82.</w:t>
      </w:r>
    </w:p>
    <w:p w14:paraId="6756DD45" w14:textId="77777777" w:rsidR="00F74E31" w:rsidRPr="00D22FFF" w:rsidRDefault="00F74E31" w:rsidP="00D22FFF">
      <w:pPr>
        <w:spacing w:after="0"/>
        <w:ind w:left="720" w:hanging="720"/>
        <w:rPr>
          <w:rFonts w:cstheme="minorHAnsi"/>
        </w:rPr>
      </w:pPr>
      <w:r w:rsidRPr="00D22FFF">
        <w:rPr>
          <w:rFonts w:cstheme="minorHAnsi"/>
        </w:rPr>
        <w:t>Detto, M., Muller‐Landau, H.C., Mascaro, J. &amp; Asner, G.P. (2013) Hydrological networks and associated topographic variation as templates for the spatial organization of tropical forest vegetation. </w:t>
      </w:r>
      <w:r w:rsidRPr="00D22FFF">
        <w:rPr>
          <w:rFonts w:cstheme="minorHAnsi"/>
          <w:i/>
          <w:iCs/>
        </w:rPr>
        <w:t>PLoS ONE</w:t>
      </w:r>
      <w:r w:rsidRPr="00D22FFF">
        <w:rPr>
          <w:rFonts w:cstheme="minorHAnsi"/>
        </w:rPr>
        <w:t>, </w:t>
      </w:r>
      <w:r w:rsidRPr="00D22FFF">
        <w:rPr>
          <w:rFonts w:cstheme="minorHAnsi"/>
          <w:b/>
          <w:bCs/>
        </w:rPr>
        <w:t>8</w:t>
      </w:r>
      <w:r w:rsidRPr="00D22FFF">
        <w:rPr>
          <w:rFonts w:cstheme="minorHAnsi"/>
        </w:rPr>
        <w:t>, e76296.</w:t>
      </w:r>
    </w:p>
    <w:p w14:paraId="0D998E1E" w14:textId="77777777" w:rsidR="00F74E31" w:rsidRPr="00D22FFF" w:rsidRDefault="00F74E31" w:rsidP="00D22FFF">
      <w:pPr>
        <w:spacing w:after="0"/>
        <w:ind w:left="720" w:hanging="720"/>
        <w:rPr>
          <w:rFonts w:cstheme="minorHAnsi"/>
        </w:rPr>
      </w:pPr>
      <w:r w:rsidRPr="00D22FFF">
        <w:rPr>
          <w:rFonts w:cstheme="minorHAnsi"/>
        </w:rPr>
        <w:t>Dickson, B., Bertzky, M., Christophersen, T., Epplea, C., Kapos, V., Miles, L., Narloch, U. &amp; Trumper, K. (2012) </w:t>
      </w:r>
      <w:r w:rsidRPr="00D22FFF">
        <w:rPr>
          <w:rFonts w:cstheme="minorHAnsi"/>
          <w:i/>
          <w:iCs/>
        </w:rPr>
        <w:t>REDD + Beyond Carbon?: Supporting Decisions on Safeguards and Multiple Benefits</w:t>
      </w:r>
      <w:r w:rsidRPr="00D22FFF">
        <w:rPr>
          <w:rFonts w:cstheme="minorHAnsi"/>
        </w:rPr>
        <w:t>. UN‐REDD Programme, Manitoba, Canada.</w:t>
      </w:r>
    </w:p>
    <w:p w14:paraId="7B5DBA58" w14:textId="77777777" w:rsidR="00F74E31" w:rsidRPr="00D22FFF" w:rsidRDefault="00F74E31" w:rsidP="00D22FFF">
      <w:pPr>
        <w:spacing w:after="0"/>
        <w:ind w:left="720" w:hanging="720"/>
        <w:rPr>
          <w:rFonts w:cstheme="minorHAnsi"/>
        </w:rPr>
      </w:pPr>
      <w:r w:rsidRPr="00D22FFF">
        <w:rPr>
          <w:rFonts w:cstheme="minorHAnsi"/>
        </w:rPr>
        <w:t>Dong, S.X., Davies, S.J., Ashton, P.S., Bunyavejchewin, S., Supardi, M.N.N., Kassim, A.R., Tan, S. &amp; Moorcroft, P.R. (2012) Variability in solar radiation and temperature explains observed patterns and trends in tree growth rates across four tropical forests. </w:t>
      </w:r>
      <w:r w:rsidRPr="00D22FFF">
        <w:rPr>
          <w:rFonts w:cstheme="minorHAnsi"/>
          <w:i/>
          <w:iCs/>
        </w:rPr>
        <w:t>Proceedings of the Royal Society B: Biological Sciences</w:t>
      </w:r>
      <w:r w:rsidRPr="00D22FFF">
        <w:rPr>
          <w:rFonts w:cstheme="minorHAnsi"/>
        </w:rPr>
        <w:t>, </w:t>
      </w:r>
      <w:r w:rsidRPr="00D22FFF">
        <w:rPr>
          <w:rFonts w:cstheme="minorHAnsi"/>
          <w:b/>
          <w:bCs/>
        </w:rPr>
        <w:t>279</w:t>
      </w:r>
      <w:r w:rsidRPr="00D22FFF">
        <w:rPr>
          <w:rFonts w:cstheme="minorHAnsi"/>
        </w:rPr>
        <w:t>, 3923– 3931.</w:t>
      </w:r>
    </w:p>
    <w:p w14:paraId="2C8E7913" w14:textId="77777777" w:rsidR="00F74E31" w:rsidRPr="00D22FFF" w:rsidRDefault="00F74E31" w:rsidP="00D22FFF">
      <w:pPr>
        <w:spacing w:after="0"/>
        <w:ind w:left="720" w:hanging="720"/>
        <w:rPr>
          <w:rFonts w:cstheme="minorHAnsi"/>
        </w:rPr>
      </w:pPr>
      <w:r w:rsidRPr="00D22FFF">
        <w:rPr>
          <w:rFonts w:cstheme="minorHAnsi"/>
        </w:rPr>
        <w:t>Durán, S.M. &amp; Gianoli, E. (2013) Carbon stocks in tropical forests decrease with liana density Carbon stocks in tropical forests decrease with liana density. </w:t>
      </w:r>
      <w:r w:rsidRPr="00D22FFF">
        <w:rPr>
          <w:rFonts w:cstheme="minorHAnsi"/>
          <w:i/>
          <w:iCs/>
        </w:rPr>
        <w:t>Biology Letters</w:t>
      </w:r>
      <w:r w:rsidRPr="00D22FFF">
        <w:rPr>
          <w:rFonts w:cstheme="minorHAnsi"/>
        </w:rPr>
        <w:t>, </w:t>
      </w:r>
      <w:r w:rsidRPr="00D22FFF">
        <w:rPr>
          <w:rFonts w:cstheme="minorHAnsi"/>
          <w:b/>
          <w:bCs/>
        </w:rPr>
        <w:t>9</w:t>
      </w:r>
      <w:r w:rsidRPr="00D22FFF">
        <w:rPr>
          <w:rFonts w:cstheme="minorHAnsi"/>
        </w:rPr>
        <w:t>, 20130301.</w:t>
      </w:r>
    </w:p>
    <w:p w14:paraId="333C3B12" w14:textId="77777777" w:rsidR="00F74E31" w:rsidRPr="00D22FFF" w:rsidRDefault="00F74E31" w:rsidP="00D22FFF">
      <w:pPr>
        <w:spacing w:after="0"/>
        <w:ind w:left="720" w:hanging="720"/>
        <w:rPr>
          <w:rFonts w:cstheme="minorHAnsi"/>
        </w:rPr>
      </w:pPr>
      <w:r w:rsidRPr="00D22FFF">
        <w:rPr>
          <w:rFonts w:cstheme="minorHAnsi"/>
        </w:rPr>
        <w:t>Feeley, K.J., Joseph Wright, S., Nur Supardi, M.N., Kassim, A.R. &amp; Davies, S.J. (2007) Decelerating growth in tropical forest trees. </w:t>
      </w:r>
      <w:r w:rsidRPr="00D22FFF">
        <w:rPr>
          <w:rFonts w:cstheme="minorHAnsi"/>
          <w:i/>
          <w:iCs/>
        </w:rPr>
        <w:t>Ecology Letters</w:t>
      </w:r>
      <w:r w:rsidRPr="00D22FFF">
        <w:rPr>
          <w:rFonts w:cstheme="minorHAnsi"/>
        </w:rPr>
        <w:t>, </w:t>
      </w:r>
      <w:r w:rsidRPr="00D22FFF">
        <w:rPr>
          <w:rFonts w:cstheme="minorHAnsi"/>
          <w:b/>
          <w:bCs/>
        </w:rPr>
        <w:t>10</w:t>
      </w:r>
      <w:r w:rsidRPr="00D22FFF">
        <w:rPr>
          <w:rFonts w:cstheme="minorHAnsi"/>
        </w:rPr>
        <w:t>, 461– 469.</w:t>
      </w:r>
    </w:p>
    <w:p w14:paraId="75964794" w14:textId="77777777" w:rsidR="00F74E31" w:rsidRPr="00D22FFF" w:rsidRDefault="00F74E31" w:rsidP="00D22FFF">
      <w:pPr>
        <w:spacing w:after="0"/>
        <w:ind w:left="720" w:hanging="720"/>
        <w:rPr>
          <w:rFonts w:cstheme="minorHAnsi"/>
        </w:rPr>
      </w:pPr>
      <w:r w:rsidRPr="00D22FFF">
        <w:rPr>
          <w:rFonts w:cstheme="minorHAnsi"/>
        </w:rPr>
        <w:t>Feldpausch, T.R., Lloyd, J., Lewis, S.L., Brienen, R.J.W., Gloor, M., Monteagudo Mendoza, A. </w:t>
      </w:r>
      <w:r w:rsidRPr="00D22FFF">
        <w:rPr>
          <w:rFonts w:cstheme="minorHAnsi"/>
          <w:i/>
          <w:iCs/>
        </w:rPr>
        <w:t>et al</w:t>
      </w:r>
      <w:r w:rsidRPr="00D22FFF">
        <w:rPr>
          <w:rFonts w:cstheme="minorHAnsi"/>
        </w:rPr>
        <w:t>. (2012) Tree height integrated into pantropical forest biomass estimates. </w:t>
      </w:r>
      <w:r w:rsidRPr="00D22FFF">
        <w:rPr>
          <w:rFonts w:cstheme="minorHAnsi"/>
          <w:i/>
          <w:iCs/>
        </w:rPr>
        <w:t>Biogeosciences</w:t>
      </w:r>
      <w:r w:rsidRPr="00D22FFF">
        <w:rPr>
          <w:rFonts w:cstheme="minorHAnsi"/>
        </w:rPr>
        <w:t>, </w:t>
      </w:r>
      <w:r w:rsidRPr="00D22FFF">
        <w:rPr>
          <w:rFonts w:cstheme="minorHAnsi"/>
          <w:b/>
          <w:bCs/>
        </w:rPr>
        <w:t>9</w:t>
      </w:r>
      <w:r w:rsidRPr="00D22FFF">
        <w:rPr>
          <w:rFonts w:cstheme="minorHAnsi"/>
        </w:rPr>
        <w:t>, 3381– 3403.</w:t>
      </w:r>
    </w:p>
    <w:p w14:paraId="6E609038" w14:textId="77777777" w:rsidR="00F74E31" w:rsidRPr="00D22FFF" w:rsidRDefault="00F74E31" w:rsidP="00D22FFF">
      <w:pPr>
        <w:spacing w:after="0"/>
        <w:ind w:left="720" w:hanging="720"/>
        <w:rPr>
          <w:rFonts w:cstheme="minorHAnsi"/>
        </w:rPr>
      </w:pPr>
      <w:r w:rsidRPr="00D22FFF">
        <w:rPr>
          <w:rFonts w:cstheme="minorHAnsi"/>
        </w:rPr>
        <w:t>Groenendijk, P., van der Sleen, P., Vlam, M., Bunyavejchewin, S., Bongers, F. &amp; Zuidema, P.A. (2015) No evidence for consistent long‐term growth stimulation of 13 tropical tree species: results from tree‐ring analysis. </w:t>
      </w:r>
      <w:r w:rsidRPr="00D22FFF">
        <w:rPr>
          <w:rFonts w:cstheme="minorHAnsi"/>
          <w:i/>
          <w:iCs/>
        </w:rPr>
        <w:t>Global Change Biology</w:t>
      </w:r>
      <w:r w:rsidRPr="00D22FFF">
        <w:rPr>
          <w:rFonts w:cstheme="minorHAnsi"/>
        </w:rPr>
        <w:t>, </w:t>
      </w:r>
      <w:r w:rsidRPr="00D22FFF">
        <w:rPr>
          <w:rFonts w:cstheme="minorHAnsi"/>
          <w:b/>
          <w:bCs/>
        </w:rPr>
        <w:t>21</w:t>
      </w:r>
      <w:r w:rsidRPr="00D22FFF">
        <w:rPr>
          <w:rFonts w:cstheme="minorHAnsi"/>
        </w:rPr>
        <w:t>, 3762– 3776.</w:t>
      </w:r>
    </w:p>
    <w:p w14:paraId="7E0F0829" w14:textId="77777777" w:rsidR="00F74E31" w:rsidRPr="00D22FFF" w:rsidRDefault="00F74E31" w:rsidP="00D22FFF">
      <w:pPr>
        <w:spacing w:after="0"/>
        <w:ind w:left="720" w:hanging="720"/>
        <w:rPr>
          <w:rFonts w:cstheme="minorHAnsi"/>
        </w:rPr>
      </w:pPr>
      <w:r w:rsidRPr="00D22FFF">
        <w:rPr>
          <w:rFonts w:cstheme="minorHAnsi"/>
        </w:rPr>
        <w:t>Harms, K.E., Condit, R., Hubbell, S.P. &amp; Foster, R.B. (2001) Habitat association of trees and shrubs in a 50‐ha neotropical forest plot. </w:t>
      </w:r>
      <w:r w:rsidRPr="00D22FFF">
        <w:rPr>
          <w:rFonts w:cstheme="minorHAnsi"/>
          <w:i/>
          <w:iCs/>
        </w:rPr>
        <w:t>Journal of Ecology</w:t>
      </w:r>
      <w:r w:rsidRPr="00D22FFF">
        <w:rPr>
          <w:rFonts w:cstheme="minorHAnsi"/>
        </w:rPr>
        <w:t>, </w:t>
      </w:r>
      <w:r w:rsidRPr="00D22FFF">
        <w:rPr>
          <w:rFonts w:cstheme="minorHAnsi"/>
          <w:b/>
          <w:bCs/>
        </w:rPr>
        <w:t>89</w:t>
      </w:r>
      <w:r w:rsidRPr="00D22FFF">
        <w:rPr>
          <w:rFonts w:cstheme="minorHAnsi"/>
        </w:rPr>
        <w:t>, 947– 959.</w:t>
      </w:r>
    </w:p>
    <w:p w14:paraId="4FF98F47" w14:textId="77777777" w:rsidR="00F74E31" w:rsidRPr="00D22FFF" w:rsidRDefault="00F74E31" w:rsidP="00D22FFF">
      <w:pPr>
        <w:spacing w:after="0"/>
        <w:ind w:left="720" w:hanging="720"/>
        <w:rPr>
          <w:rFonts w:cstheme="minorHAnsi"/>
        </w:rPr>
      </w:pPr>
      <w:r w:rsidRPr="00D22FFF">
        <w:rPr>
          <w:rFonts w:cstheme="minorHAnsi"/>
        </w:rPr>
        <w:t>van der Heijden, G.M.F. &amp; Phillips, O.L. (2009) Liana infestation impacts tree growth in a lowland tropical moist forest. </w:t>
      </w:r>
      <w:r w:rsidRPr="00D22FFF">
        <w:rPr>
          <w:rFonts w:cstheme="minorHAnsi"/>
          <w:i/>
          <w:iCs/>
        </w:rPr>
        <w:t>Biogeosciences Discussions</w:t>
      </w:r>
      <w:r w:rsidRPr="00D22FFF">
        <w:rPr>
          <w:rFonts w:cstheme="minorHAnsi"/>
        </w:rPr>
        <w:t>, </w:t>
      </w:r>
      <w:r w:rsidRPr="00D22FFF">
        <w:rPr>
          <w:rFonts w:cstheme="minorHAnsi"/>
          <w:b/>
          <w:bCs/>
        </w:rPr>
        <w:t>6</w:t>
      </w:r>
      <w:r w:rsidRPr="00D22FFF">
        <w:rPr>
          <w:rFonts w:cstheme="minorHAnsi"/>
        </w:rPr>
        <w:t>, 3133– 3158.</w:t>
      </w:r>
    </w:p>
    <w:p w14:paraId="2C074E46" w14:textId="77777777" w:rsidR="00F74E31" w:rsidRPr="00D22FFF" w:rsidRDefault="00F74E31" w:rsidP="00D22FFF">
      <w:pPr>
        <w:spacing w:after="0"/>
        <w:ind w:left="720" w:hanging="720"/>
        <w:rPr>
          <w:rFonts w:cstheme="minorHAnsi"/>
        </w:rPr>
      </w:pPr>
      <w:r w:rsidRPr="00D22FFF">
        <w:rPr>
          <w:rFonts w:cstheme="minorHAnsi"/>
        </w:rPr>
        <w:t>van der Heijden, G., Powers, J.S. &amp; Schnitzer, S.A. (2015) Lianas reduce forest‐level carbon accumulation and storage. </w:t>
      </w:r>
      <w:r w:rsidRPr="00D22FFF">
        <w:rPr>
          <w:rFonts w:cstheme="minorHAnsi"/>
          <w:i/>
          <w:iCs/>
        </w:rPr>
        <w:t>Nature</w:t>
      </w:r>
      <w:r w:rsidRPr="00D22FFF">
        <w:rPr>
          <w:rFonts w:cstheme="minorHAnsi"/>
        </w:rPr>
        <w:t>, </w:t>
      </w:r>
      <w:r w:rsidRPr="00D22FFF">
        <w:rPr>
          <w:rFonts w:cstheme="minorHAnsi"/>
          <w:b/>
          <w:bCs/>
        </w:rPr>
        <w:t>112</w:t>
      </w:r>
      <w:r w:rsidRPr="00D22FFF">
        <w:rPr>
          <w:rFonts w:cstheme="minorHAnsi"/>
        </w:rPr>
        <w:t>, 13267– 13271.</w:t>
      </w:r>
    </w:p>
    <w:p w14:paraId="0D1997EE" w14:textId="77777777" w:rsidR="00F74E31" w:rsidRPr="00D22FFF" w:rsidRDefault="00F74E31" w:rsidP="00D22FFF">
      <w:pPr>
        <w:spacing w:after="0"/>
        <w:ind w:left="720" w:hanging="720"/>
        <w:rPr>
          <w:rFonts w:cstheme="minorHAnsi"/>
        </w:rPr>
      </w:pPr>
      <w:r w:rsidRPr="00D22FFF">
        <w:rPr>
          <w:rFonts w:cstheme="minorHAnsi"/>
        </w:rPr>
        <w:t>Holtum, J.A.M. &amp; Winter, K. (2010) Elevated [CO</w:t>
      </w:r>
      <w:r w:rsidRPr="00D22FFF">
        <w:rPr>
          <w:rFonts w:cstheme="minorHAnsi"/>
          <w:vertAlign w:val="subscript"/>
        </w:rPr>
        <w:t>2</w:t>
      </w:r>
      <w:r w:rsidRPr="00D22FFF">
        <w:rPr>
          <w:rFonts w:cstheme="minorHAnsi"/>
        </w:rPr>
        <w:t>] and forest vegetation: more a water issue than a carbon issue? </w:t>
      </w:r>
      <w:r w:rsidRPr="00D22FFF">
        <w:rPr>
          <w:rFonts w:cstheme="minorHAnsi"/>
          <w:i/>
          <w:iCs/>
        </w:rPr>
        <w:t>Functional Plant Biology</w:t>
      </w:r>
      <w:r w:rsidRPr="00D22FFF">
        <w:rPr>
          <w:rFonts w:cstheme="minorHAnsi"/>
        </w:rPr>
        <w:t>, </w:t>
      </w:r>
      <w:r w:rsidRPr="00D22FFF">
        <w:rPr>
          <w:rFonts w:cstheme="minorHAnsi"/>
          <w:b/>
          <w:bCs/>
        </w:rPr>
        <w:t>37</w:t>
      </w:r>
      <w:r w:rsidRPr="00D22FFF">
        <w:rPr>
          <w:rFonts w:cstheme="minorHAnsi"/>
        </w:rPr>
        <w:t>, 694– 702.</w:t>
      </w:r>
    </w:p>
    <w:p w14:paraId="002040FE" w14:textId="77777777" w:rsidR="00F74E31" w:rsidRPr="00D22FFF" w:rsidRDefault="00F74E31" w:rsidP="00D22FFF">
      <w:pPr>
        <w:spacing w:after="0"/>
        <w:ind w:left="720" w:hanging="720"/>
        <w:rPr>
          <w:rFonts w:cstheme="minorHAnsi"/>
        </w:rPr>
      </w:pPr>
      <w:r w:rsidRPr="00D22FFF">
        <w:rPr>
          <w:rFonts w:cstheme="minorHAnsi"/>
        </w:rPr>
        <w:t>Hubbell, S.P., Foster, R.B., O'Brien, S.T., Harms, K., Condit, R., Wechsler, B., Wright, S.J. &amp; De Lao, S.L. (1999) Light‐gap disturbances, recruitment limitation, and tree diversity in a neotropical forest. </w:t>
      </w:r>
      <w:r w:rsidRPr="00D22FFF">
        <w:rPr>
          <w:rFonts w:cstheme="minorHAnsi"/>
          <w:i/>
          <w:iCs/>
        </w:rPr>
        <w:t>Science</w:t>
      </w:r>
      <w:r w:rsidRPr="00D22FFF">
        <w:rPr>
          <w:rFonts w:cstheme="minorHAnsi"/>
        </w:rPr>
        <w:t>, </w:t>
      </w:r>
      <w:r w:rsidRPr="00D22FFF">
        <w:rPr>
          <w:rFonts w:cstheme="minorHAnsi"/>
          <w:b/>
          <w:bCs/>
        </w:rPr>
        <w:t>283</w:t>
      </w:r>
      <w:r w:rsidRPr="00D22FFF">
        <w:rPr>
          <w:rFonts w:cstheme="minorHAnsi"/>
        </w:rPr>
        <w:t>, 554– 557.</w:t>
      </w:r>
    </w:p>
    <w:p w14:paraId="059091BB" w14:textId="6E3652F6" w:rsidR="00F74E31" w:rsidRPr="00D22FFF" w:rsidRDefault="00F74E31" w:rsidP="00D22FFF">
      <w:pPr>
        <w:spacing w:after="0"/>
        <w:ind w:left="720" w:hanging="720"/>
        <w:rPr>
          <w:rFonts w:cstheme="minorHAnsi"/>
        </w:rPr>
      </w:pPr>
      <w:r w:rsidRPr="00D22FFF">
        <w:rPr>
          <w:rFonts w:cstheme="minorHAnsi"/>
        </w:rPr>
        <w:t>Huston, M.A., Aarssen, L.W., Austin, M.P., Cade, B.S., Fridley, J.D., Garnier, E. </w:t>
      </w:r>
      <w:r w:rsidRPr="00D22FFF">
        <w:rPr>
          <w:rFonts w:cstheme="minorHAnsi"/>
          <w:i/>
          <w:iCs/>
        </w:rPr>
        <w:t>et al</w:t>
      </w:r>
      <w:r w:rsidRPr="00D22FFF">
        <w:rPr>
          <w:rFonts w:cstheme="minorHAnsi"/>
        </w:rPr>
        <w:t>. (2000) No consistent effect of plant diversity on productivity. </w:t>
      </w:r>
      <w:r w:rsidRPr="00D22FFF">
        <w:rPr>
          <w:rFonts w:cstheme="minorHAnsi"/>
          <w:i/>
          <w:iCs/>
        </w:rPr>
        <w:t>Science</w:t>
      </w:r>
      <w:r w:rsidRPr="00D22FFF">
        <w:rPr>
          <w:rFonts w:cstheme="minorHAnsi"/>
        </w:rPr>
        <w:t>, </w:t>
      </w:r>
      <w:r w:rsidRPr="00D22FFF">
        <w:rPr>
          <w:rFonts w:cstheme="minorHAnsi"/>
          <w:b/>
          <w:bCs/>
        </w:rPr>
        <w:t>289</w:t>
      </w:r>
      <w:r w:rsidRPr="00D22FFF">
        <w:rPr>
          <w:rFonts w:cstheme="minorHAnsi"/>
        </w:rPr>
        <w:t>, 1255a– 1255.</w:t>
      </w:r>
    </w:p>
    <w:p w14:paraId="4E42AC6D" w14:textId="229FAF26" w:rsidR="00F74E31" w:rsidRPr="00D22FFF" w:rsidRDefault="00F74E31" w:rsidP="00D22FFF">
      <w:pPr>
        <w:spacing w:after="0"/>
        <w:ind w:left="720" w:hanging="720"/>
        <w:rPr>
          <w:rFonts w:cstheme="minorHAnsi"/>
        </w:rPr>
      </w:pPr>
      <w:r w:rsidRPr="00D22FFF">
        <w:rPr>
          <w:rFonts w:cstheme="minorHAnsi"/>
        </w:rPr>
        <w:t>Illian, J.B., Sørbye, S.H., Rue, H. &amp; Hendrischsen, D. (2012) Using INLA to fit a complex point process model with temporally varying effects – A case study. </w:t>
      </w:r>
      <w:r w:rsidRPr="00D22FFF">
        <w:rPr>
          <w:rFonts w:cstheme="minorHAnsi"/>
          <w:i/>
          <w:iCs/>
        </w:rPr>
        <w:t>Journal of Environmental Statistics</w:t>
      </w:r>
      <w:r w:rsidRPr="00D22FFF">
        <w:rPr>
          <w:rFonts w:cstheme="minorHAnsi"/>
        </w:rPr>
        <w:t>, </w:t>
      </w:r>
      <w:r w:rsidRPr="00D22FFF">
        <w:rPr>
          <w:rFonts w:cstheme="minorHAnsi"/>
          <w:b/>
          <w:bCs/>
        </w:rPr>
        <w:t>3</w:t>
      </w:r>
      <w:r w:rsidRPr="00D22FFF">
        <w:rPr>
          <w:rFonts w:cstheme="minorHAnsi"/>
        </w:rPr>
        <w:t>.</w:t>
      </w:r>
    </w:p>
    <w:p w14:paraId="6EDDB34D" w14:textId="77777777" w:rsidR="00F74E31" w:rsidRPr="00D22FFF" w:rsidRDefault="00F74E31" w:rsidP="00D22FFF">
      <w:pPr>
        <w:spacing w:after="0"/>
        <w:ind w:left="720" w:hanging="720"/>
        <w:rPr>
          <w:rFonts w:cstheme="minorHAnsi"/>
        </w:rPr>
      </w:pPr>
      <w:r w:rsidRPr="00D22FFF">
        <w:rPr>
          <w:rFonts w:cstheme="minorHAnsi"/>
        </w:rPr>
        <w:t>Ingwell, L.L., Joseph Wright, S., Becklund, K.K., Hubbell, S.P. &amp; Schnitzer, S.A. (2010) The impact of lianas on 10 years of tree growth and mortality on Barro Colorado Island, Panama. </w:t>
      </w:r>
      <w:r w:rsidRPr="00D22FFF">
        <w:rPr>
          <w:rFonts w:cstheme="minorHAnsi"/>
          <w:i/>
          <w:iCs/>
        </w:rPr>
        <w:t>Journal of Ecology</w:t>
      </w:r>
      <w:r w:rsidRPr="00D22FFF">
        <w:rPr>
          <w:rFonts w:cstheme="minorHAnsi"/>
        </w:rPr>
        <w:t>, </w:t>
      </w:r>
      <w:r w:rsidRPr="00D22FFF">
        <w:rPr>
          <w:rFonts w:cstheme="minorHAnsi"/>
          <w:b/>
          <w:bCs/>
        </w:rPr>
        <w:t>98</w:t>
      </w:r>
      <w:r w:rsidRPr="00D22FFF">
        <w:rPr>
          <w:rFonts w:cstheme="minorHAnsi"/>
        </w:rPr>
        <w:t>, 879– 887.</w:t>
      </w:r>
    </w:p>
    <w:p w14:paraId="5CE34668" w14:textId="77777777" w:rsidR="00F74E31" w:rsidRPr="00D22FFF" w:rsidRDefault="00F74E31" w:rsidP="00D22FFF">
      <w:pPr>
        <w:spacing w:after="0"/>
        <w:ind w:left="720" w:hanging="720"/>
        <w:rPr>
          <w:rFonts w:cstheme="minorHAnsi"/>
        </w:rPr>
      </w:pPr>
      <w:r w:rsidRPr="00D22FFF">
        <w:rPr>
          <w:rFonts w:cstheme="minorHAnsi"/>
        </w:rPr>
        <w:t>Jansen, P.A., Meer, P.J.Van.der. &amp; Bongers, F. (2008) Spatial contagiousness of canopy disturbance in tropical rain forest: an individual‐tree‐based test. </w:t>
      </w:r>
      <w:r w:rsidRPr="00D22FFF">
        <w:rPr>
          <w:rFonts w:cstheme="minorHAnsi"/>
          <w:i/>
          <w:iCs/>
        </w:rPr>
        <w:t>Ecology</w:t>
      </w:r>
      <w:r w:rsidRPr="00D22FFF">
        <w:rPr>
          <w:rFonts w:cstheme="minorHAnsi"/>
        </w:rPr>
        <w:t>, </w:t>
      </w:r>
      <w:r w:rsidRPr="00D22FFF">
        <w:rPr>
          <w:rFonts w:cstheme="minorHAnsi"/>
          <w:b/>
          <w:bCs/>
        </w:rPr>
        <w:t>89</w:t>
      </w:r>
      <w:r w:rsidRPr="00D22FFF">
        <w:rPr>
          <w:rFonts w:cstheme="minorHAnsi"/>
        </w:rPr>
        <w:t>, 3490– 3502.</w:t>
      </w:r>
    </w:p>
    <w:p w14:paraId="1F8614C6" w14:textId="77777777" w:rsidR="00F74E31" w:rsidRPr="00D22FFF" w:rsidRDefault="00F74E31" w:rsidP="00D22FFF">
      <w:pPr>
        <w:spacing w:after="0"/>
        <w:ind w:left="720" w:hanging="720"/>
        <w:rPr>
          <w:rFonts w:cstheme="minorHAnsi"/>
        </w:rPr>
      </w:pPr>
      <w:r w:rsidRPr="00D22FFF">
        <w:rPr>
          <w:rFonts w:cstheme="minorHAnsi"/>
        </w:rPr>
        <w:t>John, R., Dalling, J.W., Harms, K.E., Yavitt, J.B., Stallard, R.F., Mirabello, M., Hubbell, S.P., Valencia, R., Navarrete, H., Vallejo, M. &amp; Foster, R.B. (2007) Soil nutrients influence spatial distributions of tropical tree species. </w:t>
      </w:r>
      <w:r w:rsidRPr="00D22FFF">
        <w:rPr>
          <w:rFonts w:cstheme="minorHAnsi"/>
          <w:i/>
          <w:iCs/>
        </w:rPr>
        <w:t>Proceedings of the National Academy of Sciences of the United States of America</w:t>
      </w:r>
      <w:r w:rsidRPr="00D22FFF">
        <w:rPr>
          <w:rFonts w:cstheme="minorHAnsi"/>
        </w:rPr>
        <w:t>, </w:t>
      </w:r>
      <w:r w:rsidRPr="00D22FFF">
        <w:rPr>
          <w:rFonts w:cstheme="minorHAnsi"/>
          <w:b/>
          <w:bCs/>
        </w:rPr>
        <w:t>104</w:t>
      </w:r>
      <w:r w:rsidRPr="00D22FFF">
        <w:rPr>
          <w:rFonts w:cstheme="minorHAnsi"/>
        </w:rPr>
        <w:t>, 864– 869.</w:t>
      </w:r>
    </w:p>
    <w:p w14:paraId="6E176DC4" w14:textId="77777777" w:rsidR="00F74E31" w:rsidRPr="00D22FFF" w:rsidRDefault="00F74E31" w:rsidP="00D22FFF">
      <w:pPr>
        <w:spacing w:after="0"/>
        <w:ind w:left="720" w:hanging="720"/>
        <w:rPr>
          <w:rFonts w:cstheme="minorHAnsi"/>
        </w:rPr>
      </w:pPr>
      <w:r w:rsidRPr="00D22FFF">
        <w:rPr>
          <w:rFonts w:cstheme="minorHAnsi"/>
        </w:rPr>
        <w:t>Kissling, W.D. &amp; Carl, G. (2007) Spatial autocorrelation and the selection of simultaneous autoregressive models. </w:t>
      </w:r>
      <w:r w:rsidRPr="00D22FFF">
        <w:rPr>
          <w:rFonts w:cstheme="minorHAnsi"/>
          <w:i/>
          <w:iCs/>
        </w:rPr>
        <w:t>Global Ecology and Biogeography</w:t>
      </w:r>
      <w:r w:rsidRPr="00D22FFF">
        <w:rPr>
          <w:rFonts w:cstheme="minorHAnsi"/>
        </w:rPr>
        <w:t>, </w:t>
      </w:r>
      <w:r w:rsidRPr="00D22FFF">
        <w:rPr>
          <w:rFonts w:cstheme="minorHAnsi"/>
          <w:b/>
          <w:bCs/>
        </w:rPr>
        <w:t>17</w:t>
      </w:r>
      <w:r w:rsidRPr="00D22FFF">
        <w:rPr>
          <w:rFonts w:cstheme="minorHAnsi"/>
        </w:rPr>
        <w:t>, 59– 71.</w:t>
      </w:r>
    </w:p>
    <w:p w14:paraId="533BF6BC" w14:textId="77777777" w:rsidR="00F74E31" w:rsidRPr="00D22FFF" w:rsidRDefault="00F74E31" w:rsidP="00D22FFF">
      <w:pPr>
        <w:spacing w:after="0"/>
        <w:ind w:left="720" w:hanging="720"/>
        <w:rPr>
          <w:rFonts w:cstheme="minorHAnsi"/>
        </w:rPr>
      </w:pPr>
      <w:r w:rsidRPr="00D22FFF">
        <w:rPr>
          <w:rFonts w:cstheme="minorHAnsi"/>
        </w:rPr>
        <w:t>Laurance, W.F., Fearnside, P.M., Laurance, S.G., Delamonica, P., Lovejoy, T.E., Rankin‐De Merona, J.M., Chambers, J.Q. &amp; Gascon, C. (1999) Relationship between soils and Amazon forest biomass: A landscape‐scale study. </w:t>
      </w:r>
      <w:r w:rsidRPr="00D22FFF">
        <w:rPr>
          <w:rFonts w:cstheme="minorHAnsi"/>
          <w:i/>
          <w:iCs/>
        </w:rPr>
        <w:t>Forest Ecology and Management</w:t>
      </w:r>
      <w:r w:rsidRPr="00D22FFF">
        <w:rPr>
          <w:rFonts w:cstheme="minorHAnsi"/>
        </w:rPr>
        <w:t>, </w:t>
      </w:r>
      <w:r w:rsidRPr="00D22FFF">
        <w:rPr>
          <w:rFonts w:cstheme="minorHAnsi"/>
          <w:b/>
          <w:bCs/>
        </w:rPr>
        <w:t>118</w:t>
      </w:r>
      <w:r w:rsidRPr="00D22FFF">
        <w:rPr>
          <w:rFonts w:cstheme="minorHAnsi"/>
        </w:rPr>
        <w:t>, 127– 138.</w:t>
      </w:r>
    </w:p>
    <w:p w14:paraId="37C90D50" w14:textId="77777777" w:rsidR="00F74E31" w:rsidRPr="00D22FFF" w:rsidRDefault="00F74E31" w:rsidP="00D22FFF">
      <w:pPr>
        <w:spacing w:after="0"/>
        <w:ind w:left="720" w:hanging="720"/>
        <w:rPr>
          <w:rFonts w:cstheme="minorHAnsi"/>
        </w:rPr>
      </w:pPr>
      <w:r w:rsidRPr="00D22FFF">
        <w:rPr>
          <w:rFonts w:cstheme="minorHAnsi"/>
        </w:rPr>
        <w:t>Laurance, W.F., Oliveira, A.A., Laurance, S.G., Condit, R., Nascimento, H.E.M., Sanchez‐Thorin, A.C., Lovejoy, T.E., Andrade, A., D'Angelo, S., Ribeiro, J.E. &amp; Dick, C.W. (2004) Pervasive alteration of tree communities in undisturbed Amazonian forests. </w:t>
      </w:r>
      <w:r w:rsidRPr="00D22FFF">
        <w:rPr>
          <w:rFonts w:cstheme="minorHAnsi"/>
          <w:i/>
          <w:iCs/>
        </w:rPr>
        <w:t>Nature</w:t>
      </w:r>
      <w:r w:rsidRPr="00D22FFF">
        <w:rPr>
          <w:rFonts w:cstheme="minorHAnsi"/>
        </w:rPr>
        <w:t>, </w:t>
      </w:r>
      <w:r w:rsidRPr="00D22FFF">
        <w:rPr>
          <w:rFonts w:cstheme="minorHAnsi"/>
          <w:b/>
          <w:bCs/>
        </w:rPr>
        <w:t>428</w:t>
      </w:r>
      <w:r w:rsidRPr="00D22FFF">
        <w:rPr>
          <w:rFonts w:cstheme="minorHAnsi"/>
        </w:rPr>
        <w:t>, 171– 175.</w:t>
      </w:r>
    </w:p>
    <w:p w14:paraId="6DFB17CF" w14:textId="4E1CAA21" w:rsidR="00F74E31" w:rsidRPr="00D22FFF" w:rsidRDefault="00F74E31" w:rsidP="00D22FFF">
      <w:pPr>
        <w:spacing w:after="0"/>
        <w:ind w:left="720" w:hanging="720"/>
        <w:rPr>
          <w:rFonts w:cstheme="minorHAnsi"/>
        </w:rPr>
      </w:pPr>
      <w:r w:rsidRPr="00D22FFF">
        <w:rPr>
          <w:rFonts w:cstheme="minorHAnsi"/>
        </w:rPr>
        <w:t>Lebrija‐Trejos, E., Wright, S.J., Hernández, A. &amp; Reich, P.B. (2014) Does relatedness matter? Phylogenetic density‐dependent survival of seedlings in a tropical forest. </w:t>
      </w:r>
      <w:r w:rsidRPr="00D22FFF">
        <w:rPr>
          <w:rFonts w:cstheme="minorHAnsi"/>
          <w:i/>
          <w:iCs/>
        </w:rPr>
        <w:t>Ecology</w:t>
      </w:r>
      <w:r w:rsidRPr="00D22FFF">
        <w:rPr>
          <w:rFonts w:cstheme="minorHAnsi"/>
        </w:rPr>
        <w:t>, </w:t>
      </w:r>
      <w:r w:rsidRPr="00D22FFF">
        <w:rPr>
          <w:rFonts w:cstheme="minorHAnsi"/>
          <w:b/>
          <w:bCs/>
        </w:rPr>
        <w:t>95</w:t>
      </w:r>
      <w:r w:rsidRPr="00D22FFF">
        <w:rPr>
          <w:rFonts w:cstheme="minorHAnsi"/>
        </w:rPr>
        <w:t>, 940– 951.</w:t>
      </w:r>
    </w:p>
    <w:p w14:paraId="54CD54DD" w14:textId="77777777" w:rsidR="00F74E31" w:rsidRPr="00D22FFF" w:rsidRDefault="00F74E31" w:rsidP="00D22FFF">
      <w:pPr>
        <w:spacing w:after="0"/>
        <w:ind w:left="720" w:hanging="720"/>
        <w:rPr>
          <w:rFonts w:cstheme="minorHAnsi"/>
        </w:rPr>
      </w:pPr>
      <w:r w:rsidRPr="00D22FFF">
        <w:rPr>
          <w:rFonts w:cstheme="minorHAnsi"/>
        </w:rPr>
        <w:t>Ledo, A. &amp; Schnitzer, S.A. (2014) Disturbance and clonal reproduction determine liana distribution and maintain liana diversity in a tropical forest. </w:t>
      </w:r>
      <w:r w:rsidRPr="00D22FFF">
        <w:rPr>
          <w:rFonts w:cstheme="minorHAnsi"/>
          <w:i/>
          <w:iCs/>
        </w:rPr>
        <w:t>Ecology</w:t>
      </w:r>
      <w:r w:rsidRPr="00D22FFF">
        <w:rPr>
          <w:rFonts w:cstheme="minorHAnsi"/>
        </w:rPr>
        <w:t>, </w:t>
      </w:r>
      <w:r w:rsidRPr="00D22FFF">
        <w:rPr>
          <w:rFonts w:cstheme="minorHAnsi"/>
          <w:b/>
          <w:bCs/>
        </w:rPr>
        <w:t>95</w:t>
      </w:r>
      <w:r w:rsidRPr="00D22FFF">
        <w:rPr>
          <w:rFonts w:cstheme="minorHAnsi"/>
        </w:rPr>
        <w:t>, 2169– 2178.</w:t>
      </w:r>
    </w:p>
    <w:p w14:paraId="24C17575" w14:textId="77777777" w:rsidR="00F74E31" w:rsidRPr="00D22FFF" w:rsidRDefault="00F74E31" w:rsidP="00D22FFF">
      <w:pPr>
        <w:spacing w:after="0"/>
        <w:ind w:left="720" w:hanging="720"/>
        <w:rPr>
          <w:rFonts w:cstheme="minorHAnsi"/>
        </w:rPr>
      </w:pPr>
      <w:r w:rsidRPr="00D22FFF">
        <w:rPr>
          <w:rFonts w:cstheme="minorHAnsi"/>
        </w:rPr>
        <w:t>Legendre, P. (1993) Spatial autocorrelation: trouble or new paradigm? </w:t>
      </w:r>
      <w:r w:rsidRPr="00D22FFF">
        <w:rPr>
          <w:rFonts w:cstheme="minorHAnsi"/>
          <w:i/>
          <w:iCs/>
        </w:rPr>
        <w:t>Ecology</w:t>
      </w:r>
      <w:r w:rsidRPr="00D22FFF">
        <w:rPr>
          <w:rFonts w:cstheme="minorHAnsi"/>
        </w:rPr>
        <w:t>, </w:t>
      </w:r>
      <w:r w:rsidRPr="00D22FFF">
        <w:rPr>
          <w:rFonts w:cstheme="minorHAnsi"/>
          <w:b/>
          <w:bCs/>
        </w:rPr>
        <w:t>74</w:t>
      </w:r>
      <w:r w:rsidRPr="00D22FFF">
        <w:rPr>
          <w:rFonts w:cstheme="minorHAnsi"/>
        </w:rPr>
        <w:t>, 1659– 1673.</w:t>
      </w:r>
    </w:p>
    <w:p w14:paraId="6CB4352A" w14:textId="77777777" w:rsidR="00F74E31" w:rsidRPr="00D22FFF" w:rsidRDefault="00F74E31" w:rsidP="00D22FFF">
      <w:pPr>
        <w:spacing w:after="0"/>
        <w:ind w:left="720" w:hanging="720"/>
        <w:rPr>
          <w:rFonts w:cstheme="minorHAnsi"/>
        </w:rPr>
      </w:pPr>
      <w:r w:rsidRPr="00D22FFF">
        <w:rPr>
          <w:rFonts w:cstheme="minorHAnsi"/>
        </w:rPr>
        <w:t>Lewis, S.L., Sonké, B., Sunderland, T., Begne, S.K., Lopez‐Gonzalez, G., van der Heijden, G.M.F. </w:t>
      </w:r>
      <w:r w:rsidRPr="00D22FFF">
        <w:rPr>
          <w:rFonts w:cstheme="minorHAnsi"/>
          <w:i/>
          <w:iCs/>
        </w:rPr>
        <w:t>et al</w:t>
      </w:r>
      <w:r w:rsidRPr="00D22FFF">
        <w:rPr>
          <w:rFonts w:cstheme="minorHAnsi"/>
        </w:rPr>
        <w:t>. (2013) Above‐ground biomass and structure of 260 African tropical forests. </w:t>
      </w:r>
      <w:r w:rsidRPr="00D22FFF">
        <w:rPr>
          <w:rFonts w:cstheme="minorHAnsi"/>
          <w:i/>
          <w:iCs/>
        </w:rPr>
        <w:t>Philosophical Transactions of the Royal Society B: Biological Sciences</w:t>
      </w:r>
      <w:r w:rsidRPr="00D22FFF">
        <w:rPr>
          <w:rFonts w:cstheme="minorHAnsi"/>
        </w:rPr>
        <w:t>, </w:t>
      </w:r>
      <w:r w:rsidRPr="00D22FFF">
        <w:rPr>
          <w:rFonts w:cstheme="minorHAnsi"/>
          <w:b/>
          <w:bCs/>
        </w:rPr>
        <w:t>368</w:t>
      </w:r>
      <w:r w:rsidRPr="00D22FFF">
        <w:rPr>
          <w:rFonts w:cstheme="minorHAnsi"/>
        </w:rPr>
        <w:t>, 20120295.</w:t>
      </w:r>
    </w:p>
    <w:p w14:paraId="39A2CD80" w14:textId="77777777" w:rsidR="00F74E31" w:rsidRPr="00D22FFF" w:rsidRDefault="00F74E31" w:rsidP="00D22FFF">
      <w:pPr>
        <w:spacing w:after="0"/>
        <w:ind w:left="720" w:hanging="720"/>
        <w:rPr>
          <w:rFonts w:cstheme="minorHAnsi"/>
        </w:rPr>
      </w:pPr>
      <w:r w:rsidRPr="00D22FFF">
        <w:rPr>
          <w:rFonts w:cstheme="minorHAnsi"/>
        </w:rPr>
        <w:t>Malhi, Y., Phillips, O., Lloyd, J., Baker, T., Wright, J., Almeida, S. </w:t>
      </w:r>
      <w:r w:rsidRPr="00D22FFF">
        <w:rPr>
          <w:rFonts w:cstheme="minorHAnsi"/>
          <w:i/>
          <w:iCs/>
        </w:rPr>
        <w:t>et al</w:t>
      </w:r>
      <w:r w:rsidRPr="00D22FFF">
        <w:rPr>
          <w:rFonts w:cstheme="minorHAnsi"/>
        </w:rPr>
        <w:t>. (2002) An international network to monitor the structure. </w:t>
      </w:r>
      <w:r w:rsidRPr="00D22FFF">
        <w:rPr>
          <w:rFonts w:cstheme="minorHAnsi"/>
          <w:i/>
          <w:iCs/>
        </w:rPr>
        <w:t>Journal of Vegetation Science</w:t>
      </w:r>
      <w:r w:rsidRPr="00D22FFF">
        <w:rPr>
          <w:rFonts w:cstheme="minorHAnsi"/>
        </w:rPr>
        <w:t>, </w:t>
      </w:r>
      <w:r w:rsidRPr="00D22FFF">
        <w:rPr>
          <w:rFonts w:cstheme="minorHAnsi"/>
          <w:b/>
          <w:bCs/>
        </w:rPr>
        <w:t>13</w:t>
      </w:r>
      <w:r w:rsidRPr="00D22FFF">
        <w:rPr>
          <w:rFonts w:cstheme="minorHAnsi"/>
        </w:rPr>
        <w:t>, 439– 450.</w:t>
      </w:r>
    </w:p>
    <w:p w14:paraId="1ACE2727" w14:textId="77777777" w:rsidR="00F74E31" w:rsidRPr="00D22FFF" w:rsidRDefault="00F74E31" w:rsidP="00D22FFF">
      <w:pPr>
        <w:spacing w:after="0"/>
        <w:ind w:left="720" w:hanging="720"/>
        <w:rPr>
          <w:rFonts w:cstheme="minorHAnsi"/>
        </w:rPr>
      </w:pPr>
      <w:r w:rsidRPr="00D22FFF">
        <w:rPr>
          <w:rFonts w:cstheme="minorHAnsi"/>
        </w:rPr>
        <w:t>Malhi, Y., Baker, T.R., Phillips, O.L., Almeida, S., Alvarez, E., Arroyo, L. </w:t>
      </w:r>
      <w:r w:rsidRPr="00D22FFF">
        <w:rPr>
          <w:rFonts w:cstheme="minorHAnsi"/>
          <w:i/>
          <w:iCs/>
        </w:rPr>
        <w:t>et al</w:t>
      </w:r>
      <w:r w:rsidRPr="00D22FFF">
        <w:rPr>
          <w:rFonts w:cstheme="minorHAnsi"/>
        </w:rPr>
        <w:t>. (2004) The above‐ground coarse wood productivity of 104 Neotropical forest plots. </w:t>
      </w:r>
      <w:r w:rsidRPr="00D22FFF">
        <w:rPr>
          <w:rFonts w:cstheme="minorHAnsi"/>
          <w:i/>
          <w:iCs/>
        </w:rPr>
        <w:t>Global Change Biology</w:t>
      </w:r>
      <w:r w:rsidRPr="00D22FFF">
        <w:rPr>
          <w:rFonts w:cstheme="minorHAnsi"/>
        </w:rPr>
        <w:t>, </w:t>
      </w:r>
      <w:r w:rsidRPr="00D22FFF">
        <w:rPr>
          <w:rFonts w:cstheme="minorHAnsi"/>
          <w:b/>
          <w:bCs/>
        </w:rPr>
        <w:t>10</w:t>
      </w:r>
      <w:r w:rsidRPr="00D22FFF">
        <w:rPr>
          <w:rFonts w:cstheme="minorHAnsi"/>
        </w:rPr>
        <w:t>, 563– 591.</w:t>
      </w:r>
    </w:p>
    <w:p w14:paraId="0B22B2FC" w14:textId="77777777" w:rsidR="00F74E31" w:rsidRPr="00D22FFF" w:rsidRDefault="00F74E31" w:rsidP="00D22FFF">
      <w:pPr>
        <w:spacing w:after="0"/>
        <w:ind w:left="720" w:hanging="720"/>
        <w:rPr>
          <w:rFonts w:cstheme="minorHAnsi"/>
        </w:rPr>
      </w:pPr>
      <w:r w:rsidRPr="00D22FFF">
        <w:rPr>
          <w:rFonts w:cstheme="minorHAnsi"/>
        </w:rPr>
        <w:t>Marvin, D.C., Asner, G.P., Knapp, D.E., Anderson, C.B., Martin, R.E., Sinca, F. &amp; Tupayachi, R. (2014) Amazonian landscapes and the bias in field studies of forest structure and biomass. </w:t>
      </w:r>
      <w:r w:rsidRPr="00D22FFF">
        <w:rPr>
          <w:rFonts w:cstheme="minorHAnsi"/>
          <w:i/>
          <w:iCs/>
        </w:rPr>
        <w:t>Proceedings of the National Academy of Sciences of the United States of America</w:t>
      </w:r>
      <w:r w:rsidRPr="00D22FFF">
        <w:rPr>
          <w:rFonts w:cstheme="minorHAnsi"/>
        </w:rPr>
        <w:t>, </w:t>
      </w:r>
      <w:r w:rsidRPr="00D22FFF">
        <w:rPr>
          <w:rFonts w:cstheme="minorHAnsi"/>
          <w:b/>
          <w:bCs/>
        </w:rPr>
        <w:t>111</w:t>
      </w:r>
      <w:r w:rsidRPr="00D22FFF">
        <w:rPr>
          <w:rFonts w:cstheme="minorHAnsi"/>
        </w:rPr>
        <w:t>, E5224– E5232.</w:t>
      </w:r>
    </w:p>
    <w:p w14:paraId="24CE682E" w14:textId="77777777" w:rsidR="00F74E31" w:rsidRPr="00D22FFF" w:rsidRDefault="00F74E31" w:rsidP="00D22FFF">
      <w:pPr>
        <w:spacing w:after="0"/>
        <w:ind w:left="720" w:hanging="720"/>
        <w:rPr>
          <w:rFonts w:cstheme="minorHAnsi"/>
        </w:rPr>
      </w:pPr>
      <w:r w:rsidRPr="00D22FFF">
        <w:rPr>
          <w:rFonts w:cstheme="minorHAnsi"/>
        </w:rPr>
        <w:t>Mascaro, J., Asner, G.P., Muller‐Landau, H.C., Van Breugel, M., Hall, J. &amp; Dahlin, K. (2011) Controls over aboveground forest carbon density on Barro Colorado Island, Panama. </w:t>
      </w:r>
      <w:r w:rsidRPr="00D22FFF">
        <w:rPr>
          <w:rFonts w:cstheme="minorHAnsi"/>
          <w:i/>
          <w:iCs/>
        </w:rPr>
        <w:t>Biogeosciences</w:t>
      </w:r>
      <w:r w:rsidRPr="00D22FFF">
        <w:rPr>
          <w:rFonts w:cstheme="minorHAnsi"/>
        </w:rPr>
        <w:t>, </w:t>
      </w:r>
      <w:r w:rsidRPr="00D22FFF">
        <w:rPr>
          <w:rFonts w:cstheme="minorHAnsi"/>
          <w:b/>
          <w:bCs/>
        </w:rPr>
        <w:t>8</w:t>
      </w:r>
      <w:r w:rsidRPr="00D22FFF">
        <w:rPr>
          <w:rFonts w:cstheme="minorHAnsi"/>
        </w:rPr>
        <w:t>, 1615– 1629.</w:t>
      </w:r>
    </w:p>
    <w:p w14:paraId="3D404497" w14:textId="77777777" w:rsidR="00F74E31" w:rsidRPr="00D22FFF" w:rsidRDefault="00F74E31" w:rsidP="00D22FFF">
      <w:pPr>
        <w:spacing w:after="0"/>
        <w:ind w:left="720" w:hanging="720"/>
        <w:rPr>
          <w:rFonts w:cstheme="minorHAnsi"/>
        </w:rPr>
      </w:pPr>
      <w:r w:rsidRPr="00D22FFF">
        <w:rPr>
          <w:rFonts w:cstheme="minorHAnsi"/>
        </w:rPr>
        <w:t>Pan, Y., Birdsey, R.A., Fang, J., Houghton, R., Kauppi, P.E., Kurz, W.A. </w:t>
      </w:r>
      <w:r w:rsidRPr="00D22FFF">
        <w:rPr>
          <w:rFonts w:cstheme="minorHAnsi"/>
          <w:i/>
          <w:iCs/>
        </w:rPr>
        <w:t>et al</w:t>
      </w:r>
      <w:r w:rsidRPr="00D22FFF">
        <w:rPr>
          <w:rFonts w:cstheme="minorHAnsi"/>
        </w:rPr>
        <w:t>. (2011) A Large and Persistent Carbon Sink in the World's Forests. </w:t>
      </w:r>
      <w:r w:rsidRPr="00D22FFF">
        <w:rPr>
          <w:rFonts w:cstheme="minorHAnsi"/>
          <w:i/>
          <w:iCs/>
        </w:rPr>
        <w:t>Science</w:t>
      </w:r>
      <w:r w:rsidRPr="00D22FFF">
        <w:rPr>
          <w:rFonts w:cstheme="minorHAnsi"/>
        </w:rPr>
        <w:t>, </w:t>
      </w:r>
      <w:r w:rsidRPr="00D22FFF">
        <w:rPr>
          <w:rFonts w:cstheme="minorHAnsi"/>
          <w:b/>
          <w:bCs/>
        </w:rPr>
        <w:t>333</w:t>
      </w:r>
      <w:r w:rsidRPr="00D22FFF">
        <w:rPr>
          <w:rFonts w:cstheme="minorHAnsi"/>
        </w:rPr>
        <w:t>, 988– 994.</w:t>
      </w:r>
    </w:p>
    <w:p w14:paraId="7EB98C63" w14:textId="77777777" w:rsidR="00F74E31" w:rsidRPr="00D22FFF" w:rsidRDefault="00F74E31" w:rsidP="00D22FFF">
      <w:pPr>
        <w:spacing w:after="0"/>
        <w:ind w:left="720" w:hanging="720"/>
        <w:rPr>
          <w:rFonts w:cstheme="minorHAnsi"/>
        </w:rPr>
      </w:pPr>
      <w:r w:rsidRPr="00D22FFF">
        <w:rPr>
          <w:rFonts w:cstheme="minorHAnsi"/>
        </w:rPr>
        <w:t>Pasquini, S.C. &amp; Santiago, L.S. (2012) Nutrients limit photosynthesis in seedlings of a lowland tropical forest tree species. </w:t>
      </w:r>
      <w:r w:rsidRPr="00D22FFF">
        <w:rPr>
          <w:rFonts w:cstheme="minorHAnsi"/>
          <w:i/>
          <w:iCs/>
        </w:rPr>
        <w:t>Oecologia</w:t>
      </w:r>
      <w:r w:rsidRPr="00D22FFF">
        <w:rPr>
          <w:rFonts w:cstheme="minorHAnsi"/>
        </w:rPr>
        <w:t>, </w:t>
      </w:r>
      <w:r w:rsidRPr="00D22FFF">
        <w:rPr>
          <w:rFonts w:cstheme="minorHAnsi"/>
          <w:b/>
          <w:bCs/>
        </w:rPr>
        <w:t>168</w:t>
      </w:r>
      <w:r w:rsidRPr="00D22FFF">
        <w:rPr>
          <w:rFonts w:cstheme="minorHAnsi"/>
        </w:rPr>
        <w:t>, 311– 319.</w:t>
      </w:r>
    </w:p>
    <w:p w14:paraId="05D0EF71" w14:textId="77777777" w:rsidR="00F74E31" w:rsidRPr="00D22FFF" w:rsidRDefault="00F74E31" w:rsidP="00D22FFF">
      <w:pPr>
        <w:spacing w:after="0"/>
        <w:ind w:left="720" w:hanging="720"/>
        <w:rPr>
          <w:rFonts w:cstheme="minorHAnsi"/>
        </w:rPr>
      </w:pPr>
      <w:r w:rsidRPr="00D22FFF">
        <w:rPr>
          <w:rFonts w:cstheme="minorHAnsi"/>
        </w:rPr>
        <w:t>Pasquini, S.C., Wright, A.J. &amp; Santiago, L.S. (2015) Lianas always outperform tree seedlings regardless of soil nutrients: results from a long‐term fertilization experiment. </w:t>
      </w:r>
      <w:r w:rsidRPr="00D22FFF">
        <w:rPr>
          <w:rFonts w:cstheme="minorHAnsi"/>
          <w:i/>
          <w:iCs/>
        </w:rPr>
        <w:t>Ecology</w:t>
      </w:r>
      <w:r w:rsidRPr="00D22FFF">
        <w:rPr>
          <w:rFonts w:cstheme="minorHAnsi"/>
        </w:rPr>
        <w:t>, </w:t>
      </w:r>
      <w:r w:rsidRPr="00D22FFF">
        <w:rPr>
          <w:rFonts w:cstheme="minorHAnsi"/>
          <w:b/>
          <w:bCs/>
        </w:rPr>
        <w:t>96</w:t>
      </w:r>
      <w:r w:rsidRPr="00D22FFF">
        <w:rPr>
          <w:rFonts w:cstheme="minorHAnsi"/>
        </w:rPr>
        <w:t>, 1866– 1876.</w:t>
      </w:r>
    </w:p>
    <w:p w14:paraId="7CCBB515" w14:textId="77777777" w:rsidR="00F74E31" w:rsidRPr="00D22FFF" w:rsidRDefault="00F74E31" w:rsidP="00D22FFF">
      <w:pPr>
        <w:spacing w:after="0"/>
        <w:ind w:left="720" w:hanging="720"/>
        <w:rPr>
          <w:rFonts w:cstheme="minorHAnsi"/>
        </w:rPr>
      </w:pPr>
      <w:r w:rsidRPr="00D22FFF">
        <w:rPr>
          <w:rFonts w:cstheme="minorHAnsi"/>
        </w:rPr>
        <w:t>Peters, H.A. (2003) Neighbour‐regulated mortality: the influence of positive and negative density dependence on tree populations in species‐rich tropical forests. </w:t>
      </w:r>
      <w:r w:rsidRPr="00D22FFF">
        <w:rPr>
          <w:rFonts w:cstheme="minorHAnsi"/>
          <w:i/>
          <w:iCs/>
        </w:rPr>
        <w:t>Ecology Letters</w:t>
      </w:r>
      <w:r w:rsidRPr="00D22FFF">
        <w:rPr>
          <w:rFonts w:cstheme="minorHAnsi"/>
        </w:rPr>
        <w:t>, </w:t>
      </w:r>
      <w:r w:rsidRPr="00D22FFF">
        <w:rPr>
          <w:rFonts w:cstheme="minorHAnsi"/>
          <w:b/>
          <w:bCs/>
        </w:rPr>
        <w:t>6</w:t>
      </w:r>
      <w:r w:rsidRPr="00D22FFF">
        <w:rPr>
          <w:rFonts w:cstheme="minorHAnsi"/>
        </w:rPr>
        <w:t>, 757– 765.</w:t>
      </w:r>
    </w:p>
    <w:p w14:paraId="41BE23AE" w14:textId="77777777" w:rsidR="00F74E31" w:rsidRPr="00D22FFF" w:rsidRDefault="00F74E31" w:rsidP="00D22FFF">
      <w:pPr>
        <w:spacing w:after="0"/>
        <w:ind w:left="720" w:hanging="720"/>
        <w:rPr>
          <w:rFonts w:cstheme="minorHAnsi"/>
        </w:rPr>
      </w:pPr>
      <w:r w:rsidRPr="00D22FFF">
        <w:rPr>
          <w:rFonts w:cstheme="minorHAnsi"/>
        </w:rPr>
        <w:t>Phillips, O.L., Malhi, Y., Higuchi, N., Laurance, W., Nuñez, P., Vásquez, R., Laurance, S., Ferreira, L., Stern, M., Brown, S. &amp; Grace, J. (1998) Changes in the carbon balance of Tropical Forests: evidence from long‐term plots. </w:t>
      </w:r>
      <w:r w:rsidRPr="00D22FFF">
        <w:rPr>
          <w:rFonts w:cstheme="minorHAnsi"/>
          <w:i/>
          <w:iCs/>
        </w:rPr>
        <w:t>Science</w:t>
      </w:r>
      <w:r w:rsidRPr="00D22FFF">
        <w:rPr>
          <w:rFonts w:cstheme="minorHAnsi"/>
        </w:rPr>
        <w:t>, </w:t>
      </w:r>
      <w:r w:rsidRPr="00D22FFF">
        <w:rPr>
          <w:rFonts w:cstheme="minorHAnsi"/>
          <w:b/>
          <w:bCs/>
        </w:rPr>
        <w:t>282</w:t>
      </w:r>
      <w:r w:rsidRPr="00D22FFF">
        <w:rPr>
          <w:rFonts w:cstheme="minorHAnsi"/>
        </w:rPr>
        <w:t>, 439– 442.</w:t>
      </w:r>
    </w:p>
    <w:p w14:paraId="59BB0151" w14:textId="77777777" w:rsidR="00F74E31" w:rsidRPr="00D22FFF" w:rsidRDefault="00F74E31" w:rsidP="00D22FFF">
      <w:pPr>
        <w:spacing w:after="0"/>
        <w:ind w:left="720" w:hanging="720"/>
        <w:rPr>
          <w:rFonts w:cstheme="minorHAnsi"/>
        </w:rPr>
      </w:pPr>
      <w:r w:rsidRPr="00D22FFF">
        <w:rPr>
          <w:rFonts w:cstheme="minorHAnsi"/>
        </w:rPr>
        <w:t>Phillips, O.L., Higuchi, N., Vieira, S., Baker, T.R., Chao, K.J. &amp; Lewis, S.L. (2009) Changes in Amazonian forest biomass, dynamics, and composition, 1980‐2002. </w:t>
      </w:r>
      <w:r w:rsidRPr="00D22FFF">
        <w:rPr>
          <w:rFonts w:cstheme="minorHAnsi"/>
          <w:i/>
          <w:iCs/>
        </w:rPr>
        <w:t>Geophysical Monograph Series</w:t>
      </w:r>
      <w:r w:rsidRPr="00D22FFF">
        <w:rPr>
          <w:rFonts w:cstheme="minorHAnsi"/>
        </w:rPr>
        <w:t>, </w:t>
      </w:r>
      <w:r w:rsidRPr="00D22FFF">
        <w:rPr>
          <w:rFonts w:cstheme="minorHAnsi"/>
          <w:b/>
          <w:bCs/>
        </w:rPr>
        <w:t>186</w:t>
      </w:r>
      <w:r w:rsidRPr="00D22FFF">
        <w:rPr>
          <w:rFonts w:cstheme="minorHAnsi"/>
        </w:rPr>
        <w:t>, 373– 387.</w:t>
      </w:r>
    </w:p>
    <w:p w14:paraId="6D96F9DC" w14:textId="77777777" w:rsidR="00F74E31" w:rsidRPr="00D22FFF" w:rsidRDefault="00F74E31" w:rsidP="00D22FFF">
      <w:pPr>
        <w:spacing w:after="0"/>
        <w:ind w:left="720" w:hanging="720"/>
        <w:rPr>
          <w:rFonts w:cstheme="minorHAnsi"/>
        </w:rPr>
      </w:pPr>
      <w:r w:rsidRPr="00D22FFF">
        <w:rPr>
          <w:rFonts w:cstheme="minorHAnsi"/>
        </w:rPr>
        <w:t>Poorter, L., van der sande, T., Thompson, J., Arets, E.J.M.M., Alarcón, A., Álvarez‐Sánchez, J. </w:t>
      </w:r>
      <w:r w:rsidRPr="00D22FFF">
        <w:rPr>
          <w:rFonts w:cstheme="minorHAnsi"/>
          <w:i/>
          <w:iCs/>
        </w:rPr>
        <w:t>et al</w:t>
      </w:r>
      <w:r w:rsidRPr="00D22FFF">
        <w:rPr>
          <w:rFonts w:cstheme="minorHAnsi"/>
        </w:rPr>
        <w:t>. (2015) Diversity enhances carbon storage in tropical forests. </w:t>
      </w:r>
      <w:r w:rsidRPr="00D22FFF">
        <w:rPr>
          <w:rFonts w:cstheme="minorHAnsi"/>
          <w:i/>
          <w:iCs/>
        </w:rPr>
        <w:t>Global Ecology and Biogeography</w:t>
      </w:r>
      <w:r w:rsidRPr="00D22FFF">
        <w:rPr>
          <w:rFonts w:cstheme="minorHAnsi"/>
        </w:rPr>
        <w:t>, </w:t>
      </w:r>
      <w:r w:rsidRPr="00D22FFF">
        <w:rPr>
          <w:rFonts w:cstheme="minorHAnsi"/>
          <w:b/>
          <w:bCs/>
        </w:rPr>
        <w:t>24</w:t>
      </w:r>
      <w:r w:rsidRPr="00D22FFF">
        <w:rPr>
          <w:rFonts w:cstheme="minorHAnsi"/>
        </w:rPr>
        <w:t>, 1314– 1328.</w:t>
      </w:r>
    </w:p>
    <w:p w14:paraId="15C53872" w14:textId="77777777" w:rsidR="00F74E31" w:rsidRPr="00D22FFF" w:rsidRDefault="00F74E31" w:rsidP="00D22FFF">
      <w:pPr>
        <w:spacing w:after="0"/>
        <w:ind w:left="720" w:hanging="720"/>
        <w:rPr>
          <w:rFonts w:cstheme="minorHAnsi"/>
        </w:rPr>
      </w:pPr>
      <w:r w:rsidRPr="00D22FFF">
        <w:rPr>
          <w:rFonts w:cstheme="minorHAnsi"/>
        </w:rPr>
        <w:t>Quantum, G.I.S. (2013) </w:t>
      </w:r>
      <w:r w:rsidRPr="00D22FFF">
        <w:rPr>
          <w:rFonts w:cstheme="minorHAnsi"/>
          <w:i/>
          <w:iCs/>
        </w:rPr>
        <w:t>Quantum GIS Geographic Information System</w:t>
      </w:r>
      <w:r w:rsidRPr="00D22FFF">
        <w:rPr>
          <w:rFonts w:cstheme="minorHAnsi"/>
        </w:rPr>
        <w:t>. Quantum, G.I.S. Available at </w:t>
      </w:r>
      <w:hyperlink r:id="rId185" w:history="1">
        <w:r w:rsidRPr="00D22FFF">
          <w:rPr>
            <w:rStyle w:val="Hyperlink"/>
            <w:rFonts w:cstheme="minorHAnsi"/>
          </w:rPr>
          <w:t>http://qgis.osgeo.org</w:t>
        </w:r>
      </w:hyperlink>
      <w:r w:rsidRPr="00D22FFF">
        <w:rPr>
          <w:rFonts w:cstheme="minorHAnsi"/>
        </w:rPr>
        <w:t>.</w:t>
      </w:r>
    </w:p>
    <w:p w14:paraId="5A3DC3DF" w14:textId="77777777" w:rsidR="00F74E31" w:rsidRPr="00D22FFF" w:rsidRDefault="00F74E31" w:rsidP="00D22FFF">
      <w:pPr>
        <w:spacing w:after="0"/>
        <w:ind w:left="720" w:hanging="720"/>
        <w:rPr>
          <w:rFonts w:cstheme="minorHAnsi"/>
        </w:rPr>
      </w:pPr>
      <w:r w:rsidRPr="00D22FFF">
        <w:rPr>
          <w:rFonts w:cstheme="minorHAnsi"/>
        </w:rPr>
        <w:t>Quesada, C.A., Phillips, O.L., Schwarz, M., Czimczik, C.I., Baker, T.R., Patiño, S. </w:t>
      </w:r>
      <w:r w:rsidRPr="00D22FFF">
        <w:rPr>
          <w:rFonts w:cstheme="minorHAnsi"/>
          <w:i/>
          <w:iCs/>
        </w:rPr>
        <w:t>et al</w:t>
      </w:r>
      <w:r w:rsidRPr="00D22FFF">
        <w:rPr>
          <w:rFonts w:cstheme="minorHAnsi"/>
        </w:rPr>
        <w:t>. (2012) Basin‐wide variations in Amazon forest structure and function are mediated by both soils and climate. </w:t>
      </w:r>
      <w:r w:rsidRPr="00D22FFF">
        <w:rPr>
          <w:rFonts w:cstheme="minorHAnsi"/>
          <w:i/>
          <w:iCs/>
        </w:rPr>
        <w:t>Biogeosciences</w:t>
      </w:r>
      <w:r w:rsidRPr="00D22FFF">
        <w:rPr>
          <w:rFonts w:cstheme="minorHAnsi"/>
        </w:rPr>
        <w:t>, </w:t>
      </w:r>
      <w:r w:rsidRPr="00D22FFF">
        <w:rPr>
          <w:rFonts w:cstheme="minorHAnsi"/>
          <w:b/>
          <w:bCs/>
        </w:rPr>
        <w:t>9</w:t>
      </w:r>
      <w:r w:rsidRPr="00D22FFF">
        <w:rPr>
          <w:rFonts w:cstheme="minorHAnsi"/>
        </w:rPr>
        <w:t>, 2203– 2246.</w:t>
      </w:r>
    </w:p>
    <w:p w14:paraId="4A2D247F" w14:textId="77777777" w:rsidR="00F74E31" w:rsidRPr="00D22FFF" w:rsidRDefault="00F74E31" w:rsidP="00D22FFF">
      <w:pPr>
        <w:spacing w:after="0"/>
        <w:ind w:left="720" w:hanging="720"/>
        <w:rPr>
          <w:rFonts w:cstheme="minorHAnsi"/>
        </w:rPr>
      </w:pPr>
      <w:r w:rsidRPr="00D22FFF">
        <w:rPr>
          <w:rFonts w:cstheme="minorHAnsi"/>
        </w:rPr>
        <w:t>Réjou‐Méchain, M., Muller‐Landau, H.C., Detto, M., Thomas, S.C., Le Toan, T., Saatchi, S.S. </w:t>
      </w:r>
      <w:r w:rsidRPr="00D22FFF">
        <w:rPr>
          <w:rFonts w:cstheme="minorHAnsi"/>
          <w:i/>
          <w:iCs/>
        </w:rPr>
        <w:t>et al</w:t>
      </w:r>
      <w:r w:rsidRPr="00D22FFF">
        <w:rPr>
          <w:rFonts w:cstheme="minorHAnsi"/>
        </w:rPr>
        <w:t>. (2014) Local spatial structure of forest biomass and its consequences for remote sensing of carbon stocks. </w:t>
      </w:r>
      <w:r w:rsidRPr="00D22FFF">
        <w:rPr>
          <w:rFonts w:cstheme="minorHAnsi"/>
          <w:i/>
          <w:iCs/>
        </w:rPr>
        <w:t>Biogeosciences Discussions</w:t>
      </w:r>
      <w:r w:rsidRPr="00D22FFF">
        <w:rPr>
          <w:rFonts w:cstheme="minorHAnsi"/>
        </w:rPr>
        <w:t>, </w:t>
      </w:r>
      <w:r w:rsidRPr="00D22FFF">
        <w:rPr>
          <w:rFonts w:cstheme="minorHAnsi"/>
          <w:b/>
          <w:bCs/>
        </w:rPr>
        <w:t>11</w:t>
      </w:r>
      <w:r w:rsidRPr="00D22FFF">
        <w:rPr>
          <w:rFonts w:cstheme="minorHAnsi"/>
        </w:rPr>
        <w:t>, 5711– 5742.</w:t>
      </w:r>
    </w:p>
    <w:p w14:paraId="1D6BF26B" w14:textId="77777777" w:rsidR="00F74E31" w:rsidRPr="00D22FFF" w:rsidRDefault="00F74E31" w:rsidP="00D22FFF">
      <w:pPr>
        <w:spacing w:after="0"/>
        <w:ind w:left="720" w:hanging="720"/>
        <w:rPr>
          <w:rFonts w:cstheme="minorHAnsi"/>
        </w:rPr>
      </w:pPr>
      <w:r w:rsidRPr="00D22FFF">
        <w:rPr>
          <w:rFonts w:cstheme="minorHAnsi"/>
        </w:rPr>
        <w:t>Ribeiro, J. &amp; Diggle, P.J. (2001) GeoR: a package for geostatistical analysis. </w:t>
      </w:r>
      <w:r w:rsidRPr="00D22FFF">
        <w:rPr>
          <w:rFonts w:cstheme="minorHAnsi"/>
          <w:i/>
          <w:iCs/>
        </w:rPr>
        <w:t>R‐News</w:t>
      </w:r>
      <w:r w:rsidRPr="00D22FFF">
        <w:rPr>
          <w:rFonts w:cstheme="minorHAnsi"/>
        </w:rPr>
        <w:t>, </w:t>
      </w:r>
      <w:r w:rsidRPr="00D22FFF">
        <w:rPr>
          <w:rFonts w:cstheme="minorHAnsi"/>
          <w:b/>
          <w:bCs/>
        </w:rPr>
        <w:t>1</w:t>
      </w:r>
      <w:r w:rsidRPr="00D22FFF">
        <w:rPr>
          <w:rFonts w:cstheme="minorHAnsi"/>
        </w:rPr>
        <w:t>, 1609– 3631.</w:t>
      </w:r>
    </w:p>
    <w:p w14:paraId="142ABB7F" w14:textId="77777777" w:rsidR="00F74E31" w:rsidRPr="00D22FFF" w:rsidRDefault="00F74E31" w:rsidP="00D22FFF">
      <w:pPr>
        <w:spacing w:after="0"/>
        <w:ind w:left="720" w:hanging="720"/>
        <w:rPr>
          <w:rFonts w:cstheme="minorHAnsi"/>
        </w:rPr>
      </w:pPr>
      <w:r w:rsidRPr="00D22FFF">
        <w:rPr>
          <w:rFonts w:cstheme="minorHAnsi"/>
        </w:rPr>
        <w:t>Rue, H. &amp; Held, L. (2005) </w:t>
      </w:r>
      <w:r w:rsidRPr="00D22FFF">
        <w:rPr>
          <w:rFonts w:cstheme="minorHAnsi"/>
          <w:i/>
          <w:iCs/>
        </w:rPr>
        <w:t>Gaussian Markov Random Fields: Theory and Applications</w:t>
      </w:r>
      <w:r w:rsidRPr="00D22FFF">
        <w:rPr>
          <w:rFonts w:cstheme="minorHAnsi"/>
        </w:rPr>
        <w:t>. CRC Press, Boca Raton, FL, USA.</w:t>
      </w:r>
    </w:p>
    <w:p w14:paraId="11D83CE9" w14:textId="77777777" w:rsidR="00F74E31" w:rsidRPr="00D22FFF" w:rsidRDefault="00F74E31" w:rsidP="00D22FFF">
      <w:pPr>
        <w:spacing w:after="0"/>
        <w:ind w:left="720" w:hanging="720"/>
        <w:rPr>
          <w:rFonts w:cstheme="minorHAnsi"/>
        </w:rPr>
      </w:pPr>
      <w:r w:rsidRPr="00D22FFF">
        <w:rPr>
          <w:rFonts w:cstheme="minorHAnsi"/>
        </w:rPr>
        <w:t>Rue, H., Martino, S. &amp; Chopin, N. (2009) Approximate Bayesian inference for latent Gaussian models by using integrated nested Laplace approximations. </w:t>
      </w:r>
      <w:r w:rsidRPr="00D22FFF">
        <w:rPr>
          <w:rFonts w:cstheme="minorHAnsi"/>
          <w:i/>
          <w:iCs/>
        </w:rPr>
        <w:t>Journal of the Royal Statistical Society Series B: Statistical Methodology</w:t>
      </w:r>
      <w:r w:rsidRPr="00D22FFF">
        <w:rPr>
          <w:rFonts w:cstheme="minorHAnsi"/>
        </w:rPr>
        <w:t>, </w:t>
      </w:r>
      <w:r w:rsidRPr="00D22FFF">
        <w:rPr>
          <w:rFonts w:cstheme="minorHAnsi"/>
          <w:b/>
          <w:bCs/>
        </w:rPr>
        <w:t>71</w:t>
      </w:r>
      <w:r w:rsidRPr="00D22FFF">
        <w:rPr>
          <w:rFonts w:cstheme="minorHAnsi"/>
        </w:rPr>
        <w:t>, 319– 392.</w:t>
      </w:r>
    </w:p>
    <w:p w14:paraId="76D3E537" w14:textId="77777777" w:rsidR="00F74E31" w:rsidRPr="00D22FFF" w:rsidRDefault="00F74E31" w:rsidP="00D22FFF">
      <w:pPr>
        <w:spacing w:after="0"/>
        <w:ind w:left="720" w:hanging="720"/>
        <w:rPr>
          <w:rFonts w:cstheme="minorHAnsi"/>
        </w:rPr>
      </w:pPr>
      <w:r w:rsidRPr="00D22FFF">
        <w:rPr>
          <w:rFonts w:cstheme="minorHAnsi"/>
        </w:rPr>
        <w:t>Ruiz‐Jaen, M.C. &amp; Potvin, C. (2011) Can we predict carbon stocks in tropical ecosystems from tree diversity? Comparing species and functional diversity in a plantation and a natural forest. </w:t>
      </w:r>
      <w:r w:rsidRPr="00D22FFF">
        <w:rPr>
          <w:rFonts w:cstheme="minorHAnsi"/>
          <w:i/>
          <w:iCs/>
        </w:rPr>
        <w:t>New Phytologist</w:t>
      </w:r>
      <w:r w:rsidRPr="00D22FFF">
        <w:rPr>
          <w:rFonts w:cstheme="minorHAnsi"/>
        </w:rPr>
        <w:t>, </w:t>
      </w:r>
      <w:r w:rsidRPr="00D22FFF">
        <w:rPr>
          <w:rFonts w:cstheme="minorHAnsi"/>
          <w:b/>
          <w:bCs/>
        </w:rPr>
        <w:t>189</w:t>
      </w:r>
      <w:r w:rsidRPr="00D22FFF">
        <w:rPr>
          <w:rFonts w:cstheme="minorHAnsi"/>
        </w:rPr>
        <w:t>, 978– 987.</w:t>
      </w:r>
    </w:p>
    <w:p w14:paraId="318BC318" w14:textId="77777777" w:rsidR="00F74E31" w:rsidRPr="00D22FFF" w:rsidRDefault="00F74E31" w:rsidP="00D22FFF">
      <w:pPr>
        <w:spacing w:after="0"/>
        <w:ind w:left="720" w:hanging="720"/>
        <w:rPr>
          <w:rFonts w:cstheme="minorHAnsi"/>
        </w:rPr>
      </w:pPr>
      <w:r w:rsidRPr="00D22FFF">
        <w:rPr>
          <w:rFonts w:cstheme="minorHAnsi"/>
        </w:rPr>
        <w:t>Saatchi, S., Marlier, M., Chazdon, R.L., Clark, D.B. &amp; Russell, A.E. (2011) Impact of spatial variability of tropical forest structure on radar estimation of aboveground biomass. </w:t>
      </w:r>
      <w:r w:rsidRPr="00D22FFF">
        <w:rPr>
          <w:rFonts w:cstheme="minorHAnsi"/>
          <w:i/>
          <w:iCs/>
        </w:rPr>
        <w:t>Remote Sensing of Environment</w:t>
      </w:r>
      <w:r w:rsidRPr="00D22FFF">
        <w:rPr>
          <w:rFonts w:cstheme="minorHAnsi"/>
        </w:rPr>
        <w:t>, </w:t>
      </w:r>
      <w:r w:rsidRPr="00D22FFF">
        <w:rPr>
          <w:rFonts w:cstheme="minorHAnsi"/>
          <w:b/>
          <w:bCs/>
        </w:rPr>
        <w:t>115</w:t>
      </w:r>
      <w:r w:rsidRPr="00D22FFF">
        <w:rPr>
          <w:rFonts w:cstheme="minorHAnsi"/>
        </w:rPr>
        <w:t>, 2836– 2849.</w:t>
      </w:r>
    </w:p>
    <w:p w14:paraId="7219F75F" w14:textId="77777777" w:rsidR="00F74E31" w:rsidRPr="00D22FFF" w:rsidRDefault="00F74E31" w:rsidP="00D22FFF">
      <w:pPr>
        <w:spacing w:after="0"/>
        <w:ind w:left="720" w:hanging="720"/>
        <w:rPr>
          <w:rFonts w:cstheme="minorHAnsi"/>
        </w:rPr>
      </w:pPr>
      <w:r w:rsidRPr="00D22FFF">
        <w:rPr>
          <w:rFonts w:cstheme="minorHAnsi"/>
        </w:rPr>
        <w:t>Santiago, L.S., Wright, S.J., Harms, K.E., Yavitt, J.B., Korine, C., Garcia, M.N. &amp; Turner, B.L. (2012) Tropical tree seedling growth responses to nitrogen, phosphorus and potassium addition. </w:t>
      </w:r>
      <w:r w:rsidRPr="00D22FFF">
        <w:rPr>
          <w:rFonts w:cstheme="minorHAnsi"/>
          <w:i/>
          <w:iCs/>
        </w:rPr>
        <w:t>Journal of Ecology</w:t>
      </w:r>
      <w:r w:rsidRPr="00D22FFF">
        <w:rPr>
          <w:rFonts w:cstheme="minorHAnsi"/>
        </w:rPr>
        <w:t>, </w:t>
      </w:r>
      <w:r w:rsidRPr="00D22FFF">
        <w:rPr>
          <w:rFonts w:cstheme="minorHAnsi"/>
          <w:b/>
          <w:bCs/>
        </w:rPr>
        <w:t>100</w:t>
      </w:r>
      <w:r w:rsidRPr="00D22FFF">
        <w:rPr>
          <w:rFonts w:cstheme="minorHAnsi"/>
        </w:rPr>
        <w:t>, 309– 316.</w:t>
      </w:r>
    </w:p>
    <w:p w14:paraId="0731F5FF" w14:textId="77777777" w:rsidR="00F74E31" w:rsidRPr="00D22FFF" w:rsidRDefault="00F74E31" w:rsidP="00D22FFF">
      <w:pPr>
        <w:spacing w:after="0"/>
        <w:ind w:left="720" w:hanging="720"/>
        <w:rPr>
          <w:rFonts w:cstheme="minorHAnsi"/>
        </w:rPr>
      </w:pPr>
      <w:r w:rsidRPr="00D22FFF">
        <w:rPr>
          <w:rFonts w:cstheme="minorHAnsi"/>
        </w:rPr>
        <w:t>Schimel, D.S., House, J.I., Hibbard, K.A., Bousquet, P., Ciais, P., Peylin, P. </w:t>
      </w:r>
      <w:r w:rsidRPr="00D22FFF">
        <w:rPr>
          <w:rFonts w:cstheme="minorHAnsi"/>
          <w:i/>
          <w:iCs/>
        </w:rPr>
        <w:t>et al</w:t>
      </w:r>
      <w:r w:rsidRPr="00D22FFF">
        <w:rPr>
          <w:rFonts w:cstheme="minorHAnsi"/>
        </w:rPr>
        <w:t>. (2001) Recent patterns and mechanisms of carbon exchange by terrestrial ecosystems. </w:t>
      </w:r>
      <w:r w:rsidRPr="00D22FFF">
        <w:rPr>
          <w:rFonts w:cstheme="minorHAnsi"/>
          <w:i/>
          <w:iCs/>
        </w:rPr>
        <w:t>Nature</w:t>
      </w:r>
      <w:r w:rsidRPr="00D22FFF">
        <w:rPr>
          <w:rFonts w:cstheme="minorHAnsi"/>
        </w:rPr>
        <w:t>, </w:t>
      </w:r>
      <w:r w:rsidRPr="00D22FFF">
        <w:rPr>
          <w:rFonts w:cstheme="minorHAnsi"/>
          <w:b/>
          <w:bCs/>
        </w:rPr>
        <w:t>414</w:t>
      </w:r>
      <w:r w:rsidRPr="00D22FFF">
        <w:rPr>
          <w:rFonts w:cstheme="minorHAnsi"/>
        </w:rPr>
        <w:t>, 169– 172.</w:t>
      </w:r>
    </w:p>
    <w:p w14:paraId="5E132CF5" w14:textId="77777777" w:rsidR="00F74E31" w:rsidRPr="00D22FFF" w:rsidRDefault="00F74E31" w:rsidP="00D22FFF">
      <w:pPr>
        <w:spacing w:after="0"/>
        <w:ind w:left="720" w:hanging="720"/>
        <w:rPr>
          <w:rFonts w:cstheme="minorHAnsi"/>
        </w:rPr>
      </w:pPr>
      <w:r w:rsidRPr="00D22FFF">
        <w:rPr>
          <w:rFonts w:cstheme="minorHAnsi"/>
        </w:rPr>
        <w:t>Schnitzer, S.A. (2005) A mechanistic explanation for global patterns of liana abundance and distribution. </w:t>
      </w:r>
      <w:r w:rsidRPr="00D22FFF">
        <w:rPr>
          <w:rFonts w:cstheme="minorHAnsi"/>
          <w:i/>
          <w:iCs/>
        </w:rPr>
        <w:t>The American Naturalist</w:t>
      </w:r>
      <w:r w:rsidRPr="00D22FFF">
        <w:rPr>
          <w:rFonts w:cstheme="minorHAnsi"/>
        </w:rPr>
        <w:t>, </w:t>
      </w:r>
      <w:r w:rsidRPr="00D22FFF">
        <w:rPr>
          <w:rFonts w:cstheme="minorHAnsi"/>
          <w:b/>
          <w:bCs/>
        </w:rPr>
        <w:t>166</w:t>
      </w:r>
      <w:r w:rsidRPr="00D22FFF">
        <w:rPr>
          <w:rFonts w:cstheme="minorHAnsi"/>
        </w:rPr>
        <w:t>, 262– 276.</w:t>
      </w:r>
    </w:p>
    <w:p w14:paraId="30B0654A" w14:textId="77777777" w:rsidR="00F74E31" w:rsidRPr="00D22FFF" w:rsidRDefault="00F74E31" w:rsidP="00D22FFF">
      <w:pPr>
        <w:spacing w:after="0"/>
        <w:ind w:left="720" w:hanging="720"/>
        <w:rPr>
          <w:rFonts w:cstheme="minorHAnsi"/>
        </w:rPr>
      </w:pPr>
      <w:r w:rsidRPr="00D22FFF">
        <w:rPr>
          <w:rFonts w:cstheme="minorHAnsi"/>
        </w:rPr>
        <w:t>Schnitzer, S.A. &amp; Bongers, F. (2002) The ecology of lianas and their role in forests. </w:t>
      </w:r>
      <w:r w:rsidRPr="00D22FFF">
        <w:rPr>
          <w:rFonts w:cstheme="minorHAnsi"/>
          <w:i/>
          <w:iCs/>
        </w:rPr>
        <w:t>Trends in Ecology &amp; Evolution</w:t>
      </w:r>
      <w:r w:rsidRPr="00D22FFF">
        <w:rPr>
          <w:rFonts w:cstheme="minorHAnsi"/>
        </w:rPr>
        <w:t>, </w:t>
      </w:r>
      <w:r w:rsidRPr="00D22FFF">
        <w:rPr>
          <w:rFonts w:cstheme="minorHAnsi"/>
          <w:b/>
          <w:bCs/>
        </w:rPr>
        <w:t>17</w:t>
      </w:r>
      <w:r w:rsidRPr="00D22FFF">
        <w:rPr>
          <w:rFonts w:cstheme="minorHAnsi"/>
        </w:rPr>
        <w:t>, 223– 230.</w:t>
      </w:r>
    </w:p>
    <w:p w14:paraId="4C7D5691" w14:textId="77777777" w:rsidR="00F74E31" w:rsidRPr="00D22FFF" w:rsidRDefault="00F74E31" w:rsidP="00D22FFF">
      <w:pPr>
        <w:spacing w:after="0"/>
        <w:ind w:left="720" w:hanging="720"/>
        <w:rPr>
          <w:rFonts w:cstheme="minorHAnsi"/>
        </w:rPr>
      </w:pPr>
      <w:r w:rsidRPr="00D22FFF">
        <w:rPr>
          <w:rFonts w:cstheme="minorHAnsi"/>
        </w:rPr>
        <w:t>Schnitzer, S.A. &amp; Carson, W.P. (2010) Lianas suppress tree regeneration and diversity in treefall gaps. </w:t>
      </w:r>
      <w:r w:rsidRPr="00D22FFF">
        <w:rPr>
          <w:rFonts w:cstheme="minorHAnsi"/>
          <w:i/>
          <w:iCs/>
        </w:rPr>
        <w:t>Ecology Letters</w:t>
      </w:r>
      <w:r w:rsidRPr="00D22FFF">
        <w:rPr>
          <w:rFonts w:cstheme="minorHAnsi"/>
        </w:rPr>
        <w:t>, </w:t>
      </w:r>
      <w:r w:rsidRPr="00D22FFF">
        <w:rPr>
          <w:rFonts w:cstheme="minorHAnsi"/>
          <w:b/>
          <w:bCs/>
        </w:rPr>
        <w:t>13</w:t>
      </w:r>
      <w:r w:rsidRPr="00D22FFF">
        <w:rPr>
          <w:rFonts w:cstheme="minorHAnsi"/>
        </w:rPr>
        <w:t>, 849– 857.</w:t>
      </w:r>
    </w:p>
    <w:p w14:paraId="583BB2E2" w14:textId="77777777" w:rsidR="00F74E31" w:rsidRPr="00D22FFF" w:rsidRDefault="00F74E31" w:rsidP="00D22FFF">
      <w:pPr>
        <w:spacing w:after="0"/>
        <w:ind w:left="720" w:hanging="720"/>
        <w:rPr>
          <w:rFonts w:cstheme="minorHAnsi"/>
        </w:rPr>
      </w:pPr>
      <w:r w:rsidRPr="00D22FFF">
        <w:rPr>
          <w:rFonts w:cstheme="minorHAnsi"/>
        </w:rPr>
        <w:t>Schnitzer, S.A., Dalling, J.W. &amp; Carson, W.P. (2000) The impact of lianas on tree regeneration in tropical forest canopy gaps: Evidence for an alternative pathway of gap‐phase regeneration. </w:t>
      </w:r>
      <w:r w:rsidRPr="00D22FFF">
        <w:rPr>
          <w:rFonts w:cstheme="minorHAnsi"/>
          <w:i/>
          <w:iCs/>
        </w:rPr>
        <w:t>Journal of Ecology</w:t>
      </w:r>
      <w:r w:rsidRPr="00D22FFF">
        <w:rPr>
          <w:rFonts w:cstheme="minorHAnsi"/>
        </w:rPr>
        <w:t>, </w:t>
      </w:r>
      <w:r w:rsidRPr="00D22FFF">
        <w:rPr>
          <w:rFonts w:cstheme="minorHAnsi"/>
          <w:b/>
          <w:bCs/>
        </w:rPr>
        <w:t>88</w:t>
      </w:r>
      <w:r w:rsidRPr="00D22FFF">
        <w:rPr>
          <w:rFonts w:cstheme="minorHAnsi"/>
        </w:rPr>
        <w:t>, 655– 666.</w:t>
      </w:r>
    </w:p>
    <w:p w14:paraId="156D8041" w14:textId="77777777" w:rsidR="00F74E31" w:rsidRPr="00D22FFF" w:rsidRDefault="00F74E31" w:rsidP="00D22FFF">
      <w:pPr>
        <w:spacing w:after="0"/>
        <w:ind w:left="720" w:hanging="720"/>
        <w:rPr>
          <w:rFonts w:cstheme="minorHAnsi"/>
        </w:rPr>
      </w:pPr>
      <w:r w:rsidRPr="00D22FFF">
        <w:rPr>
          <w:rFonts w:cstheme="minorHAnsi"/>
        </w:rPr>
        <w:t>Schnitzer, S.A., Rutishauser, S. &amp; Aguilar, S. (2008) Supplemental protocol for liana censuses. </w:t>
      </w:r>
      <w:r w:rsidRPr="00D22FFF">
        <w:rPr>
          <w:rFonts w:cstheme="minorHAnsi"/>
          <w:i/>
          <w:iCs/>
        </w:rPr>
        <w:t>Forest Ecology and Management</w:t>
      </w:r>
      <w:r w:rsidRPr="00D22FFF">
        <w:rPr>
          <w:rFonts w:cstheme="minorHAnsi"/>
        </w:rPr>
        <w:t>, </w:t>
      </w:r>
      <w:r w:rsidRPr="00D22FFF">
        <w:rPr>
          <w:rFonts w:cstheme="minorHAnsi"/>
          <w:b/>
          <w:bCs/>
        </w:rPr>
        <w:t>255</w:t>
      </w:r>
      <w:r w:rsidRPr="00D22FFF">
        <w:rPr>
          <w:rFonts w:cstheme="minorHAnsi"/>
        </w:rPr>
        <w:t>, 1044– 1049.</w:t>
      </w:r>
    </w:p>
    <w:p w14:paraId="7422F23F" w14:textId="77777777" w:rsidR="00F74E31" w:rsidRPr="00D22FFF" w:rsidRDefault="00F74E31" w:rsidP="00D22FFF">
      <w:pPr>
        <w:spacing w:after="0"/>
        <w:ind w:left="720" w:hanging="720"/>
        <w:rPr>
          <w:rFonts w:cstheme="minorHAnsi"/>
        </w:rPr>
      </w:pPr>
      <w:r w:rsidRPr="00D22FFF">
        <w:rPr>
          <w:rFonts w:cstheme="minorHAnsi"/>
        </w:rPr>
        <w:t>Schnitzer, S.A., Mangan, S.A., Dalling, J.W., Baldeck, C.A., Hubbell, S.P., Ledo, A. </w:t>
      </w:r>
      <w:r w:rsidRPr="00D22FFF">
        <w:rPr>
          <w:rFonts w:cstheme="minorHAnsi"/>
          <w:i/>
          <w:iCs/>
        </w:rPr>
        <w:t>et al</w:t>
      </w:r>
      <w:r w:rsidRPr="00D22FFF">
        <w:rPr>
          <w:rFonts w:cstheme="minorHAnsi"/>
        </w:rPr>
        <w:t>. (2012) Liana abundance, diversity, and distribution on Barro Colorado Island, Panama. </w:t>
      </w:r>
      <w:r w:rsidRPr="00D22FFF">
        <w:rPr>
          <w:rFonts w:cstheme="minorHAnsi"/>
          <w:i/>
          <w:iCs/>
        </w:rPr>
        <w:t>PLoS ONE</w:t>
      </w:r>
      <w:r w:rsidRPr="00D22FFF">
        <w:rPr>
          <w:rFonts w:cstheme="minorHAnsi"/>
        </w:rPr>
        <w:t>, </w:t>
      </w:r>
      <w:r w:rsidRPr="00D22FFF">
        <w:rPr>
          <w:rFonts w:cstheme="minorHAnsi"/>
          <w:b/>
          <w:bCs/>
        </w:rPr>
        <w:t>7</w:t>
      </w:r>
      <w:r w:rsidRPr="00D22FFF">
        <w:rPr>
          <w:rFonts w:cstheme="minorHAnsi"/>
        </w:rPr>
        <w:t>, e52114.</w:t>
      </w:r>
    </w:p>
    <w:p w14:paraId="4DC47962" w14:textId="77777777" w:rsidR="00F74E31" w:rsidRPr="00D22FFF" w:rsidRDefault="00F74E31" w:rsidP="00D22FFF">
      <w:pPr>
        <w:spacing w:after="0"/>
        <w:ind w:left="720" w:hanging="720"/>
        <w:rPr>
          <w:rFonts w:cstheme="minorHAnsi"/>
        </w:rPr>
      </w:pPr>
      <w:r w:rsidRPr="00D22FFF">
        <w:rPr>
          <w:rFonts w:cstheme="minorHAnsi"/>
        </w:rPr>
        <w:t>Schnitzer, S.A., van der Heijden, G.M.F., Mascaro, J. &amp; Carson, W.P. (2014) Lianas in gaps reduce carbon accumulation in a tropical forest. </w:t>
      </w:r>
      <w:r w:rsidRPr="00D22FFF">
        <w:rPr>
          <w:rFonts w:cstheme="minorHAnsi"/>
          <w:i/>
          <w:iCs/>
        </w:rPr>
        <w:t>Ecology</w:t>
      </w:r>
      <w:r w:rsidRPr="00D22FFF">
        <w:rPr>
          <w:rFonts w:cstheme="minorHAnsi"/>
        </w:rPr>
        <w:t>, </w:t>
      </w:r>
      <w:r w:rsidRPr="00D22FFF">
        <w:rPr>
          <w:rFonts w:cstheme="minorHAnsi"/>
          <w:b/>
          <w:bCs/>
        </w:rPr>
        <w:t>95</w:t>
      </w:r>
      <w:r w:rsidRPr="00D22FFF">
        <w:rPr>
          <w:rFonts w:cstheme="minorHAnsi"/>
        </w:rPr>
        <w:t>, 3008– 3017.</w:t>
      </w:r>
    </w:p>
    <w:p w14:paraId="6DDE88CA" w14:textId="77777777" w:rsidR="00F74E31" w:rsidRPr="00D22FFF" w:rsidRDefault="00F74E31" w:rsidP="00D22FFF">
      <w:pPr>
        <w:spacing w:after="0"/>
        <w:ind w:left="720" w:hanging="720"/>
        <w:rPr>
          <w:rFonts w:cstheme="minorHAnsi"/>
        </w:rPr>
      </w:pPr>
      <w:r w:rsidRPr="00D22FFF">
        <w:rPr>
          <w:rFonts w:cstheme="minorHAnsi"/>
        </w:rPr>
        <w:t>van der Sleen, P., Groenendijk, P., Vlam, M., Anten, N.P.R., Boom, A., Bongers, F., Pons, T.L., Terburg, G. &amp; Zuidema, P.A. (2014) No growth stimulation of tropical trees by 150 years of CO</w:t>
      </w:r>
      <w:r w:rsidRPr="00D22FFF">
        <w:rPr>
          <w:rFonts w:cstheme="minorHAnsi"/>
          <w:vertAlign w:val="subscript"/>
        </w:rPr>
        <w:t>2</w:t>
      </w:r>
      <w:r w:rsidRPr="00D22FFF">
        <w:rPr>
          <w:rFonts w:cstheme="minorHAnsi"/>
        </w:rPr>
        <w:t> fertilization but water‐use efficiency increased. </w:t>
      </w:r>
      <w:r w:rsidRPr="00D22FFF">
        <w:rPr>
          <w:rFonts w:cstheme="minorHAnsi"/>
          <w:i/>
          <w:iCs/>
        </w:rPr>
        <w:t>Nature Geoscience</w:t>
      </w:r>
      <w:r w:rsidRPr="00D22FFF">
        <w:rPr>
          <w:rFonts w:cstheme="minorHAnsi"/>
        </w:rPr>
        <w:t>, </w:t>
      </w:r>
      <w:r w:rsidRPr="00D22FFF">
        <w:rPr>
          <w:rFonts w:cstheme="minorHAnsi"/>
          <w:b/>
          <w:bCs/>
        </w:rPr>
        <w:t>8</w:t>
      </w:r>
      <w:r w:rsidRPr="00D22FFF">
        <w:rPr>
          <w:rFonts w:cstheme="minorHAnsi"/>
        </w:rPr>
        <w:t>, 24– 28.</w:t>
      </w:r>
    </w:p>
    <w:p w14:paraId="6A8AF8A3" w14:textId="77777777" w:rsidR="00F74E31" w:rsidRPr="00D22FFF" w:rsidRDefault="00F74E31" w:rsidP="00D22FFF">
      <w:pPr>
        <w:spacing w:after="0"/>
        <w:ind w:left="720" w:hanging="720"/>
        <w:rPr>
          <w:rFonts w:cstheme="minorHAnsi"/>
        </w:rPr>
      </w:pPr>
      <w:r w:rsidRPr="00D22FFF">
        <w:rPr>
          <w:rFonts w:cstheme="minorHAnsi"/>
        </w:rPr>
        <w:t>Slik, J.W.F., Aiba, S.I., Brearley, F.Q., Cannon, C.H., Forshed, O., Kitayama, K. </w:t>
      </w:r>
      <w:r w:rsidRPr="00D22FFF">
        <w:rPr>
          <w:rFonts w:cstheme="minorHAnsi"/>
          <w:i/>
          <w:iCs/>
        </w:rPr>
        <w:t>et al</w:t>
      </w:r>
      <w:r w:rsidRPr="00D22FFF">
        <w:rPr>
          <w:rFonts w:cstheme="minorHAnsi"/>
        </w:rPr>
        <w:t>. (2010) Environmental correlates of tree biomass, basal area, wood specific gravity and stem density gradients in Borneo's tropical forests. </w:t>
      </w:r>
      <w:r w:rsidRPr="00D22FFF">
        <w:rPr>
          <w:rFonts w:cstheme="minorHAnsi"/>
          <w:i/>
          <w:iCs/>
        </w:rPr>
        <w:t>Global Ecology and Biogeography</w:t>
      </w:r>
      <w:r w:rsidRPr="00D22FFF">
        <w:rPr>
          <w:rFonts w:cstheme="minorHAnsi"/>
        </w:rPr>
        <w:t>, </w:t>
      </w:r>
      <w:r w:rsidRPr="00D22FFF">
        <w:rPr>
          <w:rFonts w:cstheme="minorHAnsi"/>
          <w:b/>
          <w:bCs/>
        </w:rPr>
        <w:t>19</w:t>
      </w:r>
      <w:r w:rsidRPr="00D22FFF">
        <w:rPr>
          <w:rFonts w:cstheme="minorHAnsi"/>
        </w:rPr>
        <w:t>, 50– 60.</w:t>
      </w:r>
    </w:p>
    <w:p w14:paraId="49F93B01" w14:textId="77777777" w:rsidR="00F74E31" w:rsidRPr="00D22FFF" w:rsidRDefault="00F74E31" w:rsidP="00D22FFF">
      <w:pPr>
        <w:spacing w:after="0"/>
        <w:ind w:left="720" w:hanging="720"/>
        <w:rPr>
          <w:rFonts w:cstheme="minorHAnsi"/>
        </w:rPr>
      </w:pPr>
      <w:r w:rsidRPr="00D22FFF">
        <w:rPr>
          <w:rFonts w:cstheme="minorHAnsi"/>
        </w:rPr>
        <w:t>Slik, J.W.F., Paoli, G., Mcguire, K., Amaral, I., Barroso, J., Bastian, M. </w:t>
      </w:r>
      <w:r w:rsidRPr="00D22FFF">
        <w:rPr>
          <w:rFonts w:cstheme="minorHAnsi"/>
          <w:i/>
          <w:iCs/>
        </w:rPr>
        <w:t>et al</w:t>
      </w:r>
      <w:r w:rsidRPr="00D22FFF">
        <w:rPr>
          <w:rFonts w:cstheme="minorHAnsi"/>
        </w:rPr>
        <w:t>. (2013) Large trees drive forest aboveground biomass variation in moist lowland forests across the tropics. </w:t>
      </w:r>
      <w:r w:rsidRPr="00D22FFF">
        <w:rPr>
          <w:rFonts w:cstheme="minorHAnsi"/>
          <w:i/>
          <w:iCs/>
        </w:rPr>
        <w:t>Global Ecology and Biogeography</w:t>
      </w:r>
      <w:r w:rsidRPr="00D22FFF">
        <w:rPr>
          <w:rFonts w:cstheme="minorHAnsi"/>
        </w:rPr>
        <w:t>, </w:t>
      </w:r>
      <w:r w:rsidRPr="00D22FFF">
        <w:rPr>
          <w:rFonts w:cstheme="minorHAnsi"/>
          <w:b/>
          <w:bCs/>
        </w:rPr>
        <w:t>22</w:t>
      </w:r>
      <w:r w:rsidRPr="00D22FFF">
        <w:rPr>
          <w:rFonts w:cstheme="minorHAnsi"/>
        </w:rPr>
        <w:t>, 1261– 1271.</w:t>
      </w:r>
    </w:p>
    <w:p w14:paraId="796D5424" w14:textId="77777777" w:rsidR="00F74E31" w:rsidRPr="00D22FFF" w:rsidRDefault="00F74E31" w:rsidP="00D22FFF">
      <w:pPr>
        <w:spacing w:after="0"/>
        <w:ind w:left="720" w:hanging="720"/>
        <w:rPr>
          <w:rFonts w:cstheme="minorHAnsi"/>
        </w:rPr>
      </w:pPr>
      <w:r w:rsidRPr="00D22FFF">
        <w:rPr>
          <w:rFonts w:cstheme="minorHAnsi"/>
        </w:rPr>
        <w:t>Tilman, D., Isbell, F. &amp; Cowles, J.M. (2014) Biodiversity and Ecosystem Functioning. </w:t>
      </w:r>
      <w:r w:rsidRPr="00D22FFF">
        <w:rPr>
          <w:rFonts w:cstheme="minorHAnsi"/>
          <w:i/>
          <w:iCs/>
        </w:rPr>
        <w:t>Annual Review of Ecology, Evolution, and Systematics</w:t>
      </w:r>
      <w:r w:rsidRPr="00D22FFF">
        <w:rPr>
          <w:rFonts w:cstheme="minorHAnsi"/>
        </w:rPr>
        <w:t>, </w:t>
      </w:r>
      <w:r w:rsidRPr="00D22FFF">
        <w:rPr>
          <w:rFonts w:cstheme="minorHAnsi"/>
          <w:b/>
          <w:bCs/>
        </w:rPr>
        <w:t>45</w:t>
      </w:r>
      <w:r w:rsidRPr="00D22FFF">
        <w:rPr>
          <w:rFonts w:cstheme="minorHAnsi"/>
        </w:rPr>
        <w:t>, 471– 493.</w:t>
      </w:r>
    </w:p>
    <w:p w14:paraId="6858121A" w14:textId="5811889C" w:rsidR="00F74E31" w:rsidRPr="00D22FFF" w:rsidRDefault="00F74E31" w:rsidP="00D22FFF">
      <w:pPr>
        <w:spacing w:after="0"/>
        <w:ind w:left="720" w:hanging="720"/>
        <w:rPr>
          <w:rFonts w:cstheme="minorHAnsi"/>
        </w:rPr>
      </w:pPr>
      <w:r w:rsidRPr="00D22FFF">
        <w:rPr>
          <w:rFonts w:cstheme="minorHAnsi"/>
        </w:rPr>
        <w:t>Turner, B.L., Yavitt, J.B., Harms, K.E., Garcia, M.N., Romero, T.E. &amp; Wright, S.J. (2013) Seasonal changes and treatment effects on soil inorganic nutrients following a decade of fertilizer addition in a lowland tropical forest. </w:t>
      </w:r>
      <w:r w:rsidRPr="00D22FFF">
        <w:rPr>
          <w:rFonts w:cstheme="minorHAnsi"/>
          <w:i/>
          <w:iCs/>
        </w:rPr>
        <w:t>Soil Science Society of America Journal</w:t>
      </w:r>
      <w:r w:rsidRPr="00D22FFF">
        <w:rPr>
          <w:rFonts w:cstheme="minorHAnsi"/>
        </w:rPr>
        <w:t>, </w:t>
      </w:r>
      <w:r w:rsidRPr="00D22FFF">
        <w:rPr>
          <w:rFonts w:cstheme="minorHAnsi"/>
          <w:b/>
          <w:bCs/>
        </w:rPr>
        <w:t>77</w:t>
      </w:r>
      <w:r w:rsidRPr="00D22FFF">
        <w:rPr>
          <w:rFonts w:cstheme="minorHAnsi"/>
        </w:rPr>
        <w:t>, 1357– 1369.</w:t>
      </w:r>
    </w:p>
    <w:p w14:paraId="15BB6A7B" w14:textId="77777777" w:rsidR="00F74E31" w:rsidRPr="00D22FFF" w:rsidRDefault="00F74E31" w:rsidP="00D22FFF">
      <w:pPr>
        <w:spacing w:after="0"/>
        <w:ind w:left="720" w:hanging="720"/>
        <w:rPr>
          <w:rFonts w:cstheme="minorHAnsi"/>
        </w:rPr>
      </w:pPr>
      <w:r w:rsidRPr="00D22FFF">
        <w:rPr>
          <w:rFonts w:cstheme="minorHAnsi"/>
        </w:rPr>
        <w:t>Tymen, B., Réjou‐Méchain, M., Dalling, J.W., Fauset, S., Feldpausch, T.R., Norden, N., Phillips, O.L., Turner, B.L., Viers, J. &amp; Chave, J. (2016) Evidence for arrested succession in a liana‐infested Amazonian forest. </w:t>
      </w:r>
      <w:r w:rsidRPr="00D22FFF">
        <w:rPr>
          <w:rFonts w:cstheme="minorHAnsi"/>
          <w:i/>
          <w:iCs/>
        </w:rPr>
        <w:t>Journal of Ecology</w:t>
      </w:r>
      <w:r w:rsidRPr="00D22FFF">
        <w:rPr>
          <w:rFonts w:cstheme="minorHAnsi"/>
        </w:rPr>
        <w:t>, </w:t>
      </w:r>
      <w:r w:rsidRPr="00D22FFF">
        <w:rPr>
          <w:rFonts w:cstheme="minorHAnsi"/>
          <w:b/>
          <w:bCs/>
        </w:rPr>
        <w:t>104</w:t>
      </w:r>
      <w:r w:rsidRPr="00D22FFF">
        <w:rPr>
          <w:rFonts w:cstheme="minorHAnsi"/>
        </w:rPr>
        <w:t>, 149– 159.</w:t>
      </w:r>
    </w:p>
    <w:p w14:paraId="194C39C2" w14:textId="04E86DC4" w:rsidR="00F74E31" w:rsidRPr="00D22FFF" w:rsidRDefault="00F74E31" w:rsidP="00D22FFF">
      <w:pPr>
        <w:spacing w:after="0"/>
        <w:ind w:left="720" w:hanging="720"/>
        <w:rPr>
          <w:rFonts w:cstheme="minorHAnsi"/>
        </w:rPr>
      </w:pPr>
      <w:r w:rsidRPr="00D22FFF">
        <w:rPr>
          <w:rFonts w:cstheme="minorHAnsi"/>
        </w:rPr>
        <w:t>Uriarte, M., Clark, J.S., Zimmerman, J.K., Comita, L.S., Forero‐Montaña, J. &amp; Thompson, J. (2012) Multidimensional trade‐offs in species responses to disturbance: implications for diversity in a subtropical forest. </w:t>
      </w:r>
      <w:r w:rsidRPr="00D22FFF">
        <w:rPr>
          <w:rFonts w:cstheme="minorHAnsi"/>
          <w:i/>
          <w:iCs/>
        </w:rPr>
        <w:t>Ecology</w:t>
      </w:r>
      <w:r w:rsidRPr="00D22FFF">
        <w:rPr>
          <w:rFonts w:cstheme="minorHAnsi"/>
        </w:rPr>
        <w:t>, </w:t>
      </w:r>
      <w:r w:rsidRPr="00D22FFF">
        <w:rPr>
          <w:rFonts w:cstheme="minorHAnsi"/>
          <w:b/>
          <w:bCs/>
        </w:rPr>
        <w:t>93</w:t>
      </w:r>
      <w:r w:rsidRPr="00D22FFF">
        <w:rPr>
          <w:rFonts w:cstheme="minorHAnsi"/>
        </w:rPr>
        <w:t>, 191– 205.</w:t>
      </w:r>
    </w:p>
    <w:p w14:paraId="56AC32C2" w14:textId="77777777" w:rsidR="00F74E31" w:rsidRPr="00D22FFF" w:rsidRDefault="00F74E31" w:rsidP="00D22FFF">
      <w:pPr>
        <w:spacing w:after="0"/>
        <w:ind w:left="720" w:hanging="720"/>
        <w:rPr>
          <w:rFonts w:cstheme="minorHAnsi"/>
        </w:rPr>
      </w:pPr>
      <w:r w:rsidRPr="00D22FFF">
        <w:rPr>
          <w:rFonts w:cstheme="minorHAnsi"/>
        </w:rPr>
        <w:t>Wright, S.J. (2013) The carbon sink in intact tropical forests. </w:t>
      </w:r>
      <w:r w:rsidRPr="00D22FFF">
        <w:rPr>
          <w:rFonts w:cstheme="minorHAnsi"/>
          <w:i/>
          <w:iCs/>
        </w:rPr>
        <w:t>Global Change Biology</w:t>
      </w:r>
      <w:r w:rsidRPr="00D22FFF">
        <w:rPr>
          <w:rFonts w:cstheme="minorHAnsi"/>
        </w:rPr>
        <w:t>, </w:t>
      </w:r>
      <w:r w:rsidRPr="00D22FFF">
        <w:rPr>
          <w:rFonts w:cstheme="minorHAnsi"/>
          <w:b/>
          <w:bCs/>
        </w:rPr>
        <w:t>19</w:t>
      </w:r>
      <w:r w:rsidRPr="00D22FFF">
        <w:rPr>
          <w:rFonts w:cstheme="minorHAnsi"/>
        </w:rPr>
        <w:t>, 337– 339.</w:t>
      </w:r>
    </w:p>
    <w:p w14:paraId="327E04CD" w14:textId="77777777" w:rsidR="00F74E31" w:rsidRPr="00D22FFF" w:rsidRDefault="00F74E31" w:rsidP="00D22FFF">
      <w:pPr>
        <w:spacing w:after="0"/>
        <w:ind w:left="720" w:hanging="720"/>
        <w:rPr>
          <w:rFonts w:cstheme="minorHAnsi"/>
        </w:rPr>
      </w:pPr>
      <w:r w:rsidRPr="00D22FFF">
        <w:rPr>
          <w:rFonts w:cstheme="minorHAnsi"/>
        </w:rPr>
        <w:t>Wright, S.J., Kitajima, K., Kraft, N.J., Reich, P.B., Wright, I.J., Bunker, D.E. </w:t>
      </w:r>
      <w:r w:rsidRPr="00D22FFF">
        <w:rPr>
          <w:rFonts w:cstheme="minorHAnsi"/>
          <w:i/>
          <w:iCs/>
        </w:rPr>
        <w:t>et al</w:t>
      </w:r>
      <w:r w:rsidRPr="00D22FFF">
        <w:rPr>
          <w:rFonts w:cstheme="minorHAnsi"/>
        </w:rPr>
        <w:t>. (2010) Functional traits and the growth‐mortality trade‐off in tropical trees. </w:t>
      </w:r>
      <w:r w:rsidRPr="00D22FFF">
        <w:rPr>
          <w:rFonts w:cstheme="minorHAnsi"/>
          <w:i/>
          <w:iCs/>
        </w:rPr>
        <w:t>Ecology</w:t>
      </w:r>
      <w:r w:rsidRPr="00D22FFF">
        <w:rPr>
          <w:rFonts w:cstheme="minorHAnsi"/>
        </w:rPr>
        <w:t>, </w:t>
      </w:r>
      <w:r w:rsidRPr="00D22FFF">
        <w:rPr>
          <w:rFonts w:cstheme="minorHAnsi"/>
          <w:b/>
          <w:bCs/>
        </w:rPr>
        <w:t>91</w:t>
      </w:r>
      <w:r w:rsidRPr="00D22FFF">
        <w:rPr>
          <w:rFonts w:cstheme="minorHAnsi"/>
        </w:rPr>
        <w:t>, 3664– 3674.</w:t>
      </w:r>
    </w:p>
    <w:p w14:paraId="18CC1BC6" w14:textId="77777777" w:rsidR="00F74E31" w:rsidRPr="00D22FFF" w:rsidRDefault="00F74E31" w:rsidP="00D22FFF">
      <w:pPr>
        <w:spacing w:after="0"/>
        <w:ind w:left="720" w:hanging="720"/>
        <w:rPr>
          <w:rFonts w:cstheme="minorHAnsi"/>
        </w:rPr>
      </w:pPr>
      <w:r w:rsidRPr="00D22FFF">
        <w:rPr>
          <w:rFonts w:cstheme="minorHAnsi"/>
        </w:rPr>
        <w:t>Wright, S.J., Yavitt, J.B., Wurzburger, N., Turner, B.I., Tanner, E.V.J., Sayer, E.J., Santiago, L.S., Kaspari, M., Hedin, L.O., Harms, K.E., Garcia, M.N. &amp; Corre, M.D. (2011) Potassium, phosphorus, or nitrogen limit root allocation, tree growth, or litter production in a lowland tropical forest. </w:t>
      </w:r>
      <w:r w:rsidRPr="00D22FFF">
        <w:rPr>
          <w:rFonts w:cstheme="minorHAnsi"/>
          <w:i/>
          <w:iCs/>
        </w:rPr>
        <w:t>Ecology</w:t>
      </w:r>
      <w:r w:rsidRPr="00D22FFF">
        <w:rPr>
          <w:rFonts w:cstheme="minorHAnsi"/>
        </w:rPr>
        <w:t>, </w:t>
      </w:r>
      <w:r w:rsidRPr="00D22FFF">
        <w:rPr>
          <w:rFonts w:cstheme="minorHAnsi"/>
          <w:b/>
          <w:bCs/>
        </w:rPr>
        <w:t>92</w:t>
      </w:r>
      <w:r w:rsidRPr="00D22FFF">
        <w:rPr>
          <w:rFonts w:cstheme="minorHAnsi"/>
        </w:rPr>
        <w:t>, 1616– 1625.</w:t>
      </w:r>
    </w:p>
    <w:p w14:paraId="1537AA80" w14:textId="77777777" w:rsidR="00F74E31" w:rsidRPr="00D22FFF" w:rsidRDefault="00F74E31" w:rsidP="00D22FFF">
      <w:pPr>
        <w:spacing w:after="0"/>
        <w:ind w:left="720" w:hanging="720"/>
        <w:rPr>
          <w:rFonts w:cstheme="minorHAnsi"/>
        </w:rPr>
      </w:pPr>
      <w:r w:rsidRPr="00D22FFF">
        <w:rPr>
          <w:rFonts w:cstheme="minorHAnsi"/>
        </w:rPr>
        <w:t>Wright, S.J., Sun, I.F., Pickering, M., Flercher, C.D. &amp; Chen, C.Y. (2015) Long‐term changes in liana loads and tree dynamics in a Malaysian forest. </w:t>
      </w:r>
      <w:r w:rsidRPr="00D22FFF">
        <w:rPr>
          <w:rFonts w:cstheme="minorHAnsi"/>
          <w:i/>
          <w:iCs/>
        </w:rPr>
        <w:t>Ecology</w:t>
      </w:r>
      <w:r w:rsidRPr="00D22FFF">
        <w:rPr>
          <w:rFonts w:cstheme="minorHAnsi"/>
        </w:rPr>
        <w:t>, </w:t>
      </w:r>
      <w:r w:rsidRPr="00D22FFF">
        <w:rPr>
          <w:rFonts w:cstheme="minorHAnsi"/>
          <w:b/>
          <w:bCs/>
        </w:rPr>
        <w:t>96</w:t>
      </w:r>
      <w:r w:rsidRPr="00D22FFF">
        <w:rPr>
          <w:rFonts w:cstheme="minorHAnsi"/>
        </w:rPr>
        <w:t>, 2748– 2757.</w:t>
      </w:r>
    </w:p>
    <w:p w14:paraId="4C34D385" w14:textId="77777777" w:rsidR="00F74E31" w:rsidRPr="00D22FFF" w:rsidRDefault="00F74E31" w:rsidP="00D22FFF">
      <w:pPr>
        <w:spacing w:after="0"/>
        <w:ind w:left="720" w:hanging="720"/>
        <w:rPr>
          <w:rFonts w:cstheme="minorHAnsi"/>
        </w:rPr>
      </w:pPr>
      <w:r w:rsidRPr="00D22FFF">
        <w:rPr>
          <w:rFonts w:cstheme="minorHAnsi"/>
        </w:rPr>
        <w:t>Wurzburger, N. &amp; Wright, S.J. (2015) Fine‐root responses to fertilization reveal multiple nutrient limitation in a lowland tropical forest. </w:t>
      </w:r>
      <w:r w:rsidRPr="00D22FFF">
        <w:rPr>
          <w:rFonts w:cstheme="minorHAnsi"/>
          <w:i/>
          <w:iCs/>
        </w:rPr>
        <w:t>Ecology</w:t>
      </w:r>
      <w:r w:rsidRPr="00D22FFF">
        <w:rPr>
          <w:rFonts w:cstheme="minorHAnsi"/>
        </w:rPr>
        <w:t>, </w:t>
      </w:r>
      <w:r w:rsidRPr="00D22FFF">
        <w:rPr>
          <w:rFonts w:cstheme="minorHAnsi"/>
          <w:b/>
          <w:bCs/>
        </w:rPr>
        <w:t>96</w:t>
      </w:r>
      <w:r w:rsidRPr="00D22FFF">
        <w:rPr>
          <w:rFonts w:cstheme="minorHAnsi"/>
        </w:rPr>
        <w:t>, 2137– 2146.</w:t>
      </w:r>
    </w:p>
    <w:p w14:paraId="1898446D" w14:textId="77777777" w:rsidR="00F74E31" w:rsidRPr="00D22FFF" w:rsidRDefault="00F74E31" w:rsidP="00D22FFF">
      <w:pPr>
        <w:spacing w:after="0"/>
        <w:ind w:left="720" w:hanging="720"/>
        <w:rPr>
          <w:rFonts w:cstheme="minorHAnsi"/>
        </w:rPr>
      </w:pPr>
      <w:r w:rsidRPr="00D22FFF">
        <w:rPr>
          <w:rFonts w:cstheme="minorHAnsi"/>
        </w:rPr>
        <w:t>Zuur, A., Ieno, E.N., Walker, N., Saveliev, A.A. &amp; Smith, G.M. (2009) </w:t>
      </w:r>
      <w:r w:rsidRPr="00D22FFF">
        <w:rPr>
          <w:rFonts w:cstheme="minorHAnsi"/>
          <w:i/>
          <w:iCs/>
        </w:rPr>
        <w:t>Mixed Effects Models and Extensions in Ecology With R</w:t>
      </w:r>
      <w:r w:rsidRPr="00D22FFF">
        <w:rPr>
          <w:rFonts w:cstheme="minorHAnsi"/>
        </w:rPr>
        <w:t>. Springer Science &amp; Business Media, New York, NY, USA.</w:t>
      </w:r>
    </w:p>
    <w:p w14:paraId="3B59ECE0" w14:textId="77777777" w:rsidR="00F74E31" w:rsidRPr="00D22FFF" w:rsidRDefault="00F74E31" w:rsidP="00D22FFF">
      <w:pPr>
        <w:spacing w:after="0"/>
        <w:rPr>
          <w:rFonts w:cstheme="minorHAnsi"/>
        </w:rPr>
      </w:pPr>
    </w:p>
    <w:sectPr w:rsidR="00F74E31" w:rsidRPr="00D22FFF"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715685"/>
    <w:multiLevelType w:val="multilevel"/>
    <w:tmpl w:val="0A629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5D5898"/>
    <w:multiLevelType w:val="multilevel"/>
    <w:tmpl w:val="01A0B1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7945646"/>
    <w:multiLevelType w:val="multilevel"/>
    <w:tmpl w:val="1A707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E6379A3"/>
    <w:multiLevelType w:val="multilevel"/>
    <w:tmpl w:val="57CEFA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F5E69CF"/>
    <w:multiLevelType w:val="multilevel"/>
    <w:tmpl w:val="02D023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0EA3"/>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228F"/>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514"/>
    <w:rsid w:val="002A0668"/>
    <w:rsid w:val="002A6B8B"/>
    <w:rsid w:val="002A7FBB"/>
    <w:rsid w:val="002B1ED8"/>
    <w:rsid w:val="002B45EC"/>
    <w:rsid w:val="002B62C6"/>
    <w:rsid w:val="002C17A7"/>
    <w:rsid w:val="002C2DA5"/>
    <w:rsid w:val="002C4714"/>
    <w:rsid w:val="002C6160"/>
    <w:rsid w:val="002C6638"/>
    <w:rsid w:val="002D02F2"/>
    <w:rsid w:val="002D28EA"/>
    <w:rsid w:val="002D51BB"/>
    <w:rsid w:val="002D5BAE"/>
    <w:rsid w:val="002D5DDC"/>
    <w:rsid w:val="002D6AA3"/>
    <w:rsid w:val="002E5C33"/>
    <w:rsid w:val="002E5D29"/>
    <w:rsid w:val="002E626D"/>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5AC0"/>
    <w:rsid w:val="00347634"/>
    <w:rsid w:val="00351E90"/>
    <w:rsid w:val="00360206"/>
    <w:rsid w:val="003624EE"/>
    <w:rsid w:val="003632E1"/>
    <w:rsid w:val="00363CD3"/>
    <w:rsid w:val="003656A9"/>
    <w:rsid w:val="00366852"/>
    <w:rsid w:val="0037066A"/>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1A06"/>
    <w:rsid w:val="004010E3"/>
    <w:rsid w:val="004055B8"/>
    <w:rsid w:val="00405CAD"/>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62D"/>
    <w:rsid w:val="004F1F3C"/>
    <w:rsid w:val="0050408D"/>
    <w:rsid w:val="00504C6A"/>
    <w:rsid w:val="00510364"/>
    <w:rsid w:val="005116C9"/>
    <w:rsid w:val="00511BEE"/>
    <w:rsid w:val="005175E9"/>
    <w:rsid w:val="00520368"/>
    <w:rsid w:val="0052658A"/>
    <w:rsid w:val="005301A7"/>
    <w:rsid w:val="00533270"/>
    <w:rsid w:val="00534C90"/>
    <w:rsid w:val="00534D94"/>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661E"/>
    <w:rsid w:val="00580E33"/>
    <w:rsid w:val="00583225"/>
    <w:rsid w:val="0058724D"/>
    <w:rsid w:val="00596593"/>
    <w:rsid w:val="00596A35"/>
    <w:rsid w:val="005979CD"/>
    <w:rsid w:val="005A12F0"/>
    <w:rsid w:val="005A5291"/>
    <w:rsid w:val="005A6FD1"/>
    <w:rsid w:val="005B08F1"/>
    <w:rsid w:val="005B47BC"/>
    <w:rsid w:val="005C00EC"/>
    <w:rsid w:val="005C15C9"/>
    <w:rsid w:val="005C183A"/>
    <w:rsid w:val="005C30E9"/>
    <w:rsid w:val="005C663B"/>
    <w:rsid w:val="005D1C38"/>
    <w:rsid w:val="005D1ED6"/>
    <w:rsid w:val="005D767A"/>
    <w:rsid w:val="005E11F2"/>
    <w:rsid w:val="005E2628"/>
    <w:rsid w:val="005E5F66"/>
    <w:rsid w:val="005F46EC"/>
    <w:rsid w:val="005F49C9"/>
    <w:rsid w:val="005F71CE"/>
    <w:rsid w:val="005F7A68"/>
    <w:rsid w:val="00601980"/>
    <w:rsid w:val="0060332C"/>
    <w:rsid w:val="00604C5A"/>
    <w:rsid w:val="00607F1D"/>
    <w:rsid w:val="00612DE8"/>
    <w:rsid w:val="00615A83"/>
    <w:rsid w:val="00620EA0"/>
    <w:rsid w:val="006228B8"/>
    <w:rsid w:val="00623E47"/>
    <w:rsid w:val="00624CD2"/>
    <w:rsid w:val="0062795C"/>
    <w:rsid w:val="00631A06"/>
    <w:rsid w:val="00633D28"/>
    <w:rsid w:val="00633F1B"/>
    <w:rsid w:val="00634D07"/>
    <w:rsid w:val="00635799"/>
    <w:rsid w:val="00636A77"/>
    <w:rsid w:val="0064051B"/>
    <w:rsid w:val="00645D2C"/>
    <w:rsid w:val="00650724"/>
    <w:rsid w:val="006511E1"/>
    <w:rsid w:val="006517B5"/>
    <w:rsid w:val="00652076"/>
    <w:rsid w:val="00653DA3"/>
    <w:rsid w:val="00654D37"/>
    <w:rsid w:val="006621F0"/>
    <w:rsid w:val="00662ECA"/>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5203"/>
    <w:rsid w:val="00864432"/>
    <w:rsid w:val="008649A3"/>
    <w:rsid w:val="0086670A"/>
    <w:rsid w:val="00870BA1"/>
    <w:rsid w:val="00873CDE"/>
    <w:rsid w:val="00874421"/>
    <w:rsid w:val="00875997"/>
    <w:rsid w:val="0087796C"/>
    <w:rsid w:val="00880369"/>
    <w:rsid w:val="00880932"/>
    <w:rsid w:val="008825B5"/>
    <w:rsid w:val="00885E74"/>
    <w:rsid w:val="00886B14"/>
    <w:rsid w:val="008909CA"/>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E6AC7"/>
    <w:rsid w:val="008F0401"/>
    <w:rsid w:val="008F04C1"/>
    <w:rsid w:val="008F2457"/>
    <w:rsid w:val="008F252A"/>
    <w:rsid w:val="008F6AFD"/>
    <w:rsid w:val="008F7645"/>
    <w:rsid w:val="0090248F"/>
    <w:rsid w:val="00902F25"/>
    <w:rsid w:val="0090407E"/>
    <w:rsid w:val="00905334"/>
    <w:rsid w:val="00907ABB"/>
    <w:rsid w:val="00911307"/>
    <w:rsid w:val="00912B90"/>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4E37"/>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4925"/>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6A09"/>
    <w:rsid w:val="00B30468"/>
    <w:rsid w:val="00B32160"/>
    <w:rsid w:val="00B32B07"/>
    <w:rsid w:val="00B330DD"/>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97FB6"/>
    <w:rsid w:val="00BA22C6"/>
    <w:rsid w:val="00BA316D"/>
    <w:rsid w:val="00BA32F3"/>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E53F9"/>
    <w:rsid w:val="00CF53EE"/>
    <w:rsid w:val="00D01E5B"/>
    <w:rsid w:val="00D02378"/>
    <w:rsid w:val="00D02BE9"/>
    <w:rsid w:val="00D101DD"/>
    <w:rsid w:val="00D14423"/>
    <w:rsid w:val="00D15F27"/>
    <w:rsid w:val="00D17394"/>
    <w:rsid w:val="00D17B7F"/>
    <w:rsid w:val="00D21541"/>
    <w:rsid w:val="00D22FFF"/>
    <w:rsid w:val="00D23FFF"/>
    <w:rsid w:val="00D2778A"/>
    <w:rsid w:val="00D31043"/>
    <w:rsid w:val="00D32077"/>
    <w:rsid w:val="00D324C0"/>
    <w:rsid w:val="00D34A13"/>
    <w:rsid w:val="00D3640D"/>
    <w:rsid w:val="00D365C7"/>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1B4E"/>
    <w:rsid w:val="00DB357A"/>
    <w:rsid w:val="00DB4233"/>
    <w:rsid w:val="00DB5097"/>
    <w:rsid w:val="00DC4F7C"/>
    <w:rsid w:val="00DC7134"/>
    <w:rsid w:val="00DC7C2C"/>
    <w:rsid w:val="00DD2256"/>
    <w:rsid w:val="00DD4B55"/>
    <w:rsid w:val="00DD5871"/>
    <w:rsid w:val="00DE2F66"/>
    <w:rsid w:val="00DE4173"/>
    <w:rsid w:val="00DE4592"/>
    <w:rsid w:val="00DF6125"/>
    <w:rsid w:val="00E05F71"/>
    <w:rsid w:val="00E13E05"/>
    <w:rsid w:val="00E15784"/>
    <w:rsid w:val="00E16734"/>
    <w:rsid w:val="00E179BE"/>
    <w:rsid w:val="00E20401"/>
    <w:rsid w:val="00E264D8"/>
    <w:rsid w:val="00E319F9"/>
    <w:rsid w:val="00E331C7"/>
    <w:rsid w:val="00E35240"/>
    <w:rsid w:val="00E36E18"/>
    <w:rsid w:val="00E37099"/>
    <w:rsid w:val="00E40A15"/>
    <w:rsid w:val="00E40CCE"/>
    <w:rsid w:val="00E41E16"/>
    <w:rsid w:val="00E43654"/>
    <w:rsid w:val="00E459FA"/>
    <w:rsid w:val="00E45A4B"/>
    <w:rsid w:val="00E46996"/>
    <w:rsid w:val="00E50522"/>
    <w:rsid w:val="00E52F87"/>
    <w:rsid w:val="00E6120D"/>
    <w:rsid w:val="00E61D06"/>
    <w:rsid w:val="00E66E58"/>
    <w:rsid w:val="00E7043E"/>
    <w:rsid w:val="00E747D9"/>
    <w:rsid w:val="00E75D5D"/>
    <w:rsid w:val="00E766CA"/>
    <w:rsid w:val="00E81F85"/>
    <w:rsid w:val="00E8413D"/>
    <w:rsid w:val="00E84C2A"/>
    <w:rsid w:val="00E8721A"/>
    <w:rsid w:val="00E90CA1"/>
    <w:rsid w:val="00E91D25"/>
    <w:rsid w:val="00E95F4D"/>
    <w:rsid w:val="00E97067"/>
    <w:rsid w:val="00EA6E8E"/>
    <w:rsid w:val="00EA7978"/>
    <w:rsid w:val="00EA7D19"/>
    <w:rsid w:val="00EB4B81"/>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4142"/>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4E31"/>
    <w:rsid w:val="00F76222"/>
    <w:rsid w:val="00F83712"/>
    <w:rsid w:val="00F86BEC"/>
    <w:rsid w:val="00F9447B"/>
    <w:rsid w:val="00F944E0"/>
    <w:rsid w:val="00F95C39"/>
    <w:rsid w:val="00FA132A"/>
    <w:rsid w:val="00FA1FC3"/>
    <w:rsid w:val="00FA431A"/>
    <w:rsid w:val="00FA54C6"/>
    <w:rsid w:val="00FA5E0B"/>
    <w:rsid w:val="00FA689F"/>
    <w:rsid w:val="00FA7BFA"/>
    <w:rsid w:val="00FB00F5"/>
    <w:rsid w:val="00FB0527"/>
    <w:rsid w:val="00FB3A37"/>
    <w:rsid w:val="00FB635D"/>
    <w:rsid w:val="00FB6BC1"/>
    <w:rsid w:val="00FC0EED"/>
    <w:rsid w:val="00FC11D2"/>
    <w:rsid w:val="00FC1405"/>
    <w:rsid w:val="00FC719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5E11F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E11F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E11F2"/>
    <w:rPr>
      <w:color w:val="0000FF"/>
      <w:u w:val="single"/>
    </w:rPr>
  </w:style>
  <w:style w:type="character" w:styleId="FollowedHyperlink">
    <w:name w:val="FollowedHyperlink"/>
    <w:basedOn w:val="DefaultParagraphFont"/>
    <w:uiPriority w:val="99"/>
    <w:semiHidden/>
    <w:unhideWhenUsed/>
    <w:rsid w:val="005E11F2"/>
    <w:rPr>
      <w:color w:val="800080"/>
      <w:u w:val="single"/>
    </w:rPr>
  </w:style>
  <w:style w:type="character" w:customStyle="1" w:styleId="smallcaps">
    <w:name w:val="smallcaps"/>
    <w:basedOn w:val="DefaultParagraphFont"/>
    <w:rsid w:val="005E11F2"/>
  </w:style>
  <w:style w:type="character" w:customStyle="1" w:styleId="inline-equationconstruct">
    <w:name w:val="inline-equation__construct"/>
    <w:basedOn w:val="DefaultParagraphFont"/>
    <w:rsid w:val="005E11F2"/>
  </w:style>
  <w:style w:type="character" w:customStyle="1" w:styleId="inline-equationlabel">
    <w:name w:val="inline-equation__label"/>
    <w:basedOn w:val="DefaultParagraphFont"/>
    <w:rsid w:val="005E11F2"/>
  </w:style>
  <w:style w:type="character" w:styleId="UnresolvedMention">
    <w:name w:val="Unresolved Mention"/>
    <w:basedOn w:val="DefaultParagraphFont"/>
    <w:uiPriority w:val="99"/>
    <w:semiHidden/>
    <w:unhideWhenUsed/>
    <w:rsid w:val="00B26A09"/>
    <w:rPr>
      <w:color w:val="605E5C"/>
      <w:shd w:val="clear" w:color="auto" w:fill="E1DFDD"/>
    </w:rPr>
  </w:style>
  <w:style w:type="character" w:customStyle="1" w:styleId="author">
    <w:name w:val="author"/>
    <w:basedOn w:val="DefaultParagraphFont"/>
    <w:rsid w:val="00F74E31"/>
  </w:style>
  <w:style w:type="character" w:customStyle="1" w:styleId="pubyear">
    <w:name w:val="pubyear"/>
    <w:basedOn w:val="DefaultParagraphFont"/>
    <w:rsid w:val="00F74E31"/>
  </w:style>
  <w:style w:type="character" w:customStyle="1" w:styleId="articletitle">
    <w:name w:val="articletitle"/>
    <w:basedOn w:val="DefaultParagraphFont"/>
    <w:rsid w:val="00F74E31"/>
  </w:style>
  <w:style w:type="character" w:customStyle="1" w:styleId="vol">
    <w:name w:val="vol"/>
    <w:basedOn w:val="DefaultParagraphFont"/>
    <w:rsid w:val="00F74E31"/>
  </w:style>
  <w:style w:type="character" w:customStyle="1" w:styleId="pagefirst">
    <w:name w:val="pagefirst"/>
    <w:basedOn w:val="DefaultParagraphFont"/>
    <w:rsid w:val="00F74E31"/>
  </w:style>
  <w:style w:type="character" w:customStyle="1" w:styleId="pagelast">
    <w:name w:val="pagelast"/>
    <w:basedOn w:val="DefaultParagraphFont"/>
    <w:rsid w:val="00F74E31"/>
  </w:style>
  <w:style w:type="character" w:customStyle="1" w:styleId="openurl">
    <w:name w:val="openurl"/>
    <w:basedOn w:val="DefaultParagraphFont"/>
    <w:rsid w:val="00F74E31"/>
  </w:style>
  <w:style w:type="character" w:customStyle="1" w:styleId="booktitle0">
    <w:name w:val="booktitle"/>
    <w:basedOn w:val="DefaultParagraphFont"/>
    <w:rsid w:val="00F74E31"/>
  </w:style>
  <w:style w:type="character" w:customStyle="1" w:styleId="publisherlocation">
    <w:name w:val="publisherlocation"/>
    <w:basedOn w:val="DefaultParagraphFont"/>
    <w:rsid w:val="00F74E31"/>
  </w:style>
  <w:style w:type="character" w:customStyle="1" w:styleId="groupname">
    <w:name w:val="groupname"/>
    <w:basedOn w:val="DefaultParagraphFont"/>
    <w:rsid w:val="00F74E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9857893">
      <w:bodyDiv w:val="1"/>
      <w:marLeft w:val="0"/>
      <w:marRight w:val="0"/>
      <w:marTop w:val="0"/>
      <w:marBottom w:val="0"/>
      <w:divBdr>
        <w:top w:val="none" w:sz="0" w:space="0" w:color="auto"/>
        <w:left w:val="none" w:sz="0" w:space="0" w:color="auto"/>
        <w:bottom w:val="none" w:sz="0" w:space="0" w:color="auto"/>
        <w:right w:val="none" w:sz="0" w:space="0" w:color="auto"/>
      </w:divBdr>
      <w:divsChild>
        <w:div w:id="638151312">
          <w:marLeft w:val="0"/>
          <w:marRight w:val="0"/>
          <w:marTop w:val="0"/>
          <w:marBottom w:val="0"/>
          <w:divBdr>
            <w:top w:val="none" w:sz="0" w:space="0" w:color="auto"/>
            <w:left w:val="none" w:sz="0" w:space="0" w:color="auto"/>
            <w:bottom w:val="none" w:sz="0" w:space="0" w:color="auto"/>
            <w:right w:val="none" w:sz="0" w:space="0" w:color="auto"/>
          </w:divBdr>
        </w:div>
        <w:div w:id="1060400103">
          <w:marLeft w:val="0"/>
          <w:marRight w:val="0"/>
          <w:marTop w:val="0"/>
          <w:marBottom w:val="0"/>
          <w:divBdr>
            <w:top w:val="none" w:sz="0" w:space="0" w:color="auto"/>
            <w:left w:val="none" w:sz="0" w:space="0" w:color="auto"/>
            <w:bottom w:val="none" w:sz="0" w:space="0" w:color="auto"/>
            <w:right w:val="none" w:sz="0" w:space="0" w:color="auto"/>
          </w:divBdr>
        </w:div>
        <w:div w:id="459109326">
          <w:marLeft w:val="0"/>
          <w:marRight w:val="0"/>
          <w:marTop w:val="0"/>
          <w:marBottom w:val="0"/>
          <w:divBdr>
            <w:top w:val="none" w:sz="0" w:space="0" w:color="auto"/>
            <w:left w:val="none" w:sz="0" w:space="0" w:color="auto"/>
            <w:bottom w:val="none" w:sz="0" w:space="0" w:color="auto"/>
            <w:right w:val="none" w:sz="0" w:space="0" w:color="auto"/>
          </w:divBdr>
        </w:div>
        <w:div w:id="1445684992">
          <w:marLeft w:val="0"/>
          <w:marRight w:val="0"/>
          <w:marTop w:val="0"/>
          <w:marBottom w:val="0"/>
          <w:divBdr>
            <w:top w:val="none" w:sz="0" w:space="0" w:color="auto"/>
            <w:left w:val="none" w:sz="0" w:space="0" w:color="auto"/>
            <w:bottom w:val="none" w:sz="0" w:space="0" w:color="auto"/>
            <w:right w:val="none" w:sz="0" w:space="0" w:color="auto"/>
          </w:divBdr>
        </w:div>
        <w:div w:id="256906697">
          <w:marLeft w:val="0"/>
          <w:marRight w:val="0"/>
          <w:marTop w:val="0"/>
          <w:marBottom w:val="0"/>
          <w:divBdr>
            <w:top w:val="none" w:sz="0" w:space="0" w:color="auto"/>
            <w:left w:val="none" w:sz="0" w:space="0" w:color="auto"/>
            <w:bottom w:val="none" w:sz="0" w:space="0" w:color="auto"/>
            <w:right w:val="none" w:sz="0" w:space="0" w:color="auto"/>
          </w:divBdr>
        </w:div>
        <w:div w:id="1156455824">
          <w:marLeft w:val="0"/>
          <w:marRight w:val="0"/>
          <w:marTop w:val="0"/>
          <w:marBottom w:val="0"/>
          <w:divBdr>
            <w:top w:val="none" w:sz="0" w:space="0" w:color="auto"/>
            <w:left w:val="none" w:sz="0" w:space="0" w:color="auto"/>
            <w:bottom w:val="none" w:sz="0" w:space="0" w:color="auto"/>
            <w:right w:val="none" w:sz="0" w:space="0" w:color="auto"/>
          </w:divBdr>
        </w:div>
      </w:divsChild>
    </w:div>
    <w:div w:id="548490143">
      <w:bodyDiv w:val="1"/>
      <w:marLeft w:val="0"/>
      <w:marRight w:val="0"/>
      <w:marTop w:val="0"/>
      <w:marBottom w:val="0"/>
      <w:divBdr>
        <w:top w:val="none" w:sz="0" w:space="0" w:color="auto"/>
        <w:left w:val="none" w:sz="0" w:space="0" w:color="auto"/>
        <w:bottom w:val="none" w:sz="0" w:space="0" w:color="auto"/>
        <w:right w:val="none" w:sz="0" w:space="0" w:color="auto"/>
      </w:divBdr>
      <w:divsChild>
        <w:div w:id="1605916030">
          <w:marLeft w:val="0"/>
          <w:marRight w:val="0"/>
          <w:marTop w:val="0"/>
          <w:marBottom w:val="0"/>
          <w:divBdr>
            <w:top w:val="none" w:sz="0" w:space="0" w:color="auto"/>
            <w:left w:val="none" w:sz="0" w:space="0" w:color="auto"/>
            <w:bottom w:val="none" w:sz="0" w:space="0" w:color="auto"/>
            <w:right w:val="none" w:sz="0" w:space="0" w:color="auto"/>
          </w:divBdr>
        </w:div>
        <w:div w:id="1916478270">
          <w:marLeft w:val="0"/>
          <w:marRight w:val="0"/>
          <w:marTop w:val="0"/>
          <w:marBottom w:val="0"/>
          <w:divBdr>
            <w:top w:val="none" w:sz="0" w:space="0" w:color="auto"/>
            <w:left w:val="none" w:sz="0" w:space="0" w:color="auto"/>
            <w:bottom w:val="none" w:sz="0" w:space="0" w:color="auto"/>
            <w:right w:val="none" w:sz="0" w:space="0" w:color="auto"/>
          </w:divBdr>
        </w:div>
        <w:div w:id="128595910">
          <w:marLeft w:val="0"/>
          <w:marRight w:val="0"/>
          <w:marTop w:val="0"/>
          <w:marBottom w:val="0"/>
          <w:divBdr>
            <w:top w:val="none" w:sz="0" w:space="0" w:color="auto"/>
            <w:left w:val="none" w:sz="0" w:space="0" w:color="auto"/>
            <w:bottom w:val="none" w:sz="0" w:space="0" w:color="auto"/>
            <w:right w:val="none" w:sz="0" w:space="0" w:color="auto"/>
          </w:divBdr>
        </w:div>
        <w:div w:id="1131098683">
          <w:marLeft w:val="0"/>
          <w:marRight w:val="0"/>
          <w:marTop w:val="0"/>
          <w:marBottom w:val="0"/>
          <w:divBdr>
            <w:top w:val="none" w:sz="0" w:space="0" w:color="auto"/>
            <w:left w:val="none" w:sz="0" w:space="0" w:color="auto"/>
            <w:bottom w:val="none" w:sz="0" w:space="0" w:color="auto"/>
            <w:right w:val="none" w:sz="0" w:space="0" w:color="auto"/>
          </w:divBdr>
        </w:div>
        <w:div w:id="450980080">
          <w:marLeft w:val="0"/>
          <w:marRight w:val="0"/>
          <w:marTop w:val="0"/>
          <w:marBottom w:val="0"/>
          <w:divBdr>
            <w:top w:val="none" w:sz="0" w:space="0" w:color="auto"/>
            <w:left w:val="none" w:sz="0" w:space="0" w:color="auto"/>
            <w:bottom w:val="none" w:sz="0" w:space="0" w:color="auto"/>
            <w:right w:val="none" w:sz="0" w:space="0" w:color="auto"/>
          </w:divBdr>
        </w:div>
        <w:div w:id="1591504745">
          <w:marLeft w:val="0"/>
          <w:marRight w:val="0"/>
          <w:marTop w:val="0"/>
          <w:marBottom w:val="0"/>
          <w:divBdr>
            <w:top w:val="none" w:sz="0" w:space="0" w:color="auto"/>
            <w:left w:val="none" w:sz="0" w:space="0" w:color="auto"/>
            <w:bottom w:val="none" w:sz="0" w:space="0" w:color="auto"/>
            <w:right w:val="none" w:sz="0" w:space="0" w:color="auto"/>
          </w:divBdr>
        </w:div>
        <w:div w:id="1229920261">
          <w:marLeft w:val="0"/>
          <w:marRight w:val="0"/>
          <w:marTop w:val="0"/>
          <w:marBottom w:val="0"/>
          <w:divBdr>
            <w:top w:val="none" w:sz="0" w:space="0" w:color="auto"/>
            <w:left w:val="none" w:sz="0" w:space="0" w:color="auto"/>
            <w:bottom w:val="none" w:sz="0" w:space="0" w:color="auto"/>
            <w:right w:val="none" w:sz="0" w:space="0" w:color="auto"/>
          </w:divBdr>
        </w:div>
        <w:div w:id="196623248">
          <w:marLeft w:val="0"/>
          <w:marRight w:val="0"/>
          <w:marTop w:val="0"/>
          <w:marBottom w:val="0"/>
          <w:divBdr>
            <w:top w:val="none" w:sz="0" w:space="0" w:color="auto"/>
            <w:left w:val="none" w:sz="0" w:space="0" w:color="auto"/>
            <w:bottom w:val="none" w:sz="0" w:space="0" w:color="auto"/>
            <w:right w:val="none" w:sz="0" w:space="0" w:color="auto"/>
          </w:divBdr>
        </w:div>
        <w:div w:id="444622999">
          <w:marLeft w:val="0"/>
          <w:marRight w:val="0"/>
          <w:marTop w:val="0"/>
          <w:marBottom w:val="0"/>
          <w:divBdr>
            <w:top w:val="none" w:sz="0" w:space="0" w:color="auto"/>
            <w:left w:val="none" w:sz="0" w:space="0" w:color="auto"/>
            <w:bottom w:val="none" w:sz="0" w:space="0" w:color="auto"/>
            <w:right w:val="none" w:sz="0" w:space="0" w:color="auto"/>
          </w:divBdr>
        </w:div>
        <w:div w:id="529418211">
          <w:marLeft w:val="0"/>
          <w:marRight w:val="0"/>
          <w:marTop w:val="0"/>
          <w:marBottom w:val="0"/>
          <w:divBdr>
            <w:top w:val="none" w:sz="0" w:space="0" w:color="auto"/>
            <w:left w:val="none" w:sz="0" w:space="0" w:color="auto"/>
            <w:bottom w:val="none" w:sz="0" w:space="0" w:color="auto"/>
            <w:right w:val="none" w:sz="0" w:space="0" w:color="auto"/>
          </w:divBdr>
        </w:div>
        <w:div w:id="2013529400">
          <w:marLeft w:val="0"/>
          <w:marRight w:val="0"/>
          <w:marTop w:val="0"/>
          <w:marBottom w:val="0"/>
          <w:divBdr>
            <w:top w:val="none" w:sz="0" w:space="0" w:color="auto"/>
            <w:left w:val="none" w:sz="0" w:space="0" w:color="auto"/>
            <w:bottom w:val="none" w:sz="0" w:space="0" w:color="auto"/>
            <w:right w:val="none" w:sz="0" w:space="0" w:color="auto"/>
          </w:divBdr>
        </w:div>
        <w:div w:id="1121192428">
          <w:marLeft w:val="0"/>
          <w:marRight w:val="0"/>
          <w:marTop w:val="0"/>
          <w:marBottom w:val="0"/>
          <w:divBdr>
            <w:top w:val="none" w:sz="0" w:space="0" w:color="auto"/>
            <w:left w:val="none" w:sz="0" w:space="0" w:color="auto"/>
            <w:bottom w:val="none" w:sz="0" w:space="0" w:color="auto"/>
            <w:right w:val="none" w:sz="0" w:space="0" w:color="auto"/>
          </w:divBdr>
        </w:div>
        <w:div w:id="451946052">
          <w:marLeft w:val="0"/>
          <w:marRight w:val="0"/>
          <w:marTop w:val="0"/>
          <w:marBottom w:val="0"/>
          <w:divBdr>
            <w:top w:val="none" w:sz="0" w:space="0" w:color="auto"/>
            <w:left w:val="none" w:sz="0" w:space="0" w:color="auto"/>
            <w:bottom w:val="none" w:sz="0" w:space="0" w:color="auto"/>
            <w:right w:val="none" w:sz="0" w:space="0" w:color="auto"/>
          </w:divBdr>
        </w:div>
        <w:div w:id="230119645">
          <w:marLeft w:val="0"/>
          <w:marRight w:val="0"/>
          <w:marTop w:val="0"/>
          <w:marBottom w:val="0"/>
          <w:divBdr>
            <w:top w:val="none" w:sz="0" w:space="0" w:color="auto"/>
            <w:left w:val="none" w:sz="0" w:space="0" w:color="auto"/>
            <w:bottom w:val="none" w:sz="0" w:space="0" w:color="auto"/>
            <w:right w:val="none" w:sz="0" w:space="0" w:color="auto"/>
          </w:divBdr>
        </w:div>
        <w:div w:id="689767436">
          <w:marLeft w:val="0"/>
          <w:marRight w:val="0"/>
          <w:marTop w:val="0"/>
          <w:marBottom w:val="0"/>
          <w:divBdr>
            <w:top w:val="none" w:sz="0" w:space="0" w:color="auto"/>
            <w:left w:val="none" w:sz="0" w:space="0" w:color="auto"/>
            <w:bottom w:val="none" w:sz="0" w:space="0" w:color="auto"/>
            <w:right w:val="none" w:sz="0" w:space="0" w:color="auto"/>
          </w:divBdr>
        </w:div>
        <w:div w:id="1133063953">
          <w:marLeft w:val="0"/>
          <w:marRight w:val="0"/>
          <w:marTop w:val="0"/>
          <w:marBottom w:val="0"/>
          <w:divBdr>
            <w:top w:val="none" w:sz="0" w:space="0" w:color="auto"/>
            <w:left w:val="none" w:sz="0" w:space="0" w:color="auto"/>
            <w:bottom w:val="none" w:sz="0" w:space="0" w:color="auto"/>
            <w:right w:val="none" w:sz="0" w:space="0" w:color="auto"/>
          </w:divBdr>
        </w:div>
        <w:div w:id="816381966">
          <w:marLeft w:val="0"/>
          <w:marRight w:val="0"/>
          <w:marTop w:val="0"/>
          <w:marBottom w:val="0"/>
          <w:divBdr>
            <w:top w:val="none" w:sz="0" w:space="0" w:color="auto"/>
            <w:left w:val="none" w:sz="0" w:space="0" w:color="auto"/>
            <w:bottom w:val="none" w:sz="0" w:space="0" w:color="auto"/>
            <w:right w:val="none" w:sz="0" w:space="0" w:color="auto"/>
          </w:divBdr>
        </w:div>
        <w:div w:id="271936330">
          <w:marLeft w:val="0"/>
          <w:marRight w:val="0"/>
          <w:marTop w:val="0"/>
          <w:marBottom w:val="0"/>
          <w:divBdr>
            <w:top w:val="none" w:sz="0" w:space="0" w:color="auto"/>
            <w:left w:val="none" w:sz="0" w:space="0" w:color="auto"/>
            <w:bottom w:val="none" w:sz="0" w:space="0" w:color="auto"/>
            <w:right w:val="none" w:sz="0" w:space="0" w:color="auto"/>
          </w:divBdr>
        </w:div>
        <w:div w:id="537427708">
          <w:marLeft w:val="0"/>
          <w:marRight w:val="0"/>
          <w:marTop w:val="0"/>
          <w:marBottom w:val="0"/>
          <w:divBdr>
            <w:top w:val="none" w:sz="0" w:space="0" w:color="auto"/>
            <w:left w:val="none" w:sz="0" w:space="0" w:color="auto"/>
            <w:bottom w:val="none" w:sz="0" w:space="0" w:color="auto"/>
            <w:right w:val="none" w:sz="0" w:space="0" w:color="auto"/>
          </w:divBdr>
        </w:div>
        <w:div w:id="835457870">
          <w:marLeft w:val="0"/>
          <w:marRight w:val="0"/>
          <w:marTop w:val="0"/>
          <w:marBottom w:val="0"/>
          <w:divBdr>
            <w:top w:val="none" w:sz="0" w:space="0" w:color="auto"/>
            <w:left w:val="none" w:sz="0" w:space="0" w:color="auto"/>
            <w:bottom w:val="none" w:sz="0" w:space="0" w:color="auto"/>
            <w:right w:val="none" w:sz="0" w:space="0" w:color="auto"/>
          </w:divBdr>
        </w:div>
        <w:div w:id="342364372">
          <w:marLeft w:val="0"/>
          <w:marRight w:val="0"/>
          <w:marTop w:val="0"/>
          <w:marBottom w:val="0"/>
          <w:divBdr>
            <w:top w:val="none" w:sz="0" w:space="0" w:color="auto"/>
            <w:left w:val="none" w:sz="0" w:space="0" w:color="auto"/>
            <w:bottom w:val="none" w:sz="0" w:space="0" w:color="auto"/>
            <w:right w:val="none" w:sz="0" w:space="0" w:color="auto"/>
          </w:divBdr>
        </w:div>
        <w:div w:id="801464425">
          <w:marLeft w:val="0"/>
          <w:marRight w:val="0"/>
          <w:marTop w:val="0"/>
          <w:marBottom w:val="0"/>
          <w:divBdr>
            <w:top w:val="none" w:sz="0" w:space="0" w:color="auto"/>
            <w:left w:val="none" w:sz="0" w:space="0" w:color="auto"/>
            <w:bottom w:val="none" w:sz="0" w:space="0" w:color="auto"/>
            <w:right w:val="none" w:sz="0" w:space="0" w:color="auto"/>
          </w:divBdr>
        </w:div>
        <w:div w:id="1021394974">
          <w:marLeft w:val="0"/>
          <w:marRight w:val="0"/>
          <w:marTop w:val="0"/>
          <w:marBottom w:val="0"/>
          <w:divBdr>
            <w:top w:val="none" w:sz="0" w:space="0" w:color="auto"/>
            <w:left w:val="none" w:sz="0" w:space="0" w:color="auto"/>
            <w:bottom w:val="none" w:sz="0" w:space="0" w:color="auto"/>
            <w:right w:val="none" w:sz="0" w:space="0" w:color="auto"/>
          </w:divBdr>
        </w:div>
        <w:div w:id="1454515472">
          <w:marLeft w:val="0"/>
          <w:marRight w:val="0"/>
          <w:marTop w:val="0"/>
          <w:marBottom w:val="0"/>
          <w:divBdr>
            <w:top w:val="none" w:sz="0" w:space="0" w:color="auto"/>
            <w:left w:val="none" w:sz="0" w:space="0" w:color="auto"/>
            <w:bottom w:val="none" w:sz="0" w:space="0" w:color="auto"/>
            <w:right w:val="none" w:sz="0" w:space="0" w:color="auto"/>
          </w:divBdr>
        </w:div>
        <w:div w:id="1801848785">
          <w:marLeft w:val="0"/>
          <w:marRight w:val="0"/>
          <w:marTop w:val="0"/>
          <w:marBottom w:val="0"/>
          <w:divBdr>
            <w:top w:val="none" w:sz="0" w:space="0" w:color="auto"/>
            <w:left w:val="none" w:sz="0" w:space="0" w:color="auto"/>
            <w:bottom w:val="none" w:sz="0" w:space="0" w:color="auto"/>
            <w:right w:val="none" w:sz="0" w:space="0" w:color="auto"/>
          </w:divBdr>
        </w:div>
        <w:div w:id="1799645976">
          <w:marLeft w:val="0"/>
          <w:marRight w:val="0"/>
          <w:marTop w:val="0"/>
          <w:marBottom w:val="0"/>
          <w:divBdr>
            <w:top w:val="none" w:sz="0" w:space="0" w:color="auto"/>
            <w:left w:val="none" w:sz="0" w:space="0" w:color="auto"/>
            <w:bottom w:val="none" w:sz="0" w:space="0" w:color="auto"/>
            <w:right w:val="none" w:sz="0" w:space="0" w:color="auto"/>
          </w:divBdr>
        </w:div>
        <w:div w:id="544565769">
          <w:marLeft w:val="0"/>
          <w:marRight w:val="0"/>
          <w:marTop w:val="0"/>
          <w:marBottom w:val="0"/>
          <w:divBdr>
            <w:top w:val="none" w:sz="0" w:space="0" w:color="auto"/>
            <w:left w:val="none" w:sz="0" w:space="0" w:color="auto"/>
            <w:bottom w:val="none" w:sz="0" w:space="0" w:color="auto"/>
            <w:right w:val="none" w:sz="0" w:space="0" w:color="auto"/>
          </w:divBdr>
        </w:div>
        <w:div w:id="1981377445">
          <w:marLeft w:val="0"/>
          <w:marRight w:val="0"/>
          <w:marTop w:val="0"/>
          <w:marBottom w:val="0"/>
          <w:divBdr>
            <w:top w:val="none" w:sz="0" w:space="0" w:color="auto"/>
            <w:left w:val="none" w:sz="0" w:space="0" w:color="auto"/>
            <w:bottom w:val="none" w:sz="0" w:space="0" w:color="auto"/>
            <w:right w:val="none" w:sz="0" w:space="0" w:color="auto"/>
          </w:divBdr>
        </w:div>
        <w:div w:id="1388408586">
          <w:marLeft w:val="0"/>
          <w:marRight w:val="0"/>
          <w:marTop w:val="0"/>
          <w:marBottom w:val="0"/>
          <w:divBdr>
            <w:top w:val="none" w:sz="0" w:space="0" w:color="auto"/>
            <w:left w:val="none" w:sz="0" w:space="0" w:color="auto"/>
            <w:bottom w:val="none" w:sz="0" w:space="0" w:color="auto"/>
            <w:right w:val="none" w:sz="0" w:space="0" w:color="auto"/>
          </w:divBdr>
        </w:div>
        <w:div w:id="211314414">
          <w:marLeft w:val="0"/>
          <w:marRight w:val="0"/>
          <w:marTop w:val="0"/>
          <w:marBottom w:val="0"/>
          <w:divBdr>
            <w:top w:val="none" w:sz="0" w:space="0" w:color="auto"/>
            <w:left w:val="none" w:sz="0" w:space="0" w:color="auto"/>
            <w:bottom w:val="none" w:sz="0" w:space="0" w:color="auto"/>
            <w:right w:val="none" w:sz="0" w:space="0" w:color="auto"/>
          </w:divBdr>
        </w:div>
        <w:div w:id="1309434560">
          <w:marLeft w:val="0"/>
          <w:marRight w:val="0"/>
          <w:marTop w:val="0"/>
          <w:marBottom w:val="0"/>
          <w:divBdr>
            <w:top w:val="none" w:sz="0" w:space="0" w:color="auto"/>
            <w:left w:val="none" w:sz="0" w:space="0" w:color="auto"/>
            <w:bottom w:val="none" w:sz="0" w:space="0" w:color="auto"/>
            <w:right w:val="none" w:sz="0" w:space="0" w:color="auto"/>
          </w:divBdr>
        </w:div>
        <w:div w:id="57822861">
          <w:marLeft w:val="0"/>
          <w:marRight w:val="0"/>
          <w:marTop w:val="0"/>
          <w:marBottom w:val="0"/>
          <w:divBdr>
            <w:top w:val="none" w:sz="0" w:space="0" w:color="auto"/>
            <w:left w:val="none" w:sz="0" w:space="0" w:color="auto"/>
            <w:bottom w:val="none" w:sz="0" w:space="0" w:color="auto"/>
            <w:right w:val="none" w:sz="0" w:space="0" w:color="auto"/>
          </w:divBdr>
        </w:div>
        <w:div w:id="333194145">
          <w:marLeft w:val="0"/>
          <w:marRight w:val="0"/>
          <w:marTop w:val="0"/>
          <w:marBottom w:val="0"/>
          <w:divBdr>
            <w:top w:val="none" w:sz="0" w:space="0" w:color="auto"/>
            <w:left w:val="none" w:sz="0" w:space="0" w:color="auto"/>
            <w:bottom w:val="none" w:sz="0" w:space="0" w:color="auto"/>
            <w:right w:val="none" w:sz="0" w:space="0" w:color="auto"/>
          </w:divBdr>
        </w:div>
        <w:div w:id="1992100706">
          <w:marLeft w:val="0"/>
          <w:marRight w:val="0"/>
          <w:marTop w:val="0"/>
          <w:marBottom w:val="0"/>
          <w:divBdr>
            <w:top w:val="none" w:sz="0" w:space="0" w:color="auto"/>
            <w:left w:val="none" w:sz="0" w:space="0" w:color="auto"/>
            <w:bottom w:val="none" w:sz="0" w:space="0" w:color="auto"/>
            <w:right w:val="none" w:sz="0" w:space="0" w:color="auto"/>
          </w:divBdr>
        </w:div>
        <w:div w:id="706806068">
          <w:marLeft w:val="0"/>
          <w:marRight w:val="0"/>
          <w:marTop w:val="0"/>
          <w:marBottom w:val="0"/>
          <w:divBdr>
            <w:top w:val="none" w:sz="0" w:space="0" w:color="auto"/>
            <w:left w:val="none" w:sz="0" w:space="0" w:color="auto"/>
            <w:bottom w:val="none" w:sz="0" w:space="0" w:color="auto"/>
            <w:right w:val="none" w:sz="0" w:space="0" w:color="auto"/>
          </w:divBdr>
        </w:div>
        <w:div w:id="890193630">
          <w:marLeft w:val="0"/>
          <w:marRight w:val="0"/>
          <w:marTop w:val="0"/>
          <w:marBottom w:val="0"/>
          <w:divBdr>
            <w:top w:val="none" w:sz="0" w:space="0" w:color="auto"/>
            <w:left w:val="none" w:sz="0" w:space="0" w:color="auto"/>
            <w:bottom w:val="none" w:sz="0" w:space="0" w:color="auto"/>
            <w:right w:val="none" w:sz="0" w:space="0" w:color="auto"/>
          </w:divBdr>
        </w:div>
        <w:div w:id="1367295086">
          <w:marLeft w:val="0"/>
          <w:marRight w:val="0"/>
          <w:marTop w:val="0"/>
          <w:marBottom w:val="0"/>
          <w:divBdr>
            <w:top w:val="none" w:sz="0" w:space="0" w:color="auto"/>
            <w:left w:val="none" w:sz="0" w:space="0" w:color="auto"/>
            <w:bottom w:val="none" w:sz="0" w:space="0" w:color="auto"/>
            <w:right w:val="none" w:sz="0" w:space="0" w:color="auto"/>
          </w:divBdr>
        </w:div>
        <w:div w:id="1199010397">
          <w:marLeft w:val="0"/>
          <w:marRight w:val="0"/>
          <w:marTop w:val="0"/>
          <w:marBottom w:val="0"/>
          <w:divBdr>
            <w:top w:val="none" w:sz="0" w:space="0" w:color="auto"/>
            <w:left w:val="none" w:sz="0" w:space="0" w:color="auto"/>
            <w:bottom w:val="none" w:sz="0" w:space="0" w:color="auto"/>
            <w:right w:val="none" w:sz="0" w:space="0" w:color="auto"/>
          </w:divBdr>
        </w:div>
        <w:div w:id="191379452">
          <w:marLeft w:val="0"/>
          <w:marRight w:val="0"/>
          <w:marTop w:val="0"/>
          <w:marBottom w:val="0"/>
          <w:divBdr>
            <w:top w:val="none" w:sz="0" w:space="0" w:color="auto"/>
            <w:left w:val="none" w:sz="0" w:space="0" w:color="auto"/>
            <w:bottom w:val="none" w:sz="0" w:space="0" w:color="auto"/>
            <w:right w:val="none" w:sz="0" w:space="0" w:color="auto"/>
          </w:divBdr>
        </w:div>
        <w:div w:id="1146315368">
          <w:marLeft w:val="0"/>
          <w:marRight w:val="0"/>
          <w:marTop w:val="0"/>
          <w:marBottom w:val="0"/>
          <w:divBdr>
            <w:top w:val="none" w:sz="0" w:space="0" w:color="auto"/>
            <w:left w:val="none" w:sz="0" w:space="0" w:color="auto"/>
            <w:bottom w:val="none" w:sz="0" w:space="0" w:color="auto"/>
            <w:right w:val="none" w:sz="0" w:space="0" w:color="auto"/>
          </w:divBdr>
        </w:div>
        <w:div w:id="1206872484">
          <w:marLeft w:val="0"/>
          <w:marRight w:val="0"/>
          <w:marTop w:val="0"/>
          <w:marBottom w:val="0"/>
          <w:divBdr>
            <w:top w:val="none" w:sz="0" w:space="0" w:color="auto"/>
            <w:left w:val="none" w:sz="0" w:space="0" w:color="auto"/>
            <w:bottom w:val="none" w:sz="0" w:space="0" w:color="auto"/>
            <w:right w:val="none" w:sz="0" w:space="0" w:color="auto"/>
          </w:divBdr>
        </w:div>
        <w:div w:id="1333795287">
          <w:marLeft w:val="0"/>
          <w:marRight w:val="0"/>
          <w:marTop w:val="0"/>
          <w:marBottom w:val="0"/>
          <w:divBdr>
            <w:top w:val="none" w:sz="0" w:space="0" w:color="auto"/>
            <w:left w:val="none" w:sz="0" w:space="0" w:color="auto"/>
            <w:bottom w:val="none" w:sz="0" w:space="0" w:color="auto"/>
            <w:right w:val="none" w:sz="0" w:space="0" w:color="auto"/>
          </w:divBdr>
        </w:div>
        <w:div w:id="1295137533">
          <w:marLeft w:val="0"/>
          <w:marRight w:val="0"/>
          <w:marTop w:val="0"/>
          <w:marBottom w:val="0"/>
          <w:divBdr>
            <w:top w:val="none" w:sz="0" w:space="0" w:color="auto"/>
            <w:left w:val="none" w:sz="0" w:space="0" w:color="auto"/>
            <w:bottom w:val="none" w:sz="0" w:space="0" w:color="auto"/>
            <w:right w:val="none" w:sz="0" w:space="0" w:color="auto"/>
          </w:divBdr>
        </w:div>
        <w:div w:id="367947509">
          <w:marLeft w:val="0"/>
          <w:marRight w:val="0"/>
          <w:marTop w:val="0"/>
          <w:marBottom w:val="0"/>
          <w:divBdr>
            <w:top w:val="none" w:sz="0" w:space="0" w:color="auto"/>
            <w:left w:val="none" w:sz="0" w:space="0" w:color="auto"/>
            <w:bottom w:val="none" w:sz="0" w:space="0" w:color="auto"/>
            <w:right w:val="none" w:sz="0" w:space="0" w:color="auto"/>
          </w:divBdr>
        </w:div>
        <w:div w:id="1222135943">
          <w:marLeft w:val="0"/>
          <w:marRight w:val="0"/>
          <w:marTop w:val="0"/>
          <w:marBottom w:val="0"/>
          <w:divBdr>
            <w:top w:val="none" w:sz="0" w:space="0" w:color="auto"/>
            <w:left w:val="none" w:sz="0" w:space="0" w:color="auto"/>
            <w:bottom w:val="none" w:sz="0" w:space="0" w:color="auto"/>
            <w:right w:val="none" w:sz="0" w:space="0" w:color="auto"/>
          </w:divBdr>
        </w:div>
        <w:div w:id="1533809022">
          <w:marLeft w:val="0"/>
          <w:marRight w:val="0"/>
          <w:marTop w:val="0"/>
          <w:marBottom w:val="0"/>
          <w:divBdr>
            <w:top w:val="none" w:sz="0" w:space="0" w:color="auto"/>
            <w:left w:val="none" w:sz="0" w:space="0" w:color="auto"/>
            <w:bottom w:val="none" w:sz="0" w:space="0" w:color="auto"/>
            <w:right w:val="none" w:sz="0" w:space="0" w:color="auto"/>
          </w:divBdr>
        </w:div>
        <w:div w:id="784230545">
          <w:marLeft w:val="0"/>
          <w:marRight w:val="0"/>
          <w:marTop w:val="0"/>
          <w:marBottom w:val="0"/>
          <w:divBdr>
            <w:top w:val="none" w:sz="0" w:space="0" w:color="auto"/>
            <w:left w:val="none" w:sz="0" w:space="0" w:color="auto"/>
            <w:bottom w:val="none" w:sz="0" w:space="0" w:color="auto"/>
            <w:right w:val="none" w:sz="0" w:space="0" w:color="auto"/>
          </w:divBdr>
        </w:div>
        <w:div w:id="877011465">
          <w:marLeft w:val="0"/>
          <w:marRight w:val="0"/>
          <w:marTop w:val="0"/>
          <w:marBottom w:val="0"/>
          <w:divBdr>
            <w:top w:val="none" w:sz="0" w:space="0" w:color="auto"/>
            <w:left w:val="none" w:sz="0" w:space="0" w:color="auto"/>
            <w:bottom w:val="none" w:sz="0" w:space="0" w:color="auto"/>
            <w:right w:val="none" w:sz="0" w:space="0" w:color="auto"/>
          </w:divBdr>
        </w:div>
        <w:div w:id="1058669384">
          <w:marLeft w:val="0"/>
          <w:marRight w:val="0"/>
          <w:marTop w:val="0"/>
          <w:marBottom w:val="0"/>
          <w:divBdr>
            <w:top w:val="none" w:sz="0" w:space="0" w:color="auto"/>
            <w:left w:val="none" w:sz="0" w:space="0" w:color="auto"/>
            <w:bottom w:val="none" w:sz="0" w:space="0" w:color="auto"/>
            <w:right w:val="none" w:sz="0" w:space="0" w:color="auto"/>
          </w:divBdr>
        </w:div>
        <w:div w:id="1784954720">
          <w:marLeft w:val="0"/>
          <w:marRight w:val="0"/>
          <w:marTop w:val="0"/>
          <w:marBottom w:val="0"/>
          <w:divBdr>
            <w:top w:val="none" w:sz="0" w:space="0" w:color="auto"/>
            <w:left w:val="none" w:sz="0" w:space="0" w:color="auto"/>
            <w:bottom w:val="none" w:sz="0" w:space="0" w:color="auto"/>
            <w:right w:val="none" w:sz="0" w:space="0" w:color="auto"/>
          </w:divBdr>
        </w:div>
        <w:div w:id="1492942594">
          <w:marLeft w:val="0"/>
          <w:marRight w:val="0"/>
          <w:marTop w:val="0"/>
          <w:marBottom w:val="0"/>
          <w:divBdr>
            <w:top w:val="none" w:sz="0" w:space="0" w:color="auto"/>
            <w:left w:val="none" w:sz="0" w:space="0" w:color="auto"/>
            <w:bottom w:val="none" w:sz="0" w:space="0" w:color="auto"/>
            <w:right w:val="none" w:sz="0" w:space="0" w:color="auto"/>
          </w:divBdr>
        </w:div>
        <w:div w:id="659114763">
          <w:marLeft w:val="0"/>
          <w:marRight w:val="0"/>
          <w:marTop w:val="0"/>
          <w:marBottom w:val="0"/>
          <w:divBdr>
            <w:top w:val="none" w:sz="0" w:space="0" w:color="auto"/>
            <w:left w:val="none" w:sz="0" w:space="0" w:color="auto"/>
            <w:bottom w:val="none" w:sz="0" w:space="0" w:color="auto"/>
            <w:right w:val="none" w:sz="0" w:space="0" w:color="auto"/>
          </w:divBdr>
        </w:div>
        <w:div w:id="83307939">
          <w:marLeft w:val="0"/>
          <w:marRight w:val="0"/>
          <w:marTop w:val="0"/>
          <w:marBottom w:val="0"/>
          <w:divBdr>
            <w:top w:val="none" w:sz="0" w:space="0" w:color="auto"/>
            <w:left w:val="none" w:sz="0" w:space="0" w:color="auto"/>
            <w:bottom w:val="none" w:sz="0" w:space="0" w:color="auto"/>
            <w:right w:val="none" w:sz="0" w:space="0" w:color="auto"/>
          </w:divBdr>
        </w:div>
        <w:div w:id="1793666192">
          <w:marLeft w:val="0"/>
          <w:marRight w:val="0"/>
          <w:marTop w:val="0"/>
          <w:marBottom w:val="0"/>
          <w:divBdr>
            <w:top w:val="none" w:sz="0" w:space="0" w:color="auto"/>
            <w:left w:val="none" w:sz="0" w:space="0" w:color="auto"/>
            <w:bottom w:val="none" w:sz="0" w:space="0" w:color="auto"/>
            <w:right w:val="none" w:sz="0" w:space="0" w:color="auto"/>
          </w:divBdr>
        </w:div>
        <w:div w:id="789713059">
          <w:marLeft w:val="0"/>
          <w:marRight w:val="0"/>
          <w:marTop w:val="0"/>
          <w:marBottom w:val="0"/>
          <w:divBdr>
            <w:top w:val="none" w:sz="0" w:space="0" w:color="auto"/>
            <w:left w:val="none" w:sz="0" w:space="0" w:color="auto"/>
            <w:bottom w:val="none" w:sz="0" w:space="0" w:color="auto"/>
            <w:right w:val="none" w:sz="0" w:space="0" w:color="auto"/>
          </w:divBdr>
        </w:div>
        <w:div w:id="1308126338">
          <w:marLeft w:val="0"/>
          <w:marRight w:val="0"/>
          <w:marTop w:val="0"/>
          <w:marBottom w:val="0"/>
          <w:divBdr>
            <w:top w:val="none" w:sz="0" w:space="0" w:color="auto"/>
            <w:left w:val="none" w:sz="0" w:space="0" w:color="auto"/>
            <w:bottom w:val="none" w:sz="0" w:space="0" w:color="auto"/>
            <w:right w:val="none" w:sz="0" w:space="0" w:color="auto"/>
          </w:divBdr>
        </w:div>
        <w:div w:id="1541624733">
          <w:marLeft w:val="0"/>
          <w:marRight w:val="0"/>
          <w:marTop w:val="0"/>
          <w:marBottom w:val="0"/>
          <w:divBdr>
            <w:top w:val="none" w:sz="0" w:space="0" w:color="auto"/>
            <w:left w:val="none" w:sz="0" w:space="0" w:color="auto"/>
            <w:bottom w:val="none" w:sz="0" w:space="0" w:color="auto"/>
            <w:right w:val="none" w:sz="0" w:space="0" w:color="auto"/>
          </w:divBdr>
        </w:div>
        <w:div w:id="1062480046">
          <w:marLeft w:val="0"/>
          <w:marRight w:val="0"/>
          <w:marTop w:val="0"/>
          <w:marBottom w:val="0"/>
          <w:divBdr>
            <w:top w:val="none" w:sz="0" w:space="0" w:color="auto"/>
            <w:left w:val="none" w:sz="0" w:space="0" w:color="auto"/>
            <w:bottom w:val="none" w:sz="0" w:space="0" w:color="auto"/>
            <w:right w:val="none" w:sz="0" w:space="0" w:color="auto"/>
          </w:divBdr>
        </w:div>
        <w:div w:id="987056297">
          <w:marLeft w:val="0"/>
          <w:marRight w:val="0"/>
          <w:marTop w:val="0"/>
          <w:marBottom w:val="0"/>
          <w:divBdr>
            <w:top w:val="none" w:sz="0" w:space="0" w:color="auto"/>
            <w:left w:val="none" w:sz="0" w:space="0" w:color="auto"/>
            <w:bottom w:val="none" w:sz="0" w:space="0" w:color="auto"/>
            <w:right w:val="none" w:sz="0" w:space="0" w:color="auto"/>
          </w:divBdr>
        </w:div>
        <w:div w:id="153566190">
          <w:marLeft w:val="0"/>
          <w:marRight w:val="0"/>
          <w:marTop w:val="0"/>
          <w:marBottom w:val="0"/>
          <w:divBdr>
            <w:top w:val="none" w:sz="0" w:space="0" w:color="auto"/>
            <w:left w:val="none" w:sz="0" w:space="0" w:color="auto"/>
            <w:bottom w:val="none" w:sz="0" w:space="0" w:color="auto"/>
            <w:right w:val="none" w:sz="0" w:space="0" w:color="auto"/>
          </w:divBdr>
        </w:div>
        <w:div w:id="1127429017">
          <w:marLeft w:val="0"/>
          <w:marRight w:val="0"/>
          <w:marTop w:val="0"/>
          <w:marBottom w:val="0"/>
          <w:divBdr>
            <w:top w:val="none" w:sz="0" w:space="0" w:color="auto"/>
            <w:left w:val="none" w:sz="0" w:space="0" w:color="auto"/>
            <w:bottom w:val="none" w:sz="0" w:space="0" w:color="auto"/>
            <w:right w:val="none" w:sz="0" w:space="0" w:color="auto"/>
          </w:divBdr>
        </w:div>
        <w:div w:id="62653415">
          <w:marLeft w:val="0"/>
          <w:marRight w:val="0"/>
          <w:marTop w:val="0"/>
          <w:marBottom w:val="0"/>
          <w:divBdr>
            <w:top w:val="none" w:sz="0" w:space="0" w:color="auto"/>
            <w:left w:val="none" w:sz="0" w:space="0" w:color="auto"/>
            <w:bottom w:val="none" w:sz="0" w:space="0" w:color="auto"/>
            <w:right w:val="none" w:sz="0" w:space="0" w:color="auto"/>
          </w:divBdr>
        </w:div>
        <w:div w:id="813915867">
          <w:marLeft w:val="0"/>
          <w:marRight w:val="0"/>
          <w:marTop w:val="0"/>
          <w:marBottom w:val="0"/>
          <w:divBdr>
            <w:top w:val="none" w:sz="0" w:space="0" w:color="auto"/>
            <w:left w:val="none" w:sz="0" w:space="0" w:color="auto"/>
            <w:bottom w:val="none" w:sz="0" w:space="0" w:color="auto"/>
            <w:right w:val="none" w:sz="0" w:space="0" w:color="auto"/>
          </w:divBdr>
        </w:div>
        <w:div w:id="581764894">
          <w:marLeft w:val="0"/>
          <w:marRight w:val="0"/>
          <w:marTop w:val="0"/>
          <w:marBottom w:val="0"/>
          <w:divBdr>
            <w:top w:val="none" w:sz="0" w:space="0" w:color="auto"/>
            <w:left w:val="none" w:sz="0" w:space="0" w:color="auto"/>
            <w:bottom w:val="none" w:sz="0" w:space="0" w:color="auto"/>
            <w:right w:val="none" w:sz="0" w:space="0" w:color="auto"/>
          </w:divBdr>
        </w:div>
        <w:div w:id="165950217">
          <w:marLeft w:val="0"/>
          <w:marRight w:val="0"/>
          <w:marTop w:val="0"/>
          <w:marBottom w:val="0"/>
          <w:divBdr>
            <w:top w:val="none" w:sz="0" w:space="0" w:color="auto"/>
            <w:left w:val="none" w:sz="0" w:space="0" w:color="auto"/>
            <w:bottom w:val="none" w:sz="0" w:space="0" w:color="auto"/>
            <w:right w:val="none" w:sz="0" w:space="0" w:color="auto"/>
          </w:divBdr>
        </w:div>
        <w:div w:id="2005014123">
          <w:marLeft w:val="0"/>
          <w:marRight w:val="0"/>
          <w:marTop w:val="0"/>
          <w:marBottom w:val="0"/>
          <w:divBdr>
            <w:top w:val="none" w:sz="0" w:space="0" w:color="auto"/>
            <w:left w:val="none" w:sz="0" w:space="0" w:color="auto"/>
            <w:bottom w:val="none" w:sz="0" w:space="0" w:color="auto"/>
            <w:right w:val="none" w:sz="0" w:space="0" w:color="auto"/>
          </w:divBdr>
        </w:div>
        <w:div w:id="536043202">
          <w:marLeft w:val="0"/>
          <w:marRight w:val="0"/>
          <w:marTop w:val="0"/>
          <w:marBottom w:val="0"/>
          <w:divBdr>
            <w:top w:val="none" w:sz="0" w:space="0" w:color="auto"/>
            <w:left w:val="none" w:sz="0" w:space="0" w:color="auto"/>
            <w:bottom w:val="none" w:sz="0" w:space="0" w:color="auto"/>
            <w:right w:val="none" w:sz="0" w:space="0" w:color="auto"/>
          </w:divBdr>
        </w:div>
        <w:div w:id="1871919850">
          <w:marLeft w:val="0"/>
          <w:marRight w:val="0"/>
          <w:marTop w:val="0"/>
          <w:marBottom w:val="0"/>
          <w:divBdr>
            <w:top w:val="none" w:sz="0" w:space="0" w:color="auto"/>
            <w:left w:val="none" w:sz="0" w:space="0" w:color="auto"/>
            <w:bottom w:val="none" w:sz="0" w:space="0" w:color="auto"/>
            <w:right w:val="none" w:sz="0" w:space="0" w:color="auto"/>
          </w:divBdr>
        </w:div>
        <w:div w:id="1099982465">
          <w:marLeft w:val="0"/>
          <w:marRight w:val="0"/>
          <w:marTop w:val="0"/>
          <w:marBottom w:val="0"/>
          <w:divBdr>
            <w:top w:val="none" w:sz="0" w:space="0" w:color="auto"/>
            <w:left w:val="none" w:sz="0" w:space="0" w:color="auto"/>
            <w:bottom w:val="none" w:sz="0" w:space="0" w:color="auto"/>
            <w:right w:val="none" w:sz="0" w:space="0" w:color="auto"/>
          </w:divBdr>
        </w:div>
        <w:div w:id="105929028">
          <w:marLeft w:val="0"/>
          <w:marRight w:val="0"/>
          <w:marTop w:val="0"/>
          <w:marBottom w:val="0"/>
          <w:divBdr>
            <w:top w:val="none" w:sz="0" w:space="0" w:color="auto"/>
            <w:left w:val="none" w:sz="0" w:space="0" w:color="auto"/>
            <w:bottom w:val="none" w:sz="0" w:space="0" w:color="auto"/>
            <w:right w:val="none" w:sz="0" w:space="0" w:color="auto"/>
          </w:divBdr>
        </w:div>
        <w:div w:id="942810644">
          <w:marLeft w:val="0"/>
          <w:marRight w:val="0"/>
          <w:marTop w:val="0"/>
          <w:marBottom w:val="0"/>
          <w:divBdr>
            <w:top w:val="none" w:sz="0" w:space="0" w:color="auto"/>
            <w:left w:val="none" w:sz="0" w:space="0" w:color="auto"/>
            <w:bottom w:val="none" w:sz="0" w:space="0" w:color="auto"/>
            <w:right w:val="none" w:sz="0" w:space="0" w:color="auto"/>
          </w:divBdr>
        </w:div>
        <w:div w:id="1773629650">
          <w:marLeft w:val="0"/>
          <w:marRight w:val="0"/>
          <w:marTop w:val="0"/>
          <w:marBottom w:val="0"/>
          <w:divBdr>
            <w:top w:val="none" w:sz="0" w:space="0" w:color="auto"/>
            <w:left w:val="none" w:sz="0" w:space="0" w:color="auto"/>
            <w:bottom w:val="none" w:sz="0" w:space="0" w:color="auto"/>
            <w:right w:val="none" w:sz="0" w:space="0" w:color="auto"/>
          </w:divBdr>
        </w:div>
        <w:div w:id="1055199841">
          <w:marLeft w:val="0"/>
          <w:marRight w:val="0"/>
          <w:marTop w:val="0"/>
          <w:marBottom w:val="0"/>
          <w:divBdr>
            <w:top w:val="none" w:sz="0" w:space="0" w:color="auto"/>
            <w:left w:val="none" w:sz="0" w:space="0" w:color="auto"/>
            <w:bottom w:val="none" w:sz="0" w:space="0" w:color="auto"/>
            <w:right w:val="none" w:sz="0" w:space="0" w:color="auto"/>
          </w:divBdr>
        </w:div>
        <w:div w:id="358314287">
          <w:marLeft w:val="0"/>
          <w:marRight w:val="0"/>
          <w:marTop w:val="0"/>
          <w:marBottom w:val="0"/>
          <w:divBdr>
            <w:top w:val="none" w:sz="0" w:space="0" w:color="auto"/>
            <w:left w:val="none" w:sz="0" w:space="0" w:color="auto"/>
            <w:bottom w:val="none" w:sz="0" w:space="0" w:color="auto"/>
            <w:right w:val="none" w:sz="0" w:space="0" w:color="auto"/>
          </w:divBdr>
        </w:div>
        <w:div w:id="827327085">
          <w:marLeft w:val="0"/>
          <w:marRight w:val="0"/>
          <w:marTop w:val="0"/>
          <w:marBottom w:val="0"/>
          <w:divBdr>
            <w:top w:val="none" w:sz="0" w:space="0" w:color="auto"/>
            <w:left w:val="none" w:sz="0" w:space="0" w:color="auto"/>
            <w:bottom w:val="none" w:sz="0" w:space="0" w:color="auto"/>
            <w:right w:val="none" w:sz="0" w:space="0" w:color="auto"/>
          </w:divBdr>
        </w:div>
        <w:div w:id="91898968">
          <w:marLeft w:val="0"/>
          <w:marRight w:val="0"/>
          <w:marTop w:val="0"/>
          <w:marBottom w:val="0"/>
          <w:divBdr>
            <w:top w:val="none" w:sz="0" w:space="0" w:color="auto"/>
            <w:left w:val="none" w:sz="0" w:space="0" w:color="auto"/>
            <w:bottom w:val="none" w:sz="0" w:space="0" w:color="auto"/>
            <w:right w:val="none" w:sz="0" w:space="0" w:color="auto"/>
          </w:divBdr>
        </w:div>
        <w:div w:id="41908247">
          <w:marLeft w:val="0"/>
          <w:marRight w:val="0"/>
          <w:marTop w:val="0"/>
          <w:marBottom w:val="0"/>
          <w:divBdr>
            <w:top w:val="none" w:sz="0" w:space="0" w:color="auto"/>
            <w:left w:val="none" w:sz="0" w:space="0" w:color="auto"/>
            <w:bottom w:val="none" w:sz="0" w:space="0" w:color="auto"/>
            <w:right w:val="none" w:sz="0" w:space="0" w:color="auto"/>
          </w:divBdr>
        </w:div>
        <w:div w:id="1211307840">
          <w:marLeft w:val="0"/>
          <w:marRight w:val="0"/>
          <w:marTop w:val="0"/>
          <w:marBottom w:val="0"/>
          <w:divBdr>
            <w:top w:val="none" w:sz="0" w:space="0" w:color="auto"/>
            <w:left w:val="none" w:sz="0" w:space="0" w:color="auto"/>
            <w:bottom w:val="none" w:sz="0" w:space="0" w:color="auto"/>
            <w:right w:val="none" w:sz="0" w:space="0" w:color="auto"/>
          </w:divBdr>
        </w:div>
        <w:div w:id="1963683441">
          <w:marLeft w:val="0"/>
          <w:marRight w:val="0"/>
          <w:marTop w:val="0"/>
          <w:marBottom w:val="0"/>
          <w:divBdr>
            <w:top w:val="none" w:sz="0" w:space="0" w:color="auto"/>
            <w:left w:val="none" w:sz="0" w:space="0" w:color="auto"/>
            <w:bottom w:val="none" w:sz="0" w:space="0" w:color="auto"/>
            <w:right w:val="none" w:sz="0" w:space="0" w:color="auto"/>
          </w:divBdr>
        </w:div>
        <w:div w:id="112021014">
          <w:marLeft w:val="0"/>
          <w:marRight w:val="0"/>
          <w:marTop w:val="0"/>
          <w:marBottom w:val="0"/>
          <w:divBdr>
            <w:top w:val="none" w:sz="0" w:space="0" w:color="auto"/>
            <w:left w:val="none" w:sz="0" w:space="0" w:color="auto"/>
            <w:bottom w:val="none" w:sz="0" w:space="0" w:color="auto"/>
            <w:right w:val="none" w:sz="0" w:space="0" w:color="auto"/>
          </w:divBdr>
        </w:div>
        <w:div w:id="1297487029">
          <w:marLeft w:val="0"/>
          <w:marRight w:val="0"/>
          <w:marTop w:val="0"/>
          <w:marBottom w:val="0"/>
          <w:divBdr>
            <w:top w:val="none" w:sz="0" w:space="0" w:color="auto"/>
            <w:left w:val="none" w:sz="0" w:space="0" w:color="auto"/>
            <w:bottom w:val="none" w:sz="0" w:space="0" w:color="auto"/>
            <w:right w:val="none" w:sz="0" w:space="0" w:color="auto"/>
          </w:divBdr>
        </w:div>
        <w:div w:id="4408365">
          <w:marLeft w:val="0"/>
          <w:marRight w:val="0"/>
          <w:marTop w:val="0"/>
          <w:marBottom w:val="0"/>
          <w:divBdr>
            <w:top w:val="none" w:sz="0" w:space="0" w:color="auto"/>
            <w:left w:val="none" w:sz="0" w:space="0" w:color="auto"/>
            <w:bottom w:val="none" w:sz="0" w:space="0" w:color="auto"/>
            <w:right w:val="none" w:sz="0" w:space="0" w:color="auto"/>
          </w:divBdr>
        </w:div>
        <w:div w:id="261186415">
          <w:marLeft w:val="0"/>
          <w:marRight w:val="0"/>
          <w:marTop w:val="0"/>
          <w:marBottom w:val="0"/>
          <w:divBdr>
            <w:top w:val="none" w:sz="0" w:space="0" w:color="auto"/>
            <w:left w:val="none" w:sz="0" w:space="0" w:color="auto"/>
            <w:bottom w:val="none" w:sz="0" w:space="0" w:color="auto"/>
            <w:right w:val="none" w:sz="0" w:space="0" w:color="auto"/>
          </w:divBdr>
        </w:div>
        <w:div w:id="824082200">
          <w:marLeft w:val="0"/>
          <w:marRight w:val="0"/>
          <w:marTop w:val="0"/>
          <w:marBottom w:val="0"/>
          <w:divBdr>
            <w:top w:val="none" w:sz="0" w:space="0" w:color="auto"/>
            <w:left w:val="none" w:sz="0" w:space="0" w:color="auto"/>
            <w:bottom w:val="none" w:sz="0" w:space="0" w:color="auto"/>
            <w:right w:val="none" w:sz="0" w:space="0" w:color="auto"/>
          </w:divBdr>
        </w:div>
        <w:div w:id="1540435010">
          <w:marLeft w:val="0"/>
          <w:marRight w:val="0"/>
          <w:marTop w:val="0"/>
          <w:marBottom w:val="0"/>
          <w:divBdr>
            <w:top w:val="none" w:sz="0" w:space="0" w:color="auto"/>
            <w:left w:val="none" w:sz="0" w:space="0" w:color="auto"/>
            <w:bottom w:val="none" w:sz="0" w:space="0" w:color="auto"/>
            <w:right w:val="none" w:sz="0" w:space="0" w:color="auto"/>
          </w:divBdr>
        </w:div>
        <w:div w:id="128715006">
          <w:marLeft w:val="0"/>
          <w:marRight w:val="0"/>
          <w:marTop w:val="0"/>
          <w:marBottom w:val="0"/>
          <w:divBdr>
            <w:top w:val="none" w:sz="0" w:space="0" w:color="auto"/>
            <w:left w:val="none" w:sz="0" w:space="0" w:color="auto"/>
            <w:bottom w:val="none" w:sz="0" w:space="0" w:color="auto"/>
            <w:right w:val="none" w:sz="0" w:space="0" w:color="auto"/>
          </w:divBdr>
        </w:div>
        <w:div w:id="266739251">
          <w:marLeft w:val="0"/>
          <w:marRight w:val="0"/>
          <w:marTop w:val="0"/>
          <w:marBottom w:val="0"/>
          <w:divBdr>
            <w:top w:val="none" w:sz="0" w:space="0" w:color="auto"/>
            <w:left w:val="none" w:sz="0" w:space="0" w:color="auto"/>
            <w:bottom w:val="none" w:sz="0" w:space="0" w:color="auto"/>
            <w:right w:val="none" w:sz="0" w:space="0" w:color="auto"/>
          </w:divBdr>
        </w:div>
        <w:div w:id="359672331">
          <w:marLeft w:val="0"/>
          <w:marRight w:val="0"/>
          <w:marTop w:val="0"/>
          <w:marBottom w:val="0"/>
          <w:divBdr>
            <w:top w:val="none" w:sz="0" w:space="0" w:color="auto"/>
            <w:left w:val="none" w:sz="0" w:space="0" w:color="auto"/>
            <w:bottom w:val="none" w:sz="0" w:space="0" w:color="auto"/>
            <w:right w:val="none" w:sz="0" w:space="0" w:color="auto"/>
          </w:divBdr>
        </w:div>
        <w:div w:id="2116249063">
          <w:marLeft w:val="0"/>
          <w:marRight w:val="0"/>
          <w:marTop w:val="0"/>
          <w:marBottom w:val="0"/>
          <w:divBdr>
            <w:top w:val="none" w:sz="0" w:space="0" w:color="auto"/>
            <w:left w:val="none" w:sz="0" w:space="0" w:color="auto"/>
            <w:bottom w:val="none" w:sz="0" w:space="0" w:color="auto"/>
            <w:right w:val="none" w:sz="0" w:space="0" w:color="auto"/>
          </w:divBdr>
        </w:div>
        <w:div w:id="1718896052">
          <w:marLeft w:val="0"/>
          <w:marRight w:val="0"/>
          <w:marTop w:val="0"/>
          <w:marBottom w:val="0"/>
          <w:divBdr>
            <w:top w:val="none" w:sz="0" w:space="0" w:color="auto"/>
            <w:left w:val="none" w:sz="0" w:space="0" w:color="auto"/>
            <w:bottom w:val="none" w:sz="0" w:space="0" w:color="auto"/>
            <w:right w:val="none" w:sz="0" w:space="0" w:color="auto"/>
          </w:divBdr>
        </w:div>
      </w:divsChild>
    </w:div>
    <w:div w:id="1050882430">
      <w:bodyDiv w:val="1"/>
      <w:marLeft w:val="0"/>
      <w:marRight w:val="0"/>
      <w:marTop w:val="0"/>
      <w:marBottom w:val="0"/>
      <w:divBdr>
        <w:top w:val="none" w:sz="0" w:space="0" w:color="auto"/>
        <w:left w:val="none" w:sz="0" w:space="0" w:color="auto"/>
        <w:bottom w:val="none" w:sz="0" w:space="0" w:color="auto"/>
        <w:right w:val="none" w:sz="0" w:space="0" w:color="auto"/>
      </w:divBdr>
    </w:div>
    <w:div w:id="1607074154">
      <w:bodyDiv w:val="1"/>
      <w:marLeft w:val="0"/>
      <w:marRight w:val="0"/>
      <w:marTop w:val="0"/>
      <w:marBottom w:val="0"/>
      <w:divBdr>
        <w:top w:val="none" w:sz="0" w:space="0" w:color="auto"/>
        <w:left w:val="none" w:sz="0" w:space="0" w:color="auto"/>
        <w:bottom w:val="none" w:sz="0" w:space="0" w:color="auto"/>
        <w:right w:val="none" w:sz="0" w:space="0" w:color="auto"/>
      </w:divBdr>
      <w:divsChild>
        <w:div w:id="1791128670">
          <w:marLeft w:val="0"/>
          <w:marRight w:val="0"/>
          <w:marTop w:val="0"/>
          <w:marBottom w:val="0"/>
          <w:divBdr>
            <w:top w:val="none" w:sz="0" w:space="0" w:color="auto"/>
            <w:left w:val="none" w:sz="0" w:space="0" w:color="auto"/>
            <w:bottom w:val="none" w:sz="0" w:space="0" w:color="auto"/>
            <w:right w:val="none" w:sz="0" w:space="0" w:color="auto"/>
          </w:divBdr>
        </w:div>
        <w:div w:id="1932657566">
          <w:marLeft w:val="0"/>
          <w:marRight w:val="0"/>
          <w:marTop w:val="0"/>
          <w:marBottom w:val="0"/>
          <w:divBdr>
            <w:top w:val="none" w:sz="0" w:space="0" w:color="auto"/>
            <w:left w:val="none" w:sz="0" w:space="0" w:color="auto"/>
            <w:bottom w:val="none" w:sz="0" w:space="0" w:color="auto"/>
            <w:right w:val="none" w:sz="0" w:space="0" w:color="auto"/>
          </w:divBdr>
        </w:div>
        <w:div w:id="985822996">
          <w:marLeft w:val="0"/>
          <w:marRight w:val="0"/>
          <w:marTop w:val="0"/>
          <w:marBottom w:val="0"/>
          <w:divBdr>
            <w:top w:val="none" w:sz="0" w:space="0" w:color="auto"/>
            <w:left w:val="none" w:sz="0" w:space="0" w:color="auto"/>
            <w:bottom w:val="none" w:sz="0" w:space="0" w:color="auto"/>
            <w:right w:val="none" w:sz="0" w:space="0" w:color="auto"/>
          </w:divBdr>
          <w:divsChild>
            <w:div w:id="1023672983">
              <w:marLeft w:val="0"/>
              <w:marRight w:val="0"/>
              <w:marTop w:val="150"/>
              <w:marBottom w:val="270"/>
              <w:divBdr>
                <w:top w:val="none" w:sz="0" w:space="0" w:color="auto"/>
                <w:left w:val="none" w:sz="0" w:space="0" w:color="auto"/>
                <w:bottom w:val="none" w:sz="0" w:space="0" w:color="auto"/>
                <w:right w:val="none" w:sz="0" w:space="0" w:color="auto"/>
              </w:divBdr>
            </w:div>
            <w:div w:id="1716197818">
              <w:marLeft w:val="0"/>
              <w:marRight w:val="0"/>
              <w:marTop w:val="150"/>
              <w:marBottom w:val="270"/>
              <w:divBdr>
                <w:top w:val="none" w:sz="0" w:space="0" w:color="auto"/>
                <w:left w:val="none" w:sz="0" w:space="0" w:color="auto"/>
                <w:bottom w:val="none" w:sz="0" w:space="0" w:color="auto"/>
                <w:right w:val="none" w:sz="0" w:space="0" w:color="auto"/>
              </w:divBdr>
            </w:div>
            <w:div w:id="2089886304">
              <w:marLeft w:val="0"/>
              <w:marRight w:val="0"/>
              <w:marTop w:val="150"/>
              <w:marBottom w:val="270"/>
              <w:divBdr>
                <w:top w:val="none" w:sz="0" w:space="0" w:color="auto"/>
                <w:left w:val="none" w:sz="0" w:space="0" w:color="auto"/>
                <w:bottom w:val="none" w:sz="0" w:space="0" w:color="auto"/>
                <w:right w:val="none" w:sz="0" w:space="0" w:color="auto"/>
              </w:divBdr>
              <w:divsChild>
                <w:div w:id="1832865047">
                  <w:marLeft w:val="0"/>
                  <w:marRight w:val="0"/>
                  <w:marTop w:val="0"/>
                  <w:marBottom w:val="0"/>
                  <w:divBdr>
                    <w:top w:val="none" w:sz="0" w:space="0" w:color="auto"/>
                    <w:left w:val="none" w:sz="0" w:space="0" w:color="auto"/>
                    <w:bottom w:val="none" w:sz="0" w:space="0" w:color="auto"/>
                    <w:right w:val="none" w:sz="0" w:space="0" w:color="auto"/>
                  </w:divBdr>
                  <w:divsChild>
                    <w:div w:id="166990435">
                      <w:marLeft w:val="0"/>
                      <w:marRight w:val="0"/>
                      <w:marTop w:val="0"/>
                      <w:marBottom w:val="0"/>
                      <w:divBdr>
                        <w:top w:val="none" w:sz="0" w:space="0" w:color="auto"/>
                        <w:left w:val="none" w:sz="0" w:space="0" w:color="auto"/>
                        <w:bottom w:val="none" w:sz="0" w:space="0" w:color="auto"/>
                        <w:right w:val="none" w:sz="0" w:space="0" w:color="auto"/>
                      </w:divBdr>
                    </w:div>
                  </w:divsChild>
                </w:div>
                <w:div w:id="2135785154">
                  <w:marLeft w:val="0"/>
                  <w:marRight w:val="0"/>
                  <w:marTop w:val="0"/>
                  <w:marBottom w:val="0"/>
                  <w:divBdr>
                    <w:top w:val="none" w:sz="0" w:space="0" w:color="auto"/>
                    <w:left w:val="none" w:sz="0" w:space="0" w:color="auto"/>
                    <w:bottom w:val="none" w:sz="0" w:space="0" w:color="auto"/>
                    <w:right w:val="none" w:sz="0" w:space="0" w:color="auto"/>
                  </w:divBdr>
                </w:div>
              </w:divsChild>
            </w:div>
            <w:div w:id="793673038">
              <w:marLeft w:val="0"/>
              <w:marRight w:val="0"/>
              <w:marTop w:val="150"/>
              <w:marBottom w:val="270"/>
              <w:divBdr>
                <w:top w:val="none" w:sz="0" w:space="0" w:color="auto"/>
                <w:left w:val="none" w:sz="0" w:space="0" w:color="auto"/>
                <w:bottom w:val="none" w:sz="0" w:space="0" w:color="auto"/>
                <w:right w:val="none" w:sz="0" w:space="0" w:color="auto"/>
              </w:divBdr>
              <w:divsChild>
                <w:div w:id="1589726453">
                  <w:marLeft w:val="0"/>
                  <w:marRight w:val="0"/>
                  <w:marTop w:val="270"/>
                  <w:marBottom w:val="270"/>
                  <w:divBdr>
                    <w:top w:val="none" w:sz="0" w:space="0" w:color="auto"/>
                    <w:left w:val="none" w:sz="0" w:space="0" w:color="auto"/>
                    <w:bottom w:val="none" w:sz="0" w:space="0" w:color="auto"/>
                    <w:right w:val="none" w:sz="0" w:space="0" w:color="auto"/>
                  </w:divBdr>
                </w:div>
                <w:div w:id="152719540">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1217929387">
          <w:marLeft w:val="0"/>
          <w:marRight w:val="0"/>
          <w:marTop w:val="0"/>
          <w:marBottom w:val="0"/>
          <w:divBdr>
            <w:top w:val="none" w:sz="0" w:space="0" w:color="auto"/>
            <w:left w:val="none" w:sz="0" w:space="0" w:color="auto"/>
            <w:bottom w:val="none" w:sz="0" w:space="0" w:color="auto"/>
            <w:right w:val="none" w:sz="0" w:space="0" w:color="auto"/>
          </w:divBdr>
          <w:divsChild>
            <w:div w:id="1584797444">
              <w:marLeft w:val="0"/>
              <w:marRight w:val="0"/>
              <w:marTop w:val="0"/>
              <w:marBottom w:val="0"/>
              <w:divBdr>
                <w:top w:val="none" w:sz="0" w:space="0" w:color="auto"/>
                <w:left w:val="none" w:sz="0" w:space="0" w:color="auto"/>
                <w:bottom w:val="none" w:sz="0" w:space="0" w:color="auto"/>
                <w:right w:val="none" w:sz="0" w:space="0" w:color="auto"/>
              </w:divBdr>
              <w:divsChild>
                <w:div w:id="1763065753">
                  <w:marLeft w:val="0"/>
                  <w:marRight w:val="0"/>
                  <w:marTop w:val="0"/>
                  <w:marBottom w:val="0"/>
                  <w:divBdr>
                    <w:top w:val="none" w:sz="0" w:space="0" w:color="auto"/>
                    <w:left w:val="none" w:sz="0" w:space="0" w:color="auto"/>
                    <w:bottom w:val="none" w:sz="0" w:space="0" w:color="auto"/>
                    <w:right w:val="none" w:sz="0" w:space="0" w:color="auto"/>
                  </w:divBdr>
                </w:div>
              </w:divsChild>
            </w:div>
            <w:div w:id="282688506">
              <w:marLeft w:val="0"/>
              <w:marRight w:val="0"/>
              <w:marTop w:val="0"/>
              <w:marBottom w:val="0"/>
              <w:divBdr>
                <w:top w:val="none" w:sz="0" w:space="0" w:color="auto"/>
                <w:left w:val="none" w:sz="0" w:space="0" w:color="auto"/>
                <w:bottom w:val="none" w:sz="0" w:space="0" w:color="auto"/>
                <w:right w:val="none" w:sz="0" w:space="0" w:color="auto"/>
              </w:divBdr>
            </w:div>
          </w:divsChild>
        </w:div>
        <w:div w:id="360668571">
          <w:marLeft w:val="0"/>
          <w:marRight w:val="0"/>
          <w:marTop w:val="0"/>
          <w:marBottom w:val="0"/>
          <w:divBdr>
            <w:top w:val="none" w:sz="0" w:space="0" w:color="auto"/>
            <w:left w:val="none" w:sz="0" w:space="0" w:color="auto"/>
            <w:bottom w:val="none" w:sz="0" w:space="0" w:color="auto"/>
            <w:right w:val="none" w:sz="0" w:space="0" w:color="auto"/>
          </w:divBdr>
          <w:divsChild>
            <w:div w:id="1489636535">
              <w:marLeft w:val="0"/>
              <w:marRight w:val="0"/>
              <w:marTop w:val="150"/>
              <w:marBottom w:val="270"/>
              <w:divBdr>
                <w:top w:val="none" w:sz="0" w:space="0" w:color="auto"/>
                <w:left w:val="none" w:sz="0" w:space="0" w:color="auto"/>
                <w:bottom w:val="none" w:sz="0" w:space="0" w:color="auto"/>
                <w:right w:val="none" w:sz="0" w:space="0" w:color="auto"/>
              </w:divBdr>
            </w:div>
            <w:div w:id="1182553511">
              <w:marLeft w:val="0"/>
              <w:marRight w:val="0"/>
              <w:marTop w:val="150"/>
              <w:marBottom w:val="270"/>
              <w:divBdr>
                <w:top w:val="none" w:sz="0" w:space="0" w:color="auto"/>
                <w:left w:val="none" w:sz="0" w:space="0" w:color="auto"/>
                <w:bottom w:val="none" w:sz="0" w:space="0" w:color="auto"/>
                <w:right w:val="none" w:sz="0" w:space="0" w:color="auto"/>
              </w:divBdr>
            </w:div>
          </w:divsChild>
        </w:div>
        <w:div w:id="1401752575">
          <w:marLeft w:val="0"/>
          <w:marRight w:val="0"/>
          <w:marTop w:val="0"/>
          <w:marBottom w:val="0"/>
          <w:divBdr>
            <w:top w:val="none" w:sz="0" w:space="0" w:color="auto"/>
            <w:left w:val="none" w:sz="0" w:space="0" w:color="auto"/>
            <w:bottom w:val="none" w:sz="0" w:space="0" w:color="auto"/>
            <w:right w:val="none" w:sz="0" w:space="0" w:color="auto"/>
          </w:divBdr>
        </w:div>
        <w:div w:id="1258906348">
          <w:marLeft w:val="0"/>
          <w:marRight w:val="0"/>
          <w:marTop w:val="0"/>
          <w:marBottom w:val="0"/>
          <w:divBdr>
            <w:top w:val="none" w:sz="0" w:space="0" w:color="auto"/>
            <w:left w:val="none" w:sz="0" w:space="0" w:color="auto"/>
            <w:bottom w:val="none" w:sz="0" w:space="0" w:color="auto"/>
            <w:right w:val="none" w:sz="0" w:space="0" w:color="auto"/>
          </w:divBdr>
        </w:div>
        <w:div w:id="3064710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besjournals.onlinelibrary.wiley.com/doi/10.1111/1365-2745.12635" TargetMode="External"/><Relationship Id="rId21" Type="http://schemas.openxmlformats.org/officeDocument/2006/relationships/hyperlink" Target="https://besjournals.onlinelibrary.wiley.com/doi/10.1111/1365-2745.12635" TargetMode="External"/><Relationship Id="rId42" Type="http://schemas.openxmlformats.org/officeDocument/2006/relationships/hyperlink" Target="https://besjournals.onlinelibrary.wiley.com/doi/10.1111/1365-2745.12635" TargetMode="External"/><Relationship Id="rId63" Type="http://schemas.openxmlformats.org/officeDocument/2006/relationships/hyperlink" Target="https://besjournals.onlinelibrary.wiley.com/doi/10.1111/1365-2745.12635" TargetMode="External"/><Relationship Id="rId84" Type="http://schemas.openxmlformats.org/officeDocument/2006/relationships/hyperlink" Target="https://besjournals.onlinelibrary.wiley.com/doi/10.1111/1365-2745.12635" TargetMode="External"/><Relationship Id="rId138" Type="http://schemas.openxmlformats.org/officeDocument/2006/relationships/hyperlink" Target="https://besjournals.onlinelibrary.wiley.com/doi/10.1111/1365-2745.12635" TargetMode="External"/><Relationship Id="rId159" Type="http://schemas.openxmlformats.org/officeDocument/2006/relationships/hyperlink" Target="https://besjournals.onlinelibrary.wiley.com/doi/10.1111/1365-2745.12635" TargetMode="External"/><Relationship Id="rId170" Type="http://schemas.openxmlformats.org/officeDocument/2006/relationships/hyperlink" Target="https://besjournals.onlinelibrary.wiley.com/doi/10.1111/1365-2745.12635" TargetMode="External"/><Relationship Id="rId107" Type="http://schemas.openxmlformats.org/officeDocument/2006/relationships/hyperlink" Target="https://besjournals.onlinelibrary.wiley.com/doi/10.1111/1365-2745.12635" TargetMode="External"/><Relationship Id="rId11" Type="http://schemas.openxmlformats.org/officeDocument/2006/relationships/hyperlink" Target="https://besjournals.onlinelibrary.wiley.com/doi/10.1111/1365-2745.12635" TargetMode="External"/><Relationship Id="rId32" Type="http://schemas.openxmlformats.org/officeDocument/2006/relationships/hyperlink" Target="https://besjournals.onlinelibrary.wiley.com/doi/10.1111/1365-2745.12635" TargetMode="External"/><Relationship Id="rId53" Type="http://schemas.openxmlformats.org/officeDocument/2006/relationships/hyperlink" Target="https://besjournals.onlinelibrary.wiley.com/doi/10.1111/1365-2745.12635" TargetMode="External"/><Relationship Id="rId74" Type="http://schemas.openxmlformats.org/officeDocument/2006/relationships/hyperlink" Target="https://besjournals.onlinelibrary.wiley.com/doi/10.1111/1365-2745.12635" TargetMode="External"/><Relationship Id="rId128" Type="http://schemas.openxmlformats.org/officeDocument/2006/relationships/hyperlink" Target="https://besjournals.onlinelibrary.wiley.com/doi/10.1111/1365-2745.12635" TargetMode="External"/><Relationship Id="rId149" Type="http://schemas.openxmlformats.org/officeDocument/2006/relationships/hyperlink" Target="https://besjournals.onlinelibrary.wiley.com/doi/10.1111/1365-2745.12635" TargetMode="External"/><Relationship Id="rId5" Type="http://schemas.openxmlformats.org/officeDocument/2006/relationships/styles" Target="styles.xml"/><Relationship Id="rId95" Type="http://schemas.openxmlformats.org/officeDocument/2006/relationships/hyperlink" Target="https://besjournals.onlinelibrary.wiley.com/doi/10.1111/1365-2745.12635" TargetMode="External"/><Relationship Id="rId160" Type="http://schemas.openxmlformats.org/officeDocument/2006/relationships/hyperlink" Target="https://besjournals.onlinelibrary.wiley.com/doi/10.1111/1365-2745.12635" TargetMode="External"/><Relationship Id="rId181" Type="http://schemas.openxmlformats.org/officeDocument/2006/relationships/hyperlink" Target="https://besjournals.onlinelibrary.wiley.com/doi/10.1111/1365-2745.12635" TargetMode="External"/><Relationship Id="rId22" Type="http://schemas.openxmlformats.org/officeDocument/2006/relationships/hyperlink" Target="https://besjournals.onlinelibrary.wiley.com/doi/10.1111/1365-2745.12635" TargetMode="External"/><Relationship Id="rId43" Type="http://schemas.openxmlformats.org/officeDocument/2006/relationships/hyperlink" Target="https://besjournals.onlinelibrary.wiley.com/doi/10.1111/1365-2745.12635" TargetMode="External"/><Relationship Id="rId64" Type="http://schemas.openxmlformats.org/officeDocument/2006/relationships/hyperlink" Target="https://besjournals.onlinelibrary.wiley.com/doi/10.1111/1365-2745.12635" TargetMode="External"/><Relationship Id="rId118" Type="http://schemas.openxmlformats.org/officeDocument/2006/relationships/hyperlink" Target="https://besjournals.onlinelibrary.wiley.com/doi/10.1111/1365-2745.12635" TargetMode="External"/><Relationship Id="rId139" Type="http://schemas.openxmlformats.org/officeDocument/2006/relationships/hyperlink" Target="https://besjournals.onlinelibrary.wiley.com/doi/10.1111/1365-2745.12635" TargetMode="External"/><Relationship Id="rId85" Type="http://schemas.openxmlformats.org/officeDocument/2006/relationships/hyperlink" Target="https://besjournals.onlinelibrary.wiley.com/doi/10.1111/1365-2745.12635" TargetMode="External"/><Relationship Id="rId150" Type="http://schemas.openxmlformats.org/officeDocument/2006/relationships/hyperlink" Target="https://besjournals.onlinelibrary.wiley.com/doi/10.1111/1365-2745.12635" TargetMode="External"/><Relationship Id="rId171" Type="http://schemas.openxmlformats.org/officeDocument/2006/relationships/hyperlink" Target="https://besjournals.onlinelibrary.wiley.com/doi/10.1111/1365-2745.12635" TargetMode="External"/><Relationship Id="rId12" Type="http://schemas.openxmlformats.org/officeDocument/2006/relationships/hyperlink" Target="https://besjournals.onlinelibrary.wiley.com/doi/10.1111/1365-2745.12635" TargetMode="External"/><Relationship Id="rId33" Type="http://schemas.openxmlformats.org/officeDocument/2006/relationships/hyperlink" Target="https://besjournals.onlinelibrary.wiley.com/doi/10.1111/1365-2745.12635" TargetMode="External"/><Relationship Id="rId108" Type="http://schemas.openxmlformats.org/officeDocument/2006/relationships/hyperlink" Target="https://besjournals.onlinelibrary.wiley.com/doi/10.1111/1365-2745.12635" TargetMode="External"/><Relationship Id="rId129" Type="http://schemas.openxmlformats.org/officeDocument/2006/relationships/hyperlink" Target="https://besjournals.onlinelibrary.wiley.com/doi/10.1111/1365-2745.12635" TargetMode="External"/><Relationship Id="rId54" Type="http://schemas.openxmlformats.org/officeDocument/2006/relationships/hyperlink" Target="https://besjournals.onlinelibrary.wiley.com/doi/10.1111/1365-2745.12635" TargetMode="External"/><Relationship Id="rId75" Type="http://schemas.openxmlformats.org/officeDocument/2006/relationships/hyperlink" Target="https://besjournals.onlinelibrary.wiley.com/doi/10.1111/1365-2745.12635" TargetMode="External"/><Relationship Id="rId96" Type="http://schemas.openxmlformats.org/officeDocument/2006/relationships/hyperlink" Target="https://besjournals.onlinelibrary.wiley.com/doi/10.1111/1365-2745.12635" TargetMode="External"/><Relationship Id="rId140" Type="http://schemas.openxmlformats.org/officeDocument/2006/relationships/hyperlink" Target="https://besjournals.onlinelibrary.wiley.com/doi/10.1111/1365-2745.12635" TargetMode="External"/><Relationship Id="rId161" Type="http://schemas.openxmlformats.org/officeDocument/2006/relationships/hyperlink" Target="https://besjournals.onlinelibrary.wiley.com/doi/10.1111/1365-2745.12635" TargetMode="External"/><Relationship Id="rId182" Type="http://schemas.openxmlformats.org/officeDocument/2006/relationships/hyperlink" Target="http://dx.doi.org/10.5479/data.bci.20130603" TargetMode="External"/><Relationship Id="rId6" Type="http://schemas.openxmlformats.org/officeDocument/2006/relationships/settings" Target="settings.xml"/><Relationship Id="rId23" Type="http://schemas.openxmlformats.org/officeDocument/2006/relationships/hyperlink" Target="https://besjournals.onlinelibrary.wiley.com/doi/10.1111/1365-2745.12635" TargetMode="External"/><Relationship Id="rId119" Type="http://schemas.openxmlformats.org/officeDocument/2006/relationships/hyperlink" Target="https://besjournals.onlinelibrary.wiley.com/doi/10.1111/1365-2745.12635" TargetMode="External"/><Relationship Id="rId44" Type="http://schemas.openxmlformats.org/officeDocument/2006/relationships/hyperlink" Target="https://besjournals.onlinelibrary.wiley.com/doi/10.1111/1365-2745.12635" TargetMode="External"/><Relationship Id="rId65" Type="http://schemas.openxmlformats.org/officeDocument/2006/relationships/hyperlink" Target="https://besjournals.onlinelibrary.wiley.com/doi/10.1111/1365-2745.12635" TargetMode="External"/><Relationship Id="rId86" Type="http://schemas.openxmlformats.org/officeDocument/2006/relationships/hyperlink" Target="https://besjournals.onlinelibrary.wiley.com/doi/10.1111/1365-2745.12635" TargetMode="External"/><Relationship Id="rId130" Type="http://schemas.openxmlformats.org/officeDocument/2006/relationships/hyperlink" Target="https://wol-prod-cdn.literatumonline.com/cms/attachment/0fe30428-86c0-4078-8d6b-6a83f2d07148/jec12635-fig-0002-m.jpg" TargetMode="External"/><Relationship Id="rId151" Type="http://schemas.openxmlformats.org/officeDocument/2006/relationships/hyperlink" Target="https://besjournals.onlinelibrary.wiley.com/doi/10.1111/1365-2745.12635" TargetMode="External"/><Relationship Id="rId172" Type="http://schemas.openxmlformats.org/officeDocument/2006/relationships/hyperlink" Target="https://besjournals.onlinelibrary.wiley.com/doi/10.1111/1365-2745.12635" TargetMode="External"/><Relationship Id="rId13" Type="http://schemas.openxmlformats.org/officeDocument/2006/relationships/hyperlink" Target="https://besjournals.onlinelibrary.wiley.com/doi/10.1111/1365-2745.12635" TargetMode="External"/><Relationship Id="rId18" Type="http://schemas.openxmlformats.org/officeDocument/2006/relationships/hyperlink" Target="https://besjournals.onlinelibrary.wiley.com/doi/10.1111/1365-2745.12635" TargetMode="External"/><Relationship Id="rId39" Type="http://schemas.openxmlformats.org/officeDocument/2006/relationships/hyperlink" Target="https://besjournals.onlinelibrary.wiley.com/doi/10.1111/1365-2745.12635" TargetMode="External"/><Relationship Id="rId109" Type="http://schemas.openxmlformats.org/officeDocument/2006/relationships/hyperlink" Target="https://besjournals.onlinelibrary.wiley.com/doi/10.1111/1365-2745.12635" TargetMode="External"/><Relationship Id="rId34" Type="http://schemas.openxmlformats.org/officeDocument/2006/relationships/hyperlink" Target="https://besjournals.onlinelibrary.wiley.com/doi/10.1111/1365-2745.12635" TargetMode="External"/><Relationship Id="rId50" Type="http://schemas.openxmlformats.org/officeDocument/2006/relationships/hyperlink" Target="https://besjournals.onlinelibrary.wiley.com/doi/10.1111/1365-2745.12635" TargetMode="External"/><Relationship Id="rId55" Type="http://schemas.openxmlformats.org/officeDocument/2006/relationships/hyperlink" Target="https://besjournals.onlinelibrary.wiley.com/doi/10.1111/1365-2745.12635" TargetMode="External"/><Relationship Id="rId76" Type="http://schemas.openxmlformats.org/officeDocument/2006/relationships/hyperlink" Target="https://besjournals.onlinelibrary.wiley.com/doi/10.1111/1365-2745.12635" TargetMode="External"/><Relationship Id="rId97" Type="http://schemas.openxmlformats.org/officeDocument/2006/relationships/hyperlink" Target="https://besjournals.onlinelibrary.wiley.com/doi/10.1111/1365-2745.12635" TargetMode="External"/><Relationship Id="rId104" Type="http://schemas.openxmlformats.org/officeDocument/2006/relationships/hyperlink" Target="https://besjournals.onlinelibrary.wiley.com/doi/10.1111/1365-2745.12635" TargetMode="External"/><Relationship Id="rId120" Type="http://schemas.openxmlformats.org/officeDocument/2006/relationships/hyperlink" Target="https://besjournals.onlinelibrary.wiley.com/doi/10.1111/1365-2745.12635" TargetMode="External"/><Relationship Id="rId125" Type="http://schemas.openxmlformats.org/officeDocument/2006/relationships/hyperlink" Target="https://besjournals.onlinelibrary.wiley.com/doi/10.1111/1365-2745.12635" TargetMode="External"/><Relationship Id="rId141" Type="http://schemas.openxmlformats.org/officeDocument/2006/relationships/hyperlink" Target="https://besjournals.onlinelibrary.wiley.com/doi/10.1111/1365-2745.12635" TargetMode="External"/><Relationship Id="rId146" Type="http://schemas.openxmlformats.org/officeDocument/2006/relationships/hyperlink" Target="https://besjournals.onlinelibrary.wiley.com/doi/10.1111/1365-2745.12635" TargetMode="External"/><Relationship Id="rId167" Type="http://schemas.openxmlformats.org/officeDocument/2006/relationships/hyperlink" Target="https://besjournals.onlinelibrary.wiley.com/doi/10.1111/1365-2745.12635" TargetMode="External"/><Relationship Id="rId7" Type="http://schemas.openxmlformats.org/officeDocument/2006/relationships/webSettings" Target="webSettings.xml"/><Relationship Id="rId71" Type="http://schemas.openxmlformats.org/officeDocument/2006/relationships/hyperlink" Target="https://besjournals.onlinelibrary.wiley.com/doi/10.1111/1365-2745.12635" TargetMode="External"/><Relationship Id="rId92" Type="http://schemas.openxmlformats.org/officeDocument/2006/relationships/hyperlink" Target="https://besjournals.onlinelibrary.wiley.com/doi/10.1111/1365-2745.12635" TargetMode="External"/><Relationship Id="rId162" Type="http://schemas.openxmlformats.org/officeDocument/2006/relationships/hyperlink" Target="https://besjournals.onlinelibrary.wiley.com/doi/10.1111/1365-2745.12635" TargetMode="External"/><Relationship Id="rId183" Type="http://schemas.openxmlformats.org/officeDocument/2006/relationships/hyperlink" Target="https://besjournals.onlinelibrary.wiley.com/doi/10.1111/1365-2745.12635" TargetMode="External"/><Relationship Id="rId2" Type="http://schemas.openxmlformats.org/officeDocument/2006/relationships/customXml" Target="../customXml/item2.xml"/><Relationship Id="rId29" Type="http://schemas.openxmlformats.org/officeDocument/2006/relationships/hyperlink" Target="https://besjournals.onlinelibrary.wiley.com/doi/10.1111/1365-2745.12635" TargetMode="External"/><Relationship Id="rId24" Type="http://schemas.openxmlformats.org/officeDocument/2006/relationships/hyperlink" Target="https://besjournals.onlinelibrary.wiley.com/doi/10.1111/1365-2745.12635" TargetMode="External"/><Relationship Id="rId40" Type="http://schemas.openxmlformats.org/officeDocument/2006/relationships/hyperlink" Target="https://besjournals.onlinelibrary.wiley.com/doi/10.1111/1365-2745.12635" TargetMode="External"/><Relationship Id="rId45" Type="http://schemas.openxmlformats.org/officeDocument/2006/relationships/hyperlink" Target="https://besjournals.onlinelibrary.wiley.com/doi/10.1111/1365-2745.12635" TargetMode="External"/><Relationship Id="rId66" Type="http://schemas.openxmlformats.org/officeDocument/2006/relationships/hyperlink" Target="https://besjournals.onlinelibrary.wiley.com/doi/10.1111/1365-2745.12635" TargetMode="External"/><Relationship Id="rId87" Type="http://schemas.openxmlformats.org/officeDocument/2006/relationships/hyperlink" Target="https://besjournals.onlinelibrary.wiley.com/doi/10.1111/1365-2745.12635" TargetMode="External"/><Relationship Id="rId110" Type="http://schemas.openxmlformats.org/officeDocument/2006/relationships/hyperlink" Target="https://besjournals.onlinelibrary.wiley.com/doi/10.1111/1365-2745.12635" TargetMode="External"/><Relationship Id="rId115" Type="http://schemas.openxmlformats.org/officeDocument/2006/relationships/hyperlink" Target="https://besjournals.onlinelibrary.wiley.com/doi/10.1111/1365-2745.12635" TargetMode="External"/><Relationship Id="rId131" Type="http://schemas.openxmlformats.org/officeDocument/2006/relationships/image" Target="media/image5.png"/><Relationship Id="rId136" Type="http://schemas.openxmlformats.org/officeDocument/2006/relationships/hyperlink" Target="https://besjournals.onlinelibrary.wiley.com/doi/10.1111/1365-2745.12635" TargetMode="External"/><Relationship Id="rId157" Type="http://schemas.openxmlformats.org/officeDocument/2006/relationships/hyperlink" Target="https://besjournals.onlinelibrary.wiley.com/doi/10.1111/1365-2745.12635" TargetMode="External"/><Relationship Id="rId178" Type="http://schemas.openxmlformats.org/officeDocument/2006/relationships/hyperlink" Target="https://besjournals.onlinelibrary.wiley.com/doi/10.1111/1365-2745.12635" TargetMode="External"/><Relationship Id="rId61" Type="http://schemas.openxmlformats.org/officeDocument/2006/relationships/hyperlink" Target="https://besjournals.onlinelibrary.wiley.com/doi/10.1111/1365-2745.12635" TargetMode="External"/><Relationship Id="rId82" Type="http://schemas.openxmlformats.org/officeDocument/2006/relationships/hyperlink" Target="https://besjournals.onlinelibrary.wiley.com/doi/10.1111/1365-2745.12635" TargetMode="External"/><Relationship Id="rId152" Type="http://schemas.openxmlformats.org/officeDocument/2006/relationships/hyperlink" Target="https://besjournals.onlinelibrary.wiley.com/doi/10.1111/1365-2745.12635" TargetMode="External"/><Relationship Id="rId173" Type="http://schemas.openxmlformats.org/officeDocument/2006/relationships/hyperlink" Target="https://besjournals.onlinelibrary.wiley.com/doi/10.1111/1365-2745.12635" TargetMode="External"/><Relationship Id="rId19" Type="http://schemas.openxmlformats.org/officeDocument/2006/relationships/hyperlink" Target="https://besjournals.onlinelibrary.wiley.com/doi/10.1111/1365-2745.12635" TargetMode="External"/><Relationship Id="rId14" Type="http://schemas.openxmlformats.org/officeDocument/2006/relationships/hyperlink" Target="https://besjournals.onlinelibrary.wiley.com/doi/10.1111/1365-2745.12635" TargetMode="External"/><Relationship Id="rId30" Type="http://schemas.openxmlformats.org/officeDocument/2006/relationships/hyperlink" Target="https://besjournals.onlinelibrary.wiley.com/doi/10.1111/1365-2745.12635" TargetMode="External"/><Relationship Id="rId35" Type="http://schemas.openxmlformats.org/officeDocument/2006/relationships/hyperlink" Target="https://besjournals.onlinelibrary.wiley.com/doi/10.1111/1365-2745.12635" TargetMode="External"/><Relationship Id="rId56" Type="http://schemas.openxmlformats.org/officeDocument/2006/relationships/hyperlink" Target="https://besjournals.onlinelibrary.wiley.com/doi/10.1111/1365-2745.12635" TargetMode="External"/><Relationship Id="rId77" Type="http://schemas.openxmlformats.org/officeDocument/2006/relationships/hyperlink" Target="https://besjournals.onlinelibrary.wiley.com/doi/10.1111/1365-2745.12635" TargetMode="External"/><Relationship Id="rId100" Type="http://schemas.openxmlformats.org/officeDocument/2006/relationships/hyperlink" Target="https://besjournals.onlinelibrary.wiley.com/doi/10.1111/1365-2745.12635" TargetMode="External"/><Relationship Id="rId105" Type="http://schemas.openxmlformats.org/officeDocument/2006/relationships/hyperlink" Target="https://besjournals.onlinelibrary.wiley.com/doi/10.1111/1365-2745.12635" TargetMode="External"/><Relationship Id="rId126" Type="http://schemas.openxmlformats.org/officeDocument/2006/relationships/hyperlink" Target="https://besjournals.onlinelibrary.wiley.com/doi/10.1111/1365-2745.12635" TargetMode="External"/><Relationship Id="rId147" Type="http://schemas.openxmlformats.org/officeDocument/2006/relationships/hyperlink" Target="https://besjournals.onlinelibrary.wiley.com/doi/10.1111/1365-2745.12635" TargetMode="External"/><Relationship Id="rId168" Type="http://schemas.openxmlformats.org/officeDocument/2006/relationships/hyperlink" Target="https://besjournals.onlinelibrary.wiley.com/doi/10.1111/1365-2745.12635" TargetMode="External"/><Relationship Id="rId8" Type="http://schemas.openxmlformats.org/officeDocument/2006/relationships/hyperlink" Target="10.1111/1365-2745.12635" TargetMode="External"/><Relationship Id="rId51" Type="http://schemas.openxmlformats.org/officeDocument/2006/relationships/hyperlink" Target="https://besjournals.onlinelibrary.wiley.com/doi/10.1111/1365-2745.12635" TargetMode="External"/><Relationship Id="rId72" Type="http://schemas.openxmlformats.org/officeDocument/2006/relationships/hyperlink" Target="https://besjournals.onlinelibrary.wiley.com/doi/10.1111/1365-2745.12635" TargetMode="External"/><Relationship Id="rId93" Type="http://schemas.openxmlformats.org/officeDocument/2006/relationships/hyperlink" Target="https://besjournals.onlinelibrary.wiley.com/doi/10.1111/1365-2745.12635" TargetMode="External"/><Relationship Id="rId98" Type="http://schemas.openxmlformats.org/officeDocument/2006/relationships/hyperlink" Target="https://besjournals.onlinelibrary.wiley.com/doi/10.1111/1365-2745.12635" TargetMode="External"/><Relationship Id="rId121" Type="http://schemas.openxmlformats.org/officeDocument/2006/relationships/image" Target="media/image2.png"/><Relationship Id="rId142" Type="http://schemas.openxmlformats.org/officeDocument/2006/relationships/hyperlink" Target="https://besjournals.onlinelibrary.wiley.com/doi/10.1111/1365-2745.12635" TargetMode="External"/><Relationship Id="rId163" Type="http://schemas.openxmlformats.org/officeDocument/2006/relationships/hyperlink" Target="https://besjournals.onlinelibrary.wiley.com/doi/10.1111/1365-2745.12635" TargetMode="External"/><Relationship Id="rId184" Type="http://schemas.openxmlformats.org/officeDocument/2006/relationships/hyperlink" Target="http://dx.doi.org/10.5479/data.bci.20130603" TargetMode="External"/><Relationship Id="rId3" Type="http://schemas.openxmlformats.org/officeDocument/2006/relationships/customXml" Target="../customXml/item3.xml"/><Relationship Id="rId25" Type="http://schemas.openxmlformats.org/officeDocument/2006/relationships/hyperlink" Target="https://besjournals.onlinelibrary.wiley.com/doi/10.1111/1365-2745.12635" TargetMode="External"/><Relationship Id="rId46" Type="http://schemas.openxmlformats.org/officeDocument/2006/relationships/hyperlink" Target="https://besjournals.onlinelibrary.wiley.com/doi/10.1111/1365-2745.12635" TargetMode="External"/><Relationship Id="rId67" Type="http://schemas.openxmlformats.org/officeDocument/2006/relationships/hyperlink" Target="https://besjournals.onlinelibrary.wiley.com/doi/10.1111/1365-2745.12635" TargetMode="External"/><Relationship Id="rId116" Type="http://schemas.openxmlformats.org/officeDocument/2006/relationships/hyperlink" Target="https://besjournals.onlinelibrary.wiley.com/doi/10.1111/1365-2745.12635" TargetMode="External"/><Relationship Id="rId137" Type="http://schemas.openxmlformats.org/officeDocument/2006/relationships/hyperlink" Target="https://besjournals.onlinelibrary.wiley.com/doi/10.1111/1365-2745.12635" TargetMode="External"/><Relationship Id="rId158" Type="http://schemas.openxmlformats.org/officeDocument/2006/relationships/hyperlink" Target="https://besjournals.onlinelibrary.wiley.com/doi/10.1111/1365-2745.12635" TargetMode="External"/><Relationship Id="rId20" Type="http://schemas.openxmlformats.org/officeDocument/2006/relationships/hyperlink" Target="https://besjournals.onlinelibrary.wiley.com/doi/10.1111/1365-2745.12635" TargetMode="External"/><Relationship Id="rId41" Type="http://schemas.openxmlformats.org/officeDocument/2006/relationships/hyperlink" Target="https://besjournals.onlinelibrary.wiley.com/doi/10.1111/1365-2745.12635" TargetMode="External"/><Relationship Id="rId62" Type="http://schemas.openxmlformats.org/officeDocument/2006/relationships/hyperlink" Target="https://besjournals.onlinelibrary.wiley.com/doi/10.1111/1365-2745.12635" TargetMode="External"/><Relationship Id="rId83" Type="http://schemas.openxmlformats.org/officeDocument/2006/relationships/hyperlink" Target="https://besjournals.onlinelibrary.wiley.com/doi/10.1111/1365-2745.12635" TargetMode="External"/><Relationship Id="rId88" Type="http://schemas.openxmlformats.org/officeDocument/2006/relationships/hyperlink" Target="https://besjournals.onlinelibrary.wiley.com/doi/10.1111/1365-2745.12635" TargetMode="External"/><Relationship Id="rId111" Type="http://schemas.openxmlformats.org/officeDocument/2006/relationships/hyperlink" Target="https://wol-prod-cdn.literatumonline.com/cms/attachment/58f36bc9-f85b-4f62-a434-020b9bbe53f7/jec12635-fig-0001-m.jpg" TargetMode="External"/><Relationship Id="rId132" Type="http://schemas.openxmlformats.org/officeDocument/2006/relationships/hyperlink" Target="https://besjournals.onlinelibrary.wiley.com/doi/10.1111/1365-2745.12635" TargetMode="External"/><Relationship Id="rId153" Type="http://schemas.openxmlformats.org/officeDocument/2006/relationships/hyperlink" Target="https://besjournals.onlinelibrary.wiley.com/doi/10.1111/1365-2745.12635" TargetMode="External"/><Relationship Id="rId174" Type="http://schemas.openxmlformats.org/officeDocument/2006/relationships/hyperlink" Target="https://besjournals.onlinelibrary.wiley.com/doi/10.1111/1365-2745.12635" TargetMode="External"/><Relationship Id="rId179" Type="http://schemas.openxmlformats.org/officeDocument/2006/relationships/hyperlink" Target="https://besjournals.onlinelibrary.wiley.com/doi/10.1111/1365-2745.12635" TargetMode="External"/><Relationship Id="rId15" Type="http://schemas.openxmlformats.org/officeDocument/2006/relationships/hyperlink" Target="https://besjournals.onlinelibrary.wiley.com/doi/10.1111/1365-2745.12635" TargetMode="External"/><Relationship Id="rId36" Type="http://schemas.openxmlformats.org/officeDocument/2006/relationships/hyperlink" Target="https://besjournals.onlinelibrary.wiley.com/doi/10.1111/1365-2745.12635" TargetMode="External"/><Relationship Id="rId57" Type="http://schemas.openxmlformats.org/officeDocument/2006/relationships/hyperlink" Target="https://besjournals.onlinelibrary.wiley.com/doi/10.1111/1365-2745.12635" TargetMode="External"/><Relationship Id="rId106" Type="http://schemas.openxmlformats.org/officeDocument/2006/relationships/hyperlink" Target="https://besjournals.onlinelibrary.wiley.com/doi/10.1111/1365-2745.12635" TargetMode="External"/><Relationship Id="rId127" Type="http://schemas.openxmlformats.org/officeDocument/2006/relationships/hyperlink" Target="https://besjournals.onlinelibrary.wiley.com/doi/10.1111/1365-2745.12635" TargetMode="External"/><Relationship Id="rId10" Type="http://schemas.openxmlformats.org/officeDocument/2006/relationships/hyperlink" Target="https://besjournals.onlinelibrary.wiley.com/doi/10.1111/1365-2745.12635" TargetMode="External"/><Relationship Id="rId31" Type="http://schemas.openxmlformats.org/officeDocument/2006/relationships/hyperlink" Target="https://besjournals.onlinelibrary.wiley.com/doi/10.1111/1365-2745.12635" TargetMode="External"/><Relationship Id="rId52" Type="http://schemas.openxmlformats.org/officeDocument/2006/relationships/hyperlink" Target="https://besjournals.onlinelibrary.wiley.com/doi/10.1111/1365-2745.12635" TargetMode="External"/><Relationship Id="rId73" Type="http://schemas.openxmlformats.org/officeDocument/2006/relationships/hyperlink" Target="https://besjournals.onlinelibrary.wiley.com/doi/10.1111/1365-2745.12635" TargetMode="External"/><Relationship Id="rId78" Type="http://schemas.openxmlformats.org/officeDocument/2006/relationships/hyperlink" Target="https://besjournals.onlinelibrary.wiley.com/doi/10.1111/1365-2745.12635" TargetMode="External"/><Relationship Id="rId94" Type="http://schemas.openxmlformats.org/officeDocument/2006/relationships/hyperlink" Target="https://besjournals.onlinelibrary.wiley.com/doi/10.1111/1365-2745.12635" TargetMode="External"/><Relationship Id="rId99" Type="http://schemas.openxmlformats.org/officeDocument/2006/relationships/hyperlink" Target="https://besjournals.onlinelibrary.wiley.com/doi/10.1111/1365-2745.12635" TargetMode="External"/><Relationship Id="rId101" Type="http://schemas.openxmlformats.org/officeDocument/2006/relationships/hyperlink" Target="https://besjournals.onlinelibrary.wiley.com/doi/10.1111/1365-2745.12635" TargetMode="External"/><Relationship Id="rId122" Type="http://schemas.openxmlformats.org/officeDocument/2006/relationships/image" Target="media/image3.png"/><Relationship Id="rId143" Type="http://schemas.openxmlformats.org/officeDocument/2006/relationships/hyperlink" Target="https://besjournals.onlinelibrary.wiley.com/doi/10.1111/1365-2745.12635" TargetMode="External"/><Relationship Id="rId148" Type="http://schemas.openxmlformats.org/officeDocument/2006/relationships/hyperlink" Target="https://besjournals.onlinelibrary.wiley.com/doi/10.1111/1365-2745.12635" TargetMode="External"/><Relationship Id="rId164" Type="http://schemas.openxmlformats.org/officeDocument/2006/relationships/hyperlink" Target="https://besjournals.onlinelibrary.wiley.com/doi/10.1111/1365-2745.12635" TargetMode="External"/><Relationship Id="rId169" Type="http://schemas.openxmlformats.org/officeDocument/2006/relationships/hyperlink" Target="https://besjournals.onlinelibrary.wiley.com/doi/10.1111/1365-2745.12635" TargetMode="External"/><Relationship Id="rId185" Type="http://schemas.openxmlformats.org/officeDocument/2006/relationships/hyperlink" Target="http://qgis.osgeo.org/"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hyperlink" Target="https://besjournals.onlinelibrary.wiley.com/doi/10.1111/1365-2745.12635" TargetMode="External"/><Relationship Id="rId26" Type="http://schemas.openxmlformats.org/officeDocument/2006/relationships/hyperlink" Target="https://besjournals.onlinelibrary.wiley.com/doi/10.1111/1365-2745.12635" TargetMode="External"/><Relationship Id="rId47" Type="http://schemas.openxmlformats.org/officeDocument/2006/relationships/hyperlink" Target="https://besjournals.onlinelibrary.wiley.com/doi/10.1111/1365-2745.12635" TargetMode="External"/><Relationship Id="rId68" Type="http://schemas.openxmlformats.org/officeDocument/2006/relationships/hyperlink" Target="https://besjournals.onlinelibrary.wiley.com/doi/10.1111/1365-2745.12635" TargetMode="External"/><Relationship Id="rId89" Type="http://schemas.openxmlformats.org/officeDocument/2006/relationships/hyperlink" Target="https://besjournals.onlinelibrary.wiley.com/doi/10.1111/1365-2745.12635" TargetMode="External"/><Relationship Id="rId112" Type="http://schemas.openxmlformats.org/officeDocument/2006/relationships/image" Target="media/image1.png"/><Relationship Id="rId133" Type="http://schemas.openxmlformats.org/officeDocument/2006/relationships/hyperlink" Target="https://besjournals.onlinelibrary.wiley.com/doi/10.1111/1365-2745.12635" TargetMode="External"/><Relationship Id="rId154" Type="http://schemas.openxmlformats.org/officeDocument/2006/relationships/hyperlink" Target="https://besjournals.onlinelibrary.wiley.com/doi/10.1111/1365-2745.12635" TargetMode="External"/><Relationship Id="rId175" Type="http://schemas.openxmlformats.org/officeDocument/2006/relationships/hyperlink" Target="https://besjournals.onlinelibrary.wiley.com/doi/10.1111/1365-2745.12635" TargetMode="External"/><Relationship Id="rId16" Type="http://schemas.openxmlformats.org/officeDocument/2006/relationships/hyperlink" Target="https://besjournals.onlinelibrary.wiley.com/doi/10.1111/1365-2745.12635" TargetMode="External"/><Relationship Id="rId37" Type="http://schemas.openxmlformats.org/officeDocument/2006/relationships/hyperlink" Target="https://besjournals.onlinelibrary.wiley.com/doi/10.1111/1365-2745.12635" TargetMode="External"/><Relationship Id="rId58" Type="http://schemas.openxmlformats.org/officeDocument/2006/relationships/hyperlink" Target="https://besjournals.onlinelibrary.wiley.com/doi/10.1111/1365-2745.12635" TargetMode="External"/><Relationship Id="rId79" Type="http://schemas.openxmlformats.org/officeDocument/2006/relationships/hyperlink" Target="https://besjournals.onlinelibrary.wiley.com/doi/10.1111/1365-2745.12635" TargetMode="External"/><Relationship Id="rId102" Type="http://schemas.openxmlformats.org/officeDocument/2006/relationships/hyperlink" Target="https://besjournals.onlinelibrary.wiley.com/doi/10.1111/1365-2745.12635" TargetMode="External"/><Relationship Id="rId123" Type="http://schemas.openxmlformats.org/officeDocument/2006/relationships/image" Target="media/image4.png"/><Relationship Id="rId144" Type="http://schemas.openxmlformats.org/officeDocument/2006/relationships/hyperlink" Target="https://besjournals.onlinelibrary.wiley.com/doi/10.1111/1365-2745.12635" TargetMode="External"/><Relationship Id="rId90" Type="http://schemas.openxmlformats.org/officeDocument/2006/relationships/hyperlink" Target="https://besjournals.onlinelibrary.wiley.com/doi/10.1111/1365-2745.12635" TargetMode="External"/><Relationship Id="rId165" Type="http://schemas.openxmlformats.org/officeDocument/2006/relationships/hyperlink" Target="https://besjournals.onlinelibrary.wiley.com/doi/10.1111/1365-2745.12635" TargetMode="External"/><Relationship Id="rId186" Type="http://schemas.openxmlformats.org/officeDocument/2006/relationships/fontTable" Target="fontTable.xml"/><Relationship Id="rId27" Type="http://schemas.openxmlformats.org/officeDocument/2006/relationships/hyperlink" Target="https://besjournals.onlinelibrary.wiley.com/doi/10.1111/1365-2745.12635" TargetMode="External"/><Relationship Id="rId48" Type="http://schemas.openxmlformats.org/officeDocument/2006/relationships/hyperlink" Target="https://besjournals.onlinelibrary.wiley.com/doi/10.1111/1365-2745.12635" TargetMode="External"/><Relationship Id="rId69" Type="http://schemas.openxmlformats.org/officeDocument/2006/relationships/hyperlink" Target="https://besjournals.onlinelibrary.wiley.com/doi/10.1111/1365-2745.12635" TargetMode="External"/><Relationship Id="rId113" Type="http://schemas.openxmlformats.org/officeDocument/2006/relationships/hyperlink" Target="https://besjournals.onlinelibrary.wiley.com/doi/10.1111/1365-2745.12635" TargetMode="External"/><Relationship Id="rId134" Type="http://schemas.openxmlformats.org/officeDocument/2006/relationships/hyperlink" Target="https://besjournals.onlinelibrary.wiley.com/doi/10.1111/1365-2745.12635" TargetMode="External"/><Relationship Id="rId80" Type="http://schemas.openxmlformats.org/officeDocument/2006/relationships/hyperlink" Target="https://besjournals.onlinelibrary.wiley.com/doi/10.1111/1365-2745.12635" TargetMode="External"/><Relationship Id="rId155" Type="http://schemas.openxmlformats.org/officeDocument/2006/relationships/hyperlink" Target="https://besjournals.onlinelibrary.wiley.com/doi/10.1111/1365-2745.12635" TargetMode="External"/><Relationship Id="rId176" Type="http://schemas.openxmlformats.org/officeDocument/2006/relationships/hyperlink" Target="https://besjournals.onlinelibrary.wiley.com/doi/10.1111/1365-2745.12635" TargetMode="External"/><Relationship Id="rId17" Type="http://schemas.openxmlformats.org/officeDocument/2006/relationships/hyperlink" Target="https://besjournals.onlinelibrary.wiley.com/doi/10.1111/1365-2745.12635" TargetMode="External"/><Relationship Id="rId38" Type="http://schemas.openxmlformats.org/officeDocument/2006/relationships/hyperlink" Target="https://besjournals.onlinelibrary.wiley.com/doi/10.1111/1365-2745.12635" TargetMode="External"/><Relationship Id="rId59" Type="http://schemas.openxmlformats.org/officeDocument/2006/relationships/hyperlink" Target="https://besjournals.onlinelibrary.wiley.com/doi/10.1111/1365-2745.12635" TargetMode="External"/><Relationship Id="rId103" Type="http://schemas.openxmlformats.org/officeDocument/2006/relationships/hyperlink" Target="https://besjournals.onlinelibrary.wiley.com/doi/10.1111/1365-2745.12635" TargetMode="External"/><Relationship Id="rId124" Type="http://schemas.openxmlformats.org/officeDocument/2006/relationships/hyperlink" Target="https://besjournals.onlinelibrary.wiley.com/doi/10.1111/1365-2745.12635" TargetMode="External"/><Relationship Id="rId70" Type="http://schemas.openxmlformats.org/officeDocument/2006/relationships/hyperlink" Target="https://besjournals.onlinelibrary.wiley.com/doi/10.1111/1365-2745.12635" TargetMode="External"/><Relationship Id="rId91" Type="http://schemas.openxmlformats.org/officeDocument/2006/relationships/hyperlink" Target="https://besjournals.onlinelibrary.wiley.com/doi/10.1111/1365-2745.12635" TargetMode="External"/><Relationship Id="rId145" Type="http://schemas.openxmlformats.org/officeDocument/2006/relationships/hyperlink" Target="https://besjournals.onlinelibrary.wiley.com/doi/10.1111/1365-2745.12635" TargetMode="External"/><Relationship Id="rId166" Type="http://schemas.openxmlformats.org/officeDocument/2006/relationships/hyperlink" Target="https://besjournals.onlinelibrary.wiley.com/doi/10.1111/1365-2745.12635" TargetMode="External"/><Relationship Id="rId187" Type="http://schemas.openxmlformats.org/officeDocument/2006/relationships/theme" Target="theme/theme1.xml"/><Relationship Id="rId1" Type="http://schemas.openxmlformats.org/officeDocument/2006/relationships/customXml" Target="../customXml/item1.xml"/><Relationship Id="rId28" Type="http://schemas.openxmlformats.org/officeDocument/2006/relationships/hyperlink" Target="https://besjournals.onlinelibrary.wiley.com/doi/10.1111/1365-2745.12635" TargetMode="External"/><Relationship Id="rId49" Type="http://schemas.openxmlformats.org/officeDocument/2006/relationships/hyperlink" Target="https://besjournals.onlinelibrary.wiley.com/doi/10.1111/1365-2745.12635" TargetMode="External"/><Relationship Id="rId114" Type="http://schemas.openxmlformats.org/officeDocument/2006/relationships/hyperlink" Target="https://besjournals.onlinelibrary.wiley.com/doi/10.1111/1365-2745.12635" TargetMode="External"/><Relationship Id="rId60" Type="http://schemas.openxmlformats.org/officeDocument/2006/relationships/hyperlink" Target="https://besjournals.onlinelibrary.wiley.com/doi/10.1111/1365-2745.12635" TargetMode="External"/><Relationship Id="rId81" Type="http://schemas.openxmlformats.org/officeDocument/2006/relationships/hyperlink" Target="https://besjournals.onlinelibrary.wiley.com/doi/10.1111/1365-2745.12635" TargetMode="External"/><Relationship Id="rId135" Type="http://schemas.openxmlformats.org/officeDocument/2006/relationships/hyperlink" Target="https://besjournals.onlinelibrary.wiley.com/doi/10.1111/1365-2745.12635" TargetMode="External"/><Relationship Id="rId156" Type="http://schemas.openxmlformats.org/officeDocument/2006/relationships/hyperlink" Target="https://besjournals.onlinelibrary.wiley.com/doi/10.1111/1365-2745.12635" TargetMode="External"/><Relationship Id="rId177" Type="http://schemas.openxmlformats.org/officeDocument/2006/relationships/hyperlink" Target="https://besjournals.onlinelibrary.wiley.com/doi/10.1111/1365-2745.126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BAD96A-FBEF-4B98-ABC9-8193CF93198A}">
  <ds:schemaRefs>
    <ds:schemaRef ds:uri="http://schemas.microsoft.com/sharepoint/v3/contenttype/forms"/>
  </ds:schemaRefs>
</ds:datastoreItem>
</file>

<file path=customXml/itemProps2.xml><?xml version="1.0" encoding="utf-8"?>
<ds:datastoreItem xmlns:ds="http://schemas.openxmlformats.org/officeDocument/2006/customXml" ds:itemID="{51759D8E-FA56-417F-8B57-4A3EEF866EA9}">
  <ds:schemaRefs>
    <ds:schemaRef ds:uri="http://schemas.microsoft.com/office/2006/documentManagement/types"/>
    <ds:schemaRef ds:uri="http://purl.org/dc/terms/"/>
    <ds:schemaRef ds:uri="http://purl.org/dc/elements/1.1/"/>
    <ds:schemaRef ds:uri="http://schemas.microsoft.com/office/2006/metadata/properties"/>
    <ds:schemaRef ds:uri="http://purl.org/dc/dcmitype/"/>
    <ds:schemaRef ds:uri="http://www.w3.org/XML/1998/namespace"/>
    <ds:schemaRef ds:uri="1dc5a16d-a9e1-4107-81af-b56e13c8526c"/>
    <ds:schemaRef ds:uri="http://schemas.microsoft.com/office/infopath/2007/PartnerControls"/>
    <ds:schemaRef ds:uri="http://schemas.openxmlformats.org/package/2006/metadata/core-properties"/>
    <ds:schemaRef ds:uri="455b151d-75b8-4438-a72d-e06b314124a1"/>
  </ds:schemaRefs>
</ds:datastoreItem>
</file>

<file path=customXml/itemProps3.xml><?xml version="1.0" encoding="utf-8"?>
<ds:datastoreItem xmlns:ds="http://schemas.openxmlformats.org/officeDocument/2006/customXml" ds:itemID="{0F8E0D7D-F1D0-4103-83A6-FAEABC04AD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16</Pages>
  <Words>12187</Words>
  <Characters>66055</Characters>
  <Application>Microsoft Office Word</Application>
  <DocSecurity>0</DocSecurity>
  <Lines>869</Lines>
  <Paragraphs>269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43</cp:revision>
  <dcterms:created xsi:type="dcterms:W3CDTF">2019-07-10T16:17:00Z</dcterms:created>
  <dcterms:modified xsi:type="dcterms:W3CDTF">2019-10-10T18:49:00Z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