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D4CC9"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4D4CC9"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4D4CC9">
        <w:rPr>
          <w:rFonts w:cstheme="minorHAnsi"/>
          <w:b/>
          <w:bCs/>
          <w:color w:val="316192"/>
          <w:sz w:val="28"/>
          <w:szCs w:val="26"/>
        </w:rPr>
        <w:t>Marquette University</w:t>
      </w:r>
    </w:p>
    <w:p w14:paraId="158D4B9F" w14:textId="77777777" w:rsidR="000A7622" w:rsidRPr="004D4CC9" w:rsidRDefault="000A7622" w:rsidP="00D14423">
      <w:pPr>
        <w:autoSpaceDE w:val="0"/>
        <w:autoSpaceDN w:val="0"/>
        <w:adjustRightInd w:val="0"/>
        <w:rPr>
          <w:rFonts w:cstheme="minorHAnsi"/>
          <w:b/>
          <w:bCs/>
          <w:color w:val="316192"/>
          <w:sz w:val="40"/>
          <w:szCs w:val="36"/>
        </w:rPr>
      </w:pPr>
      <w:r w:rsidRPr="004D4CC9">
        <w:rPr>
          <w:rFonts w:cstheme="minorHAnsi"/>
          <w:b/>
          <w:bCs/>
          <w:color w:val="316192"/>
          <w:sz w:val="40"/>
          <w:szCs w:val="36"/>
        </w:rPr>
        <w:t>e-Publications@Marquette</w:t>
      </w:r>
    </w:p>
    <w:p w14:paraId="689ACF87" w14:textId="77777777" w:rsidR="000A7622" w:rsidRPr="004D4CC9" w:rsidRDefault="000A7622" w:rsidP="00D14423">
      <w:pPr>
        <w:autoSpaceDE w:val="0"/>
        <w:autoSpaceDN w:val="0"/>
        <w:adjustRightInd w:val="0"/>
        <w:rPr>
          <w:rFonts w:cstheme="minorHAnsi"/>
          <w:b/>
          <w:bCs/>
          <w:i/>
          <w:iCs/>
        </w:rPr>
      </w:pPr>
    </w:p>
    <w:p w14:paraId="161853CC" w14:textId="28DDC56F" w:rsidR="000A7622" w:rsidRPr="004D4CC9" w:rsidRDefault="003F3737" w:rsidP="00D14423">
      <w:pPr>
        <w:autoSpaceDE w:val="0"/>
        <w:autoSpaceDN w:val="0"/>
        <w:adjustRightInd w:val="0"/>
        <w:rPr>
          <w:rFonts w:cstheme="minorHAnsi"/>
          <w:b/>
          <w:bCs/>
          <w:i/>
          <w:iCs/>
          <w:sz w:val="32"/>
          <w:szCs w:val="32"/>
        </w:rPr>
      </w:pPr>
      <w:r w:rsidRPr="004D4CC9">
        <w:rPr>
          <w:rFonts w:cstheme="minorHAnsi"/>
          <w:b/>
          <w:bCs/>
          <w:i/>
          <w:iCs/>
          <w:sz w:val="32"/>
          <w:szCs w:val="32"/>
        </w:rPr>
        <w:t>Biological Sciences</w:t>
      </w:r>
      <w:r w:rsidR="000F44BF" w:rsidRPr="004D4CC9">
        <w:rPr>
          <w:rFonts w:cstheme="minorHAnsi"/>
          <w:b/>
          <w:bCs/>
          <w:i/>
          <w:iCs/>
          <w:sz w:val="32"/>
          <w:szCs w:val="32"/>
        </w:rPr>
        <w:t xml:space="preserve"> </w:t>
      </w:r>
      <w:r w:rsidR="000A7622" w:rsidRPr="004D4CC9">
        <w:rPr>
          <w:rFonts w:cstheme="minorHAnsi"/>
          <w:b/>
          <w:bCs/>
          <w:i/>
          <w:iCs/>
          <w:sz w:val="32"/>
          <w:szCs w:val="32"/>
        </w:rPr>
        <w:t>Faculty Research and Publications/</w:t>
      </w:r>
      <w:r w:rsidR="009732A9" w:rsidRPr="004D4CC9">
        <w:rPr>
          <w:rFonts w:cstheme="minorHAnsi"/>
          <w:b/>
          <w:bCs/>
          <w:i/>
          <w:iCs/>
          <w:sz w:val="32"/>
          <w:szCs w:val="32"/>
        </w:rPr>
        <w:t xml:space="preserve">College of </w:t>
      </w:r>
      <w:r w:rsidR="000F44BF" w:rsidRPr="004D4CC9">
        <w:rPr>
          <w:rFonts w:cstheme="minorHAnsi"/>
          <w:b/>
          <w:bCs/>
          <w:i/>
          <w:iCs/>
          <w:sz w:val="32"/>
          <w:szCs w:val="32"/>
        </w:rPr>
        <w:t>Arts and Sciences</w:t>
      </w:r>
    </w:p>
    <w:bookmarkEnd w:id="1"/>
    <w:p w14:paraId="3E538636" w14:textId="77777777" w:rsidR="000A7622" w:rsidRPr="004D4CC9" w:rsidRDefault="000A7622" w:rsidP="00D14423">
      <w:pPr>
        <w:jc w:val="center"/>
        <w:rPr>
          <w:rFonts w:cstheme="minorHAnsi"/>
          <w:b/>
          <w:bCs/>
          <w:i/>
          <w:iCs/>
        </w:rPr>
      </w:pPr>
    </w:p>
    <w:p w14:paraId="25509BF0" w14:textId="5157E416" w:rsidR="000A7622" w:rsidRPr="004D4CC9" w:rsidRDefault="000A7622" w:rsidP="00D14423">
      <w:pPr>
        <w:jc w:val="center"/>
        <w:rPr>
          <w:rFonts w:cstheme="minorHAnsi"/>
          <w:sz w:val="24"/>
          <w:szCs w:val="24"/>
        </w:rPr>
      </w:pPr>
      <w:r w:rsidRPr="004D4CC9">
        <w:rPr>
          <w:rFonts w:cstheme="minorHAnsi"/>
          <w:b/>
          <w:bCs/>
          <w:i/>
          <w:iCs/>
          <w:sz w:val="24"/>
          <w:szCs w:val="24"/>
        </w:rPr>
        <w:t xml:space="preserve">This paper is NOT THE PUBLISHED VERSION; </w:t>
      </w:r>
      <w:r w:rsidRPr="004D4CC9">
        <w:rPr>
          <w:rFonts w:cstheme="minorHAnsi"/>
          <w:b/>
          <w:bCs/>
          <w:sz w:val="24"/>
          <w:szCs w:val="24"/>
        </w:rPr>
        <w:t xml:space="preserve">but the author’s final, peer-reviewed manuscript. </w:t>
      </w:r>
      <w:r w:rsidRPr="004D4CC9">
        <w:rPr>
          <w:rFonts w:cstheme="minorHAnsi"/>
          <w:sz w:val="24"/>
          <w:szCs w:val="24"/>
        </w:rPr>
        <w:t>The published version may be accessed by following the link in th</w:t>
      </w:r>
      <w:r w:rsidR="000F44BF" w:rsidRPr="004D4CC9">
        <w:rPr>
          <w:rFonts w:cstheme="minorHAnsi"/>
          <w:sz w:val="24"/>
          <w:szCs w:val="24"/>
        </w:rPr>
        <w:t>e</w:t>
      </w:r>
      <w:r w:rsidRPr="004D4CC9">
        <w:rPr>
          <w:rFonts w:cstheme="minorHAnsi"/>
          <w:sz w:val="24"/>
          <w:szCs w:val="24"/>
        </w:rPr>
        <w:t xml:space="preserve"> citation below.</w:t>
      </w:r>
    </w:p>
    <w:p w14:paraId="207B0342" w14:textId="77777777" w:rsidR="000A7622" w:rsidRPr="004D4CC9" w:rsidRDefault="000A7622" w:rsidP="00D14423">
      <w:pPr>
        <w:jc w:val="center"/>
        <w:rPr>
          <w:rFonts w:cstheme="minorHAnsi"/>
          <w:sz w:val="24"/>
          <w:szCs w:val="24"/>
        </w:rPr>
      </w:pPr>
    </w:p>
    <w:p w14:paraId="2A38AFE1" w14:textId="5E8D8BD7" w:rsidR="000A7622" w:rsidRPr="004D4CC9" w:rsidRDefault="000A7622" w:rsidP="00D14423">
      <w:pPr>
        <w:rPr>
          <w:rFonts w:cstheme="minorHAnsi"/>
          <w:sz w:val="24"/>
          <w:szCs w:val="24"/>
        </w:rPr>
      </w:pPr>
      <w:r w:rsidRPr="004D4CC9">
        <w:rPr>
          <w:rFonts w:cstheme="minorHAnsi"/>
          <w:i/>
          <w:sz w:val="24"/>
          <w:szCs w:val="24"/>
          <w:lang w:val="fr-FR"/>
        </w:rPr>
        <w:t>Journal</w:t>
      </w:r>
      <w:r w:rsidR="002667B6" w:rsidRPr="004D4CC9">
        <w:rPr>
          <w:rFonts w:cstheme="minorHAnsi"/>
          <w:i/>
          <w:sz w:val="24"/>
          <w:szCs w:val="24"/>
          <w:lang w:val="fr-FR"/>
        </w:rPr>
        <w:t xml:space="preserve"> of Ecology</w:t>
      </w:r>
      <w:r w:rsidRPr="004D4CC9">
        <w:rPr>
          <w:rFonts w:cstheme="minorHAnsi"/>
          <w:sz w:val="24"/>
          <w:szCs w:val="24"/>
          <w:lang w:val="fr-FR"/>
        </w:rPr>
        <w:t xml:space="preserve">, Vol. </w:t>
      </w:r>
      <w:r w:rsidR="001562F6" w:rsidRPr="004D4CC9">
        <w:rPr>
          <w:rFonts w:cstheme="minorHAnsi"/>
          <w:sz w:val="24"/>
          <w:szCs w:val="24"/>
          <w:lang w:val="fr-FR"/>
        </w:rPr>
        <w:t>95</w:t>
      </w:r>
      <w:r w:rsidRPr="004D4CC9">
        <w:rPr>
          <w:rFonts w:cstheme="minorHAnsi"/>
          <w:sz w:val="24"/>
          <w:szCs w:val="24"/>
          <w:lang w:val="fr-FR"/>
        </w:rPr>
        <w:t xml:space="preserve">, No. </w:t>
      </w:r>
      <w:r w:rsidR="001562F6" w:rsidRPr="004D4CC9">
        <w:rPr>
          <w:rFonts w:cstheme="minorHAnsi"/>
          <w:sz w:val="24"/>
          <w:szCs w:val="24"/>
          <w:lang w:val="fr-FR"/>
        </w:rPr>
        <w:t>2</w:t>
      </w:r>
      <w:r w:rsidRPr="004D4CC9">
        <w:rPr>
          <w:rFonts w:cstheme="minorHAnsi"/>
          <w:sz w:val="24"/>
          <w:szCs w:val="24"/>
          <w:lang w:val="fr-FR"/>
        </w:rPr>
        <w:t xml:space="preserve"> (</w:t>
      </w:r>
      <w:r w:rsidR="00D21E7F" w:rsidRPr="004D4CC9">
        <w:rPr>
          <w:rFonts w:cstheme="minorHAnsi"/>
          <w:sz w:val="24"/>
          <w:szCs w:val="24"/>
          <w:lang w:val="fr-FR"/>
        </w:rPr>
        <w:t>February</w:t>
      </w:r>
      <w:r w:rsidR="00493627" w:rsidRPr="004D4CC9">
        <w:rPr>
          <w:rFonts w:cstheme="minorHAnsi"/>
          <w:sz w:val="24"/>
          <w:szCs w:val="24"/>
          <w:lang w:val="fr-FR"/>
        </w:rPr>
        <w:t xml:space="preserve"> 12 2007</w:t>
      </w:r>
      <w:r w:rsidRPr="004D4CC9">
        <w:rPr>
          <w:rFonts w:cstheme="minorHAnsi"/>
          <w:sz w:val="24"/>
          <w:szCs w:val="24"/>
          <w:lang w:val="fr-FR"/>
        </w:rPr>
        <w:t>)</w:t>
      </w:r>
      <w:r w:rsidR="00E16307" w:rsidRPr="004D4CC9">
        <w:rPr>
          <w:rFonts w:cstheme="minorHAnsi"/>
          <w:sz w:val="24"/>
          <w:szCs w:val="24"/>
          <w:lang w:val="fr-FR"/>
        </w:rPr>
        <w:t xml:space="preserve"> </w:t>
      </w:r>
      <w:r w:rsidRPr="004D4CC9">
        <w:rPr>
          <w:rFonts w:cstheme="minorHAnsi"/>
          <w:sz w:val="24"/>
          <w:szCs w:val="24"/>
          <w:lang w:val="fr-FR"/>
        </w:rPr>
        <w:t xml:space="preserve">: </w:t>
      </w:r>
      <w:r w:rsidR="00E16307" w:rsidRPr="004D4CC9">
        <w:rPr>
          <w:rFonts w:cstheme="minorHAnsi"/>
          <w:sz w:val="24"/>
          <w:szCs w:val="24"/>
          <w:lang w:val="fr-FR"/>
        </w:rPr>
        <w:t>309</w:t>
      </w:r>
      <w:r w:rsidRPr="004D4CC9">
        <w:rPr>
          <w:rFonts w:cstheme="minorHAnsi"/>
          <w:sz w:val="24"/>
          <w:szCs w:val="24"/>
          <w:lang w:val="fr-FR"/>
        </w:rPr>
        <w:t>-</w:t>
      </w:r>
      <w:r w:rsidR="00E16307" w:rsidRPr="004D4CC9">
        <w:rPr>
          <w:rFonts w:cstheme="minorHAnsi"/>
          <w:sz w:val="24"/>
          <w:szCs w:val="24"/>
          <w:lang w:val="fr-FR"/>
        </w:rPr>
        <w:t>320</w:t>
      </w:r>
      <w:r w:rsidRPr="004D4CC9">
        <w:rPr>
          <w:rFonts w:cstheme="minorHAnsi"/>
          <w:sz w:val="24"/>
          <w:szCs w:val="24"/>
          <w:lang w:val="fr-FR"/>
        </w:rPr>
        <w:t xml:space="preserve">. </w:t>
      </w:r>
      <w:hyperlink r:id="rId8" w:history="1">
        <w:r w:rsidRPr="004D4CC9">
          <w:rPr>
            <w:rFonts w:cstheme="minorHAnsi"/>
            <w:color w:val="0563C1" w:themeColor="hyperlink"/>
            <w:sz w:val="24"/>
            <w:szCs w:val="24"/>
            <w:u w:val="single"/>
            <w:lang w:val="fr-FR"/>
          </w:rPr>
          <w:t>DOI</w:t>
        </w:r>
      </w:hyperlink>
      <w:r w:rsidRPr="004D4CC9">
        <w:rPr>
          <w:rFonts w:cstheme="minorHAnsi"/>
          <w:sz w:val="24"/>
          <w:szCs w:val="24"/>
          <w:lang w:val="fr-FR"/>
        </w:rPr>
        <w:t xml:space="preserve">. </w:t>
      </w:r>
      <w:r w:rsidRPr="004D4CC9">
        <w:rPr>
          <w:rFonts w:cstheme="minorHAnsi"/>
          <w:sz w:val="24"/>
          <w:szCs w:val="24"/>
        </w:rPr>
        <w:t xml:space="preserve">This article is © </w:t>
      </w:r>
      <w:r w:rsidR="00887B10" w:rsidRPr="004D4CC9">
        <w:rPr>
          <w:rFonts w:cstheme="minorHAnsi"/>
          <w:sz w:val="24"/>
          <w:szCs w:val="24"/>
        </w:rPr>
        <w:t>Wiley</w:t>
      </w:r>
      <w:r w:rsidRPr="004D4CC9">
        <w:rPr>
          <w:rFonts w:cstheme="minorHAnsi"/>
          <w:sz w:val="24"/>
          <w:szCs w:val="24"/>
        </w:rPr>
        <w:t xml:space="preserve"> and permission has been granted for this version to appear in </w:t>
      </w:r>
      <w:hyperlink r:id="rId9" w:history="1">
        <w:r w:rsidRPr="004D4CC9">
          <w:rPr>
            <w:rFonts w:cstheme="minorHAnsi"/>
            <w:color w:val="0563C1" w:themeColor="hyperlink"/>
            <w:sz w:val="24"/>
            <w:szCs w:val="24"/>
            <w:u w:val="single"/>
          </w:rPr>
          <w:t>e-Publications@Marquette</w:t>
        </w:r>
      </w:hyperlink>
      <w:r w:rsidRPr="004D4CC9">
        <w:rPr>
          <w:rFonts w:cstheme="minorHAnsi"/>
          <w:sz w:val="24"/>
          <w:szCs w:val="24"/>
        </w:rPr>
        <w:t xml:space="preserve">. </w:t>
      </w:r>
      <w:r w:rsidR="00887B10" w:rsidRPr="004D4CC9">
        <w:rPr>
          <w:rFonts w:cstheme="minorHAnsi"/>
          <w:sz w:val="24"/>
          <w:szCs w:val="24"/>
        </w:rPr>
        <w:t xml:space="preserve">Wiley </w:t>
      </w:r>
      <w:r w:rsidRPr="004D4CC9">
        <w:rPr>
          <w:rFonts w:cstheme="minorHAnsi"/>
          <w:sz w:val="24"/>
          <w:szCs w:val="24"/>
        </w:rPr>
        <w:t xml:space="preserve">does not grant permission for this article to be further copied/distributed or hosted elsewhere without the express permission from </w:t>
      </w:r>
      <w:r w:rsidR="00887B10" w:rsidRPr="004D4CC9">
        <w:rPr>
          <w:rFonts w:cstheme="minorHAnsi"/>
          <w:sz w:val="24"/>
          <w:szCs w:val="24"/>
        </w:rPr>
        <w:t>Wiley.</w:t>
      </w:r>
    </w:p>
    <w:p w14:paraId="2B158515" w14:textId="7D05AB5C" w:rsidR="009923C9" w:rsidRPr="004D4CC9" w:rsidRDefault="009923C9" w:rsidP="009923C9">
      <w:pPr>
        <w:pStyle w:val="Title"/>
        <w:rPr>
          <w:rFonts w:asciiTheme="minorHAnsi" w:hAnsiTheme="minorHAnsi" w:cstheme="minorHAnsi"/>
        </w:rPr>
      </w:pPr>
      <w:r w:rsidRPr="004D4CC9">
        <w:rPr>
          <w:rFonts w:asciiTheme="minorHAnsi" w:hAnsiTheme="minorHAnsi" w:cstheme="minorHAnsi"/>
        </w:rPr>
        <w:t xml:space="preserve">Is </w:t>
      </w:r>
      <w:r w:rsidR="003F3737" w:rsidRPr="004D4CC9">
        <w:rPr>
          <w:rFonts w:asciiTheme="minorHAnsi" w:hAnsiTheme="minorHAnsi" w:cstheme="minorHAnsi"/>
        </w:rPr>
        <w:t xml:space="preserve">Oak Establishment </w:t>
      </w:r>
      <w:r w:rsidRPr="004D4CC9">
        <w:rPr>
          <w:rFonts w:asciiTheme="minorHAnsi" w:hAnsiTheme="minorHAnsi" w:cstheme="minorHAnsi"/>
        </w:rPr>
        <w:t xml:space="preserve">in </w:t>
      </w:r>
      <w:r w:rsidR="003F3737" w:rsidRPr="004D4CC9">
        <w:rPr>
          <w:rFonts w:asciiTheme="minorHAnsi" w:hAnsiTheme="minorHAnsi" w:cstheme="minorHAnsi"/>
        </w:rPr>
        <w:t>Old</w:t>
      </w:r>
      <w:r w:rsidRPr="004D4CC9">
        <w:rPr>
          <w:rFonts w:asciiTheme="minorHAnsi" w:hAnsiTheme="minorHAnsi" w:cstheme="minorHAnsi"/>
        </w:rPr>
        <w:t xml:space="preserve">‐fields and </w:t>
      </w:r>
      <w:r w:rsidR="003F3737" w:rsidRPr="004D4CC9">
        <w:rPr>
          <w:rFonts w:asciiTheme="minorHAnsi" w:hAnsiTheme="minorHAnsi" w:cstheme="minorHAnsi"/>
        </w:rPr>
        <w:t>Savanna Openings Context Dependent</w:t>
      </w:r>
      <w:r w:rsidRPr="004D4CC9">
        <w:rPr>
          <w:rFonts w:asciiTheme="minorHAnsi" w:hAnsiTheme="minorHAnsi" w:cstheme="minorHAnsi"/>
        </w:rPr>
        <w:t>?</w:t>
      </w:r>
    </w:p>
    <w:p w14:paraId="3182C873" w14:textId="77777777" w:rsidR="008B7097" w:rsidRPr="004D4CC9" w:rsidRDefault="008B7097" w:rsidP="00D14423">
      <w:pPr>
        <w:rPr>
          <w:rFonts w:cstheme="minorHAnsi"/>
          <w:sz w:val="32"/>
          <w:szCs w:val="32"/>
        </w:rPr>
      </w:pPr>
    </w:p>
    <w:p w14:paraId="1B633399" w14:textId="77777777" w:rsidR="003F3737" w:rsidRPr="004D4CC9" w:rsidRDefault="00B63F45" w:rsidP="003F3737">
      <w:pPr>
        <w:spacing w:after="0"/>
        <w:rPr>
          <w:rFonts w:cstheme="minorHAnsi"/>
          <w:sz w:val="32"/>
          <w:szCs w:val="32"/>
        </w:rPr>
      </w:pPr>
      <w:r w:rsidRPr="004D4CC9">
        <w:rPr>
          <w:rFonts w:cstheme="minorHAnsi"/>
          <w:sz w:val="32"/>
          <w:szCs w:val="32"/>
        </w:rPr>
        <w:t>Ian A. Dickie</w:t>
      </w:r>
      <w:bookmarkStart w:id="3" w:name="_Hlk24374784"/>
    </w:p>
    <w:p w14:paraId="5764FC54" w14:textId="15BD5499" w:rsidR="009C6D78" w:rsidRPr="004D4CC9" w:rsidRDefault="00F330A0" w:rsidP="003F3737">
      <w:pPr>
        <w:spacing w:after="0"/>
        <w:rPr>
          <w:rFonts w:cstheme="minorHAnsi"/>
        </w:rPr>
      </w:pPr>
      <w:r w:rsidRPr="004D4CC9">
        <w:rPr>
          <w:rFonts w:cstheme="minorHAnsi"/>
        </w:rPr>
        <w:t>University of Minnesota, St Paul, MN</w:t>
      </w:r>
      <w:r w:rsidR="00CC663E" w:rsidRPr="004D4CC9">
        <w:rPr>
          <w:rFonts w:cstheme="minorHAnsi"/>
        </w:rPr>
        <w:t xml:space="preserve"> </w:t>
      </w:r>
      <w:bookmarkEnd w:id="3"/>
    </w:p>
    <w:p w14:paraId="38114DF5" w14:textId="7875B9C7" w:rsidR="009923C9" w:rsidRPr="004D4CC9" w:rsidRDefault="00291CC1" w:rsidP="003F3737">
      <w:pPr>
        <w:spacing w:after="0"/>
        <w:rPr>
          <w:rFonts w:cstheme="minorHAnsi"/>
        </w:rPr>
      </w:pPr>
      <w:r w:rsidRPr="004D4CC9">
        <w:rPr>
          <w:rFonts w:cstheme="minorHAnsi"/>
        </w:rPr>
        <w:t>Landcare Research, PO Box 40, Lincoln 7640, New Zealand</w:t>
      </w:r>
    </w:p>
    <w:p w14:paraId="7846DFA2" w14:textId="77777777" w:rsidR="003F3737" w:rsidRPr="004D4CC9" w:rsidRDefault="00525F42" w:rsidP="003F3737">
      <w:pPr>
        <w:spacing w:after="0"/>
        <w:rPr>
          <w:rFonts w:cstheme="minorHAnsi"/>
          <w:sz w:val="32"/>
          <w:szCs w:val="32"/>
        </w:rPr>
      </w:pPr>
      <w:r w:rsidRPr="004D4CC9">
        <w:rPr>
          <w:rFonts w:cstheme="minorHAnsi"/>
          <w:sz w:val="32"/>
          <w:szCs w:val="32"/>
        </w:rPr>
        <w:t>S.A. Schnitzer</w:t>
      </w:r>
    </w:p>
    <w:p w14:paraId="2CFA305F" w14:textId="01E2E3B9" w:rsidR="009C6D78" w:rsidRPr="004D4CC9" w:rsidRDefault="001C5E50" w:rsidP="003F3737">
      <w:pPr>
        <w:spacing w:after="0"/>
        <w:rPr>
          <w:rFonts w:cstheme="minorHAnsi"/>
          <w:sz w:val="24"/>
          <w:szCs w:val="24"/>
        </w:rPr>
      </w:pPr>
      <w:r w:rsidRPr="004D4CC9">
        <w:rPr>
          <w:rFonts w:cstheme="minorHAnsi"/>
          <w:sz w:val="24"/>
          <w:szCs w:val="24"/>
        </w:rPr>
        <w:t>University of Minnesota, St Paul, MN</w:t>
      </w:r>
      <w:r w:rsidR="009C6D78" w:rsidRPr="004D4CC9">
        <w:rPr>
          <w:rFonts w:cstheme="minorHAnsi"/>
          <w:sz w:val="24"/>
          <w:szCs w:val="24"/>
        </w:rPr>
        <w:t xml:space="preserve"> </w:t>
      </w:r>
    </w:p>
    <w:p w14:paraId="3CB894CE" w14:textId="4982761E" w:rsidR="00525F42" w:rsidRPr="004D4CC9" w:rsidRDefault="009C6D78" w:rsidP="003F3737">
      <w:pPr>
        <w:spacing w:after="0"/>
        <w:rPr>
          <w:rFonts w:cstheme="minorHAnsi"/>
        </w:rPr>
      </w:pPr>
      <w:r w:rsidRPr="004D4CC9">
        <w:rPr>
          <w:rFonts w:cstheme="minorHAnsi"/>
        </w:rPr>
        <w:t>Department of Biological Sciences, University of Wisconsin–Milwaukee, Milwaukee, WI</w:t>
      </w:r>
    </w:p>
    <w:p w14:paraId="53F991F7" w14:textId="77777777" w:rsidR="003F3737" w:rsidRPr="004D4CC9" w:rsidRDefault="0025564B" w:rsidP="003F3737">
      <w:pPr>
        <w:spacing w:after="0"/>
        <w:rPr>
          <w:rFonts w:cstheme="minorHAnsi"/>
          <w:sz w:val="32"/>
          <w:szCs w:val="32"/>
        </w:rPr>
      </w:pPr>
      <w:r w:rsidRPr="004D4CC9">
        <w:rPr>
          <w:rFonts w:cstheme="minorHAnsi"/>
          <w:sz w:val="32"/>
          <w:szCs w:val="32"/>
        </w:rPr>
        <w:t>P.B. Reich</w:t>
      </w:r>
    </w:p>
    <w:p w14:paraId="1326F8E9" w14:textId="4009D33D" w:rsidR="00525F42" w:rsidRPr="004D4CC9" w:rsidRDefault="001C5E50" w:rsidP="003F3737">
      <w:pPr>
        <w:spacing w:after="0"/>
        <w:rPr>
          <w:rFonts w:cstheme="minorHAnsi"/>
          <w:sz w:val="24"/>
          <w:szCs w:val="24"/>
        </w:rPr>
      </w:pPr>
      <w:r w:rsidRPr="004D4CC9">
        <w:rPr>
          <w:rFonts w:cstheme="minorHAnsi"/>
          <w:sz w:val="24"/>
          <w:szCs w:val="24"/>
        </w:rPr>
        <w:t>University of Minnesota, St Paul, MN</w:t>
      </w:r>
    </w:p>
    <w:p w14:paraId="2CF153F9" w14:textId="77777777" w:rsidR="003F3737" w:rsidRPr="004D4CC9" w:rsidRDefault="0025564B" w:rsidP="003F3737">
      <w:pPr>
        <w:spacing w:after="0"/>
        <w:rPr>
          <w:rFonts w:cstheme="minorHAnsi"/>
          <w:sz w:val="32"/>
          <w:szCs w:val="32"/>
        </w:rPr>
      </w:pPr>
      <w:r w:rsidRPr="004D4CC9">
        <w:rPr>
          <w:rFonts w:cstheme="minorHAnsi"/>
          <w:sz w:val="32"/>
          <w:szCs w:val="32"/>
        </w:rPr>
        <w:t xml:space="preserve">S.E. </w:t>
      </w:r>
      <w:proofErr w:type="spellStart"/>
      <w:r w:rsidRPr="004D4CC9">
        <w:rPr>
          <w:rFonts w:cstheme="minorHAnsi"/>
          <w:sz w:val="32"/>
          <w:szCs w:val="32"/>
        </w:rPr>
        <w:t>Hobbie</w:t>
      </w:r>
      <w:proofErr w:type="spellEnd"/>
    </w:p>
    <w:p w14:paraId="1D4D6AA4" w14:textId="412F53C5" w:rsidR="0025564B" w:rsidRPr="004D4CC9" w:rsidRDefault="001C5E50" w:rsidP="003F3737">
      <w:pPr>
        <w:spacing w:after="0"/>
        <w:rPr>
          <w:rFonts w:cstheme="minorHAnsi"/>
          <w:sz w:val="24"/>
          <w:szCs w:val="24"/>
        </w:rPr>
      </w:pPr>
      <w:r w:rsidRPr="004D4CC9">
        <w:rPr>
          <w:rFonts w:cstheme="minorHAnsi"/>
          <w:sz w:val="24"/>
          <w:szCs w:val="24"/>
        </w:rPr>
        <w:t>University of Minnesota, St Paul, MN</w:t>
      </w:r>
    </w:p>
    <w:p w14:paraId="4FAD7E03" w14:textId="77777777" w:rsidR="003F3737" w:rsidRPr="004D4CC9" w:rsidRDefault="003F3737" w:rsidP="00D14423">
      <w:pPr>
        <w:rPr>
          <w:rFonts w:cstheme="minorHAnsi"/>
          <w:sz w:val="24"/>
          <w:szCs w:val="24"/>
        </w:rPr>
      </w:pPr>
    </w:p>
    <w:bookmarkEnd w:id="2"/>
    <w:p w14:paraId="0E6474CF" w14:textId="77777777" w:rsidR="00B40B09" w:rsidRPr="004D4CC9" w:rsidRDefault="00B40B09" w:rsidP="00B40B09">
      <w:pPr>
        <w:pStyle w:val="Heading1"/>
        <w:rPr>
          <w:rFonts w:asciiTheme="minorHAnsi" w:hAnsiTheme="minorHAnsi" w:cstheme="minorHAnsi"/>
        </w:rPr>
      </w:pPr>
      <w:r w:rsidRPr="004D4CC9">
        <w:rPr>
          <w:rFonts w:asciiTheme="minorHAnsi" w:hAnsiTheme="minorHAnsi" w:cstheme="minorHAnsi"/>
        </w:rPr>
        <w:t>Summary</w:t>
      </w:r>
    </w:p>
    <w:p w14:paraId="44867615" w14:textId="77777777" w:rsidR="004D4CC9" w:rsidRPr="004D4CC9" w:rsidRDefault="00B40B09" w:rsidP="00B40B09">
      <w:pPr>
        <w:pStyle w:val="ListParagraph"/>
        <w:numPr>
          <w:ilvl w:val="0"/>
          <w:numId w:val="7"/>
        </w:numPr>
        <w:rPr>
          <w:rFonts w:cstheme="minorHAnsi"/>
        </w:rPr>
      </w:pPr>
      <w:r w:rsidRPr="004D4CC9">
        <w:rPr>
          <w:rFonts w:cstheme="minorHAnsi"/>
        </w:rPr>
        <w:t xml:space="preserve">Multiple factors are known to influence tree seedling establishment, yet the degree to which these factors depend on each other and on spatial context is largely unknown. We examined the influence of herbaceous competition and water and nitrogen limitations on tree seedling establishment as functions </w:t>
      </w:r>
      <w:r w:rsidRPr="004D4CC9">
        <w:rPr>
          <w:rFonts w:cstheme="minorHAnsi"/>
        </w:rPr>
        <w:lastRenderedPageBreak/>
        <w:t>of distance from trees (within‐site spatial context) and site history (between‐site spatial context; as old‐fields vs. savanna openings).</w:t>
      </w:r>
    </w:p>
    <w:p w14:paraId="2186F19E" w14:textId="77777777" w:rsidR="004D4CC9" w:rsidRPr="004D4CC9" w:rsidRDefault="00B40B09" w:rsidP="00B40B09">
      <w:pPr>
        <w:pStyle w:val="ListParagraph"/>
        <w:numPr>
          <w:ilvl w:val="0"/>
          <w:numId w:val="7"/>
        </w:numPr>
        <w:rPr>
          <w:rFonts w:cstheme="minorHAnsi"/>
        </w:rPr>
      </w:pPr>
      <w:r w:rsidRPr="004D4CC9">
        <w:rPr>
          <w:rFonts w:cstheme="minorHAnsi"/>
        </w:rPr>
        <w:t>We grew </w:t>
      </w:r>
      <w:r w:rsidRPr="004D4CC9">
        <w:rPr>
          <w:rFonts w:cstheme="minorHAnsi"/>
          <w:i/>
          <w:iCs/>
        </w:rPr>
        <w:t xml:space="preserve">Quercus </w:t>
      </w:r>
      <w:proofErr w:type="spellStart"/>
      <w:r w:rsidRPr="004D4CC9">
        <w:rPr>
          <w:rFonts w:cstheme="minorHAnsi"/>
          <w:i/>
          <w:iCs/>
        </w:rPr>
        <w:t>ellipsoidalis</w:t>
      </w:r>
      <w:proofErr w:type="spellEnd"/>
      <w:r w:rsidRPr="004D4CC9">
        <w:rPr>
          <w:rFonts w:cstheme="minorHAnsi"/>
        </w:rPr>
        <w:t> E.J. Hill (pin oak) and </w:t>
      </w:r>
      <w:r w:rsidRPr="004D4CC9">
        <w:rPr>
          <w:rFonts w:cstheme="minorHAnsi"/>
          <w:i/>
          <w:iCs/>
        </w:rPr>
        <w:t>Q. macrocarpa</w:t>
      </w:r>
      <w:r w:rsidRPr="004D4CC9">
        <w:rPr>
          <w:rFonts w:cstheme="minorHAnsi"/>
        </w:rPr>
        <w:t> Michx. (bur oak) seedlings for 3 years in abandoned agricultural fields and savannas in central Minnesota, USA, near and distant from adult oak trees, with and without water and nitrogen resource additions, and with and without clipping of herbaceous vegetation (reducing above‐ground competition).</w:t>
      </w:r>
    </w:p>
    <w:p w14:paraId="19697209" w14:textId="77777777" w:rsidR="004D4CC9" w:rsidRPr="004D4CC9" w:rsidRDefault="00B40B09" w:rsidP="00B40B09">
      <w:pPr>
        <w:pStyle w:val="ListParagraph"/>
        <w:numPr>
          <w:ilvl w:val="0"/>
          <w:numId w:val="7"/>
        </w:numPr>
        <w:rPr>
          <w:rFonts w:cstheme="minorHAnsi"/>
        </w:rPr>
      </w:pPr>
      <w:r w:rsidRPr="004D4CC9">
        <w:rPr>
          <w:rFonts w:cstheme="minorHAnsi"/>
        </w:rPr>
        <w:t>The strongest treatment effects were found in response to distance from trees and clipping herbaceous vegetation. Ectomycorrhizal infection, year 1 foliar N concentrations, and survival were greater in seedlings growing near vs. distant from adult trees, while clipping herbaceous vegetation increased above‐ground seedling biomass but reduced seedling heights, regardless of distance from adult trees.</w:t>
      </w:r>
    </w:p>
    <w:p w14:paraId="56BA64B8" w14:textId="77777777" w:rsidR="004D4CC9" w:rsidRPr="004D4CC9" w:rsidRDefault="00B40B09" w:rsidP="00B40B09">
      <w:pPr>
        <w:pStyle w:val="ListParagraph"/>
        <w:numPr>
          <w:ilvl w:val="0"/>
          <w:numId w:val="7"/>
        </w:numPr>
        <w:rPr>
          <w:rFonts w:cstheme="minorHAnsi"/>
        </w:rPr>
      </w:pPr>
      <w:r w:rsidRPr="004D4CC9">
        <w:rPr>
          <w:rFonts w:cstheme="minorHAnsi"/>
        </w:rPr>
        <w:t>There were conflicting effects of resource addition, which were dependent on clipping of herbaceous vegetation and site (savanna vs. old‐field).</w:t>
      </w:r>
    </w:p>
    <w:p w14:paraId="7A9F59D6" w14:textId="77777777" w:rsidR="004D4CC9" w:rsidRPr="004D4CC9" w:rsidRDefault="00B40B09" w:rsidP="00B40B09">
      <w:pPr>
        <w:pStyle w:val="ListParagraph"/>
        <w:numPr>
          <w:ilvl w:val="0"/>
          <w:numId w:val="7"/>
        </w:numPr>
        <w:rPr>
          <w:rFonts w:cstheme="minorHAnsi"/>
        </w:rPr>
      </w:pPr>
      <w:r w:rsidRPr="004D4CC9">
        <w:rPr>
          <w:rFonts w:cstheme="minorHAnsi"/>
        </w:rPr>
        <w:t>Distance from adult trees and clipping herbaceous vegetation appear to have largely independent effects. Thus, while being near trees benefits seedlings, probably via increased mycorrhizal infection, competition from herbaceous vegetation limits seedlings regardless of distance from trees. In contrast, the effects of resource addition were more context dependent, interacting significantly with herbaceous context and site.</w:t>
      </w:r>
    </w:p>
    <w:p w14:paraId="3975A69A" w14:textId="7948D84F" w:rsidR="00B40B09" w:rsidRPr="004D4CC9" w:rsidRDefault="00B40B09" w:rsidP="00B40B09">
      <w:pPr>
        <w:pStyle w:val="ListParagraph"/>
        <w:numPr>
          <w:ilvl w:val="0"/>
          <w:numId w:val="7"/>
        </w:numPr>
        <w:rPr>
          <w:rFonts w:cstheme="minorHAnsi"/>
        </w:rPr>
      </w:pPr>
      <w:r w:rsidRPr="004D4CC9">
        <w:rPr>
          <w:rFonts w:cstheme="minorHAnsi"/>
        </w:rPr>
        <w:t>The factors influencing seedling success can perhaps be best conceptualized as a series of largely independent environmental filters: seedlings near trees have increased mycorrhizal infection, nutrient uptake and survival, but face competition from herbaceous vegetation regardless of distance from trees. The slow encroachment of woody vegetation into old‐fields and savanna openings in this region is likely to be the result of the net cumulative effect of such filters.</w:t>
      </w:r>
    </w:p>
    <w:p w14:paraId="746B14FE" w14:textId="77777777" w:rsidR="00B30EF0" w:rsidRPr="004D4CC9" w:rsidRDefault="00B30EF0" w:rsidP="009C6D78">
      <w:pPr>
        <w:pStyle w:val="Heading1"/>
        <w:rPr>
          <w:rFonts w:asciiTheme="minorHAnsi" w:hAnsiTheme="minorHAnsi" w:cstheme="minorHAnsi"/>
        </w:rPr>
      </w:pPr>
      <w:r w:rsidRPr="004D4CC9">
        <w:rPr>
          <w:rFonts w:asciiTheme="minorHAnsi" w:hAnsiTheme="minorHAnsi" w:cstheme="minorHAnsi"/>
        </w:rPr>
        <w:t>Introduction</w:t>
      </w:r>
    </w:p>
    <w:p w14:paraId="4B114D5B" w14:textId="77777777" w:rsidR="00B30EF0" w:rsidRPr="004D4CC9" w:rsidRDefault="00B30EF0" w:rsidP="006D3270">
      <w:pPr>
        <w:rPr>
          <w:rFonts w:cstheme="minorHAnsi"/>
          <w:color w:val="1C1D1E"/>
        </w:rPr>
      </w:pPr>
      <w:r w:rsidRPr="004D4CC9">
        <w:rPr>
          <w:rFonts w:cstheme="minorHAnsi"/>
          <w:color w:val="1C1D1E"/>
        </w:rPr>
        <w:t>Context‐dependent effects are central to many theories in plant ecology, including facilitation (</w:t>
      </w:r>
      <w:hyperlink r:id="rId10" w:anchor="b1" w:history="1">
        <w:r w:rsidRPr="004D4CC9">
          <w:rPr>
            <w:rStyle w:val="Hyperlink"/>
            <w:rFonts w:eastAsiaTheme="majorEastAsia" w:cstheme="minorHAnsi"/>
            <w:b/>
            <w:bCs/>
            <w:color w:val="000000"/>
          </w:rPr>
          <w:t>Callaway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2002</w:t>
        </w:r>
      </w:hyperlink>
      <w:r w:rsidRPr="004D4CC9">
        <w:rPr>
          <w:rFonts w:cstheme="minorHAnsi"/>
          <w:color w:val="1C1D1E"/>
        </w:rPr>
        <w:t>; </w:t>
      </w:r>
      <w:hyperlink r:id="rId11" w:anchor="b2" w:history="1">
        <w:r w:rsidRPr="004D4CC9">
          <w:rPr>
            <w:rStyle w:val="Hyperlink"/>
            <w:rFonts w:eastAsiaTheme="majorEastAsia" w:cstheme="minorHAnsi"/>
            <w:b/>
            <w:bCs/>
            <w:color w:val="000000"/>
          </w:rPr>
          <w:t>Maestre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color w:val="1C1D1E"/>
        </w:rPr>
        <w:t>) and competition (</w:t>
      </w:r>
      <w:hyperlink r:id="rId12" w:anchor="b3" w:history="1">
        <w:r w:rsidRPr="004D4CC9">
          <w:rPr>
            <w:rStyle w:val="Hyperlink"/>
            <w:rFonts w:eastAsiaTheme="majorEastAsia" w:cstheme="minorHAnsi"/>
            <w:b/>
            <w:bCs/>
            <w:color w:val="000000"/>
          </w:rPr>
          <w:t>Craine 2005</w:t>
        </w:r>
      </w:hyperlink>
      <w:r w:rsidRPr="004D4CC9">
        <w:rPr>
          <w:rFonts w:cstheme="minorHAnsi"/>
          <w:color w:val="1C1D1E"/>
        </w:rPr>
        <w:t>); yet, by necessity, many studies in ecology focus on only one or a few factors at a time. We studied oak seedling encroachment into grasslands as a system to understand the interactions and contexts of multiple factors influencing seedling success. Globally there has been increasing encroachment of woody plants into grasslands, causing changes in carbon storage (</w:t>
      </w:r>
      <w:hyperlink r:id="rId13" w:anchor="b4" w:history="1">
        <w:r w:rsidRPr="004D4CC9">
          <w:rPr>
            <w:rStyle w:val="Hyperlink"/>
            <w:rFonts w:eastAsiaTheme="majorEastAsia" w:cstheme="minorHAnsi"/>
            <w:b/>
            <w:bCs/>
            <w:color w:val="000000"/>
          </w:rPr>
          <w:t>Chapela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2001</w:t>
        </w:r>
      </w:hyperlink>
      <w:r w:rsidRPr="004D4CC9">
        <w:rPr>
          <w:rFonts w:cstheme="minorHAnsi"/>
          <w:color w:val="1C1D1E"/>
        </w:rPr>
        <w:t>; </w:t>
      </w:r>
      <w:hyperlink r:id="rId14" w:anchor="b5" w:history="1">
        <w:r w:rsidRPr="004D4CC9">
          <w:rPr>
            <w:rStyle w:val="Hyperlink"/>
            <w:rFonts w:eastAsiaTheme="majorEastAsia" w:cstheme="minorHAnsi"/>
            <w:b/>
            <w:bCs/>
            <w:color w:val="000000"/>
          </w:rPr>
          <w:t>Jackson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2002</w:t>
        </w:r>
      </w:hyperlink>
      <w:r w:rsidRPr="004D4CC9">
        <w:rPr>
          <w:rFonts w:cstheme="minorHAnsi"/>
          <w:color w:val="1C1D1E"/>
        </w:rPr>
        <w:t>), herbaceous plant communities (</w:t>
      </w:r>
      <w:hyperlink r:id="rId15" w:anchor="b6" w:history="1">
        <w:r w:rsidRPr="004D4CC9">
          <w:rPr>
            <w:rStyle w:val="Hyperlink"/>
            <w:rFonts w:eastAsiaTheme="majorEastAsia" w:cstheme="minorHAnsi"/>
            <w:b/>
            <w:bCs/>
            <w:color w:val="000000"/>
          </w:rPr>
          <w:t>Van Auken 2000</w:t>
        </w:r>
      </w:hyperlink>
      <w:r w:rsidRPr="004D4CC9">
        <w:rPr>
          <w:rFonts w:cstheme="minorHAnsi"/>
          <w:color w:val="1C1D1E"/>
        </w:rPr>
        <w:t>) and ecosystem function (</w:t>
      </w:r>
      <w:hyperlink r:id="rId16" w:anchor="b7" w:history="1">
        <w:r w:rsidRPr="004D4CC9">
          <w:rPr>
            <w:rStyle w:val="Hyperlink"/>
            <w:rFonts w:eastAsiaTheme="majorEastAsia" w:cstheme="minorHAnsi"/>
            <w:b/>
            <w:bCs/>
            <w:color w:val="000000"/>
          </w:rPr>
          <w:t>McCulley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2004</w:t>
        </w:r>
      </w:hyperlink>
      <w:r w:rsidRPr="004D4CC9">
        <w:rPr>
          <w:rFonts w:cstheme="minorHAnsi"/>
          <w:color w:val="1C1D1E"/>
        </w:rPr>
        <w:t>). There are, however, some notable exceptions to the trend of woody encroachment. For example, abandoned agricultural fields (old‐fields) and large savanna openings in parts of the mid‐western USA appear to be in a state of arrested succession (</w:t>
      </w:r>
      <w:hyperlink r:id="rId17" w:anchor="f1" w:history="1">
        <w:r w:rsidRPr="004D4CC9">
          <w:rPr>
            <w:rStyle w:val="Hyperlink"/>
            <w:rFonts w:eastAsiaTheme="majorEastAsia" w:cstheme="minorHAnsi"/>
            <w:b/>
            <w:bCs/>
            <w:color w:val="005274"/>
          </w:rPr>
          <w:t>Fig. 1</w:t>
        </w:r>
      </w:hyperlink>
      <w:r w:rsidRPr="004D4CC9">
        <w:rPr>
          <w:rFonts w:cstheme="minorHAnsi"/>
          <w:color w:val="1C1D1E"/>
        </w:rPr>
        <w:t>), with tree establishment (mostly oaks) largely restricted to a narrow peripheral band (</w:t>
      </w:r>
      <w:hyperlink r:id="rId18" w:anchor="b8"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color w:val="1C1D1E"/>
        </w:rPr>
        <w:t>).</w:t>
      </w:r>
    </w:p>
    <w:p w14:paraId="71D18A47" w14:textId="42B769A2" w:rsidR="00B30EF0" w:rsidRPr="004D4CC9" w:rsidRDefault="00B30EF0" w:rsidP="004D4CC9">
      <w:pPr>
        <w:shd w:val="clear" w:color="auto" w:fill="FFFFFF"/>
        <w:spacing w:after="0"/>
        <w:rPr>
          <w:rFonts w:cstheme="minorHAnsi"/>
          <w:color w:val="1C1D1E"/>
        </w:rPr>
      </w:pPr>
      <w:r w:rsidRPr="004D4CC9">
        <w:rPr>
          <w:rFonts w:cstheme="minorHAnsi"/>
          <w:noProof/>
          <w:color w:val="005274"/>
        </w:rPr>
        <w:drawing>
          <wp:inline distT="0" distB="0" distL="0" distR="0" wp14:anchorId="6178AFEB" wp14:editId="74D5B1F4">
            <wp:extent cx="1828800" cy="2715768"/>
            <wp:effectExtent l="0" t="0" r="0" b="8890"/>
            <wp:docPr id="5" name="Picture 5"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28800" cy="2715768"/>
                    </a:xfrm>
                    <a:prstGeom prst="rect">
                      <a:avLst/>
                    </a:prstGeom>
                    <a:noFill/>
                    <a:ln>
                      <a:noFill/>
                    </a:ln>
                  </pic:spPr>
                </pic:pic>
              </a:graphicData>
            </a:graphic>
          </wp:inline>
        </w:drawing>
      </w:r>
    </w:p>
    <w:p w14:paraId="290D2FFD" w14:textId="5424980C" w:rsidR="00B30EF0" w:rsidRDefault="00B30EF0" w:rsidP="004D4CC9">
      <w:pPr>
        <w:pStyle w:val="NoSpacing"/>
      </w:pPr>
      <w:r w:rsidRPr="004D4CC9">
        <w:rPr>
          <w:rStyle w:val="Strong"/>
          <w:rFonts w:cstheme="minorHAnsi"/>
          <w:color w:val="212121"/>
        </w:rPr>
        <w:t>Figure 1</w:t>
      </w:r>
      <w:r w:rsidR="004D4CC9">
        <w:rPr>
          <w:rStyle w:val="Strong"/>
          <w:rFonts w:cstheme="minorHAnsi"/>
          <w:color w:val="212121"/>
        </w:rPr>
        <w:t xml:space="preserve"> </w:t>
      </w:r>
      <w:r w:rsidRPr="004D4CC9">
        <w:t>Old‐field 56, top, was abandoned from agriculture in 1958, yet oak regeneration is limited to a narrow band at the forest edge (visible at right edge of photograph). Large openings also occur in oak savannas, such as savanna site 106 (bottom).</w:t>
      </w:r>
    </w:p>
    <w:p w14:paraId="1AE9ECE3" w14:textId="77777777" w:rsidR="004D4CC9" w:rsidRPr="004D4CC9" w:rsidRDefault="004D4CC9" w:rsidP="006D3270">
      <w:pPr>
        <w:rPr>
          <w:rFonts w:cstheme="minorHAnsi"/>
          <w:color w:val="1C1D1E"/>
        </w:rPr>
      </w:pPr>
    </w:p>
    <w:p w14:paraId="79F6C1C4" w14:textId="77777777" w:rsidR="00B30EF0" w:rsidRPr="004D4CC9" w:rsidRDefault="00B30EF0" w:rsidP="006D3270">
      <w:pPr>
        <w:rPr>
          <w:rFonts w:cstheme="minorHAnsi"/>
        </w:rPr>
      </w:pPr>
      <w:r w:rsidRPr="004D4CC9">
        <w:rPr>
          <w:rFonts w:cstheme="minorHAnsi"/>
        </w:rPr>
        <w:t>Various explanations for the limited establishment of trees in old‐fields have been proposed, including herbaceous competition, resource limitation, dispersal limitation, herbivory and a lack of mycorrhizal symbionts (e.g. </w:t>
      </w:r>
      <w:hyperlink r:id="rId20" w:anchor="b9" w:history="1">
        <w:r w:rsidRPr="004D4CC9">
          <w:rPr>
            <w:rStyle w:val="Hyperlink"/>
            <w:rFonts w:eastAsiaTheme="majorEastAsia" w:cstheme="minorHAnsi"/>
            <w:b/>
            <w:bCs/>
            <w:color w:val="000000"/>
          </w:rPr>
          <w:t>Inouye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1994</w:t>
        </w:r>
      </w:hyperlink>
      <w:r w:rsidRPr="004D4CC9">
        <w:rPr>
          <w:rFonts w:cstheme="minorHAnsi"/>
        </w:rPr>
        <w:t>; </w:t>
      </w:r>
      <w:hyperlink r:id="rId21" w:anchor="b10" w:history="1">
        <w:r w:rsidRPr="004D4CC9">
          <w:rPr>
            <w:rStyle w:val="Hyperlink"/>
            <w:rFonts w:eastAsiaTheme="majorEastAsia" w:cstheme="minorHAnsi"/>
            <w:b/>
            <w:bCs/>
            <w:color w:val="000000"/>
          </w:rPr>
          <w:t>Weltzin &amp; McPherson 1999</w:t>
        </w:r>
      </w:hyperlink>
      <w:r w:rsidRPr="004D4CC9">
        <w:rPr>
          <w:rFonts w:cstheme="minorHAnsi"/>
        </w:rPr>
        <w:t>; </w:t>
      </w:r>
      <w:hyperlink r:id="rId22" w:anchor="b11" w:history="1">
        <w:r w:rsidRPr="004D4CC9">
          <w:rPr>
            <w:rStyle w:val="Hyperlink"/>
            <w:rFonts w:eastAsiaTheme="majorEastAsia" w:cstheme="minorHAnsi"/>
            <w:b/>
            <w:bCs/>
            <w:color w:val="000000"/>
          </w:rPr>
          <w:t>Dickie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Herbaceous competition is known to be an important limitation on seedling establishment, both in these sites (</w:t>
      </w:r>
      <w:hyperlink r:id="rId23" w:anchor="b12"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1999</w:t>
        </w:r>
      </w:hyperlink>
      <w:r w:rsidRPr="004D4CC9">
        <w:rPr>
          <w:rFonts w:cstheme="minorHAnsi"/>
        </w:rPr>
        <w:t>; </w:t>
      </w:r>
      <w:hyperlink r:id="rId24" w:anchor="b8"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and in other tree‐grass systems (</w:t>
      </w:r>
      <w:hyperlink r:id="rId25" w:anchor="b13" w:history="1">
        <w:r w:rsidRPr="004D4CC9">
          <w:rPr>
            <w:rStyle w:val="Hyperlink"/>
            <w:rFonts w:eastAsiaTheme="majorEastAsia" w:cstheme="minorHAnsi"/>
            <w:b/>
            <w:bCs/>
            <w:color w:val="000000"/>
          </w:rPr>
          <w:t>Hooper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w:t>
      </w:r>
      <w:hyperlink r:id="rId26" w:anchor="b14" w:history="1">
        <w:r w:rsidRPr="004D4CC9">
          <w:rPr>
            <w:rStyle w:val="Hyperlink"/>
            <w:rFonts w:eastAsiaTheme="majorEastAsia" w:cstheme="minorHAnsi"/>
            <w:b/>
            <w:bCs/>
            <w:color w:val="000000"/>
          </w:rPr>
          <w:t>Sharam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2006</w:t>
        </w:r>
      </w:hyperlink>
      <w:r w:rsidRPr="004D4CC9">
        <w:rPr>
          <w:rFonts w:cstheme="minorHAnsi"/>
        </w:rPr>
        <w:t>). Nitrogen is also an important limitation in these systems; however, the effects of increased nitrogen on oak seedlings can be neutral or negative due to increased competition with herbaceous vegetation (</w:t>
      </w:r>
      <w:hyperlink r:id="rId27" w:anchor="b9" w:history="1">
        <w:r w:rsidRPr="004D4CC9">
          <w:rPr>
            <w:rStyle w:val="Hyperlink"/>
            <w:rFonts w:eastAsiaTheme="majorEastAsia" w:cstheme="minorHAnsi"/>
            <w:b/>
            <w:bCs/>
            <w:color w:val="000000"/>
          </w:rPr>
          <w:t>Inouye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1994</w:t>
        </w:r>
      </w:hyperlink>
      <w:r w:rsidRPr="004D4CC9">
        <w:rPr>
          <w:rFonts w:cstheme="minorHAnsi"/>
        </w:rPr>
        <w:t>; </w:t>
      </w:r>
      <w:hyperlink r:id="rId28" w:anchor="b12"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1999</w:t>
        </w:r>
      </w:hyperlink>
      <w:r w:rsidRPr="004D4CC9">
        <w:rPr>
          <w:rFonts w:cstheme="minorHAnsi"/>
        </w:rPr>
        <w:t>; </w:t>
      </w:r>
      <w:hyperlink r:id="rId29" w:anchor="b15" w:history="1">
        <w:r w:rsidRPr="004D4CC9">
          <w:rPr>
            <w:rStyle w:val="Hyperlink"/>
            <w:rFonts w:eastAsiaTheme="majorEastAsia" w:cstheme="minorHAnsi"/>
            <w:b/>
            <w:bCs/>
            <w:color w:val="000000"/>
          </w:rPr>
          <w:t>Lawson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1999</w:t>
        </w:r>
      </w:hyperlink>
      <w:r w:rsidRPr="004D4CC9">
        <w:rPr>
          <w:rFonts w:cstheme="minorHAnsi"/>
        </w:rPr>
        <w:t>). Mycorrhizal inoculum has also been shown to be low on seedlings distant from trees (</w:t>
      </w:r>
      <w:hyperlink r:id="rId30" w:anchor="b11" w:history="1">
        <w:r w:rsidRPr="004D4CC9">
          <w:rPr>
            <w:rStyle w:val="Hyperlink"/>
            <w:rFonts w:eastAsiaTheme="majorEastAsia" w:cstheme="minorHAnsi"/>
            <w:b/>
            <w:bCs/>
            <w:color w:val="000000"/>
          </w:rPr>
          <w:t>Dickie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which might be expected to influence both resource limitation and competitive interactions of oak seedlings with herbaceous vegetation. A local‐scale, lack of mycorrhizal infection distant from established trees has been implicated in the failure of regeneration in many other tree species (</w:t>
      </w:r>
      <w:hyperlink r:id="rId31" w:anchor="b16" w:history="1">
        <w:r w:rsidRPr="004D4CC9">
          <w:rPr>
            <w:rStyle w:val="Hyperlink"/>
            <w:rFonts w:eastAsiaTheme="majorEastAsia" w:cstheme="minorHAnsi"/>
            <w:b/>
            <w:bCs/>
            <w:color w:val="000000"/>
          </w:rPr>
          <w:t>Baylis 1980</w:t>
        </w:r>
      </w:hyperlink>
      <w:r w:rsidRPr="004D4CC9">
        <w:rPr>
          <w:rFonts w:cstheme="minorHAnsi"/>
        </w:rPr>
        <w:t>; </w:t>
      </w:r>
      <w:hyperlink r:id="rId32" w:anchor="b17" w:history="1">
        <w:r w:rsidRPr="004D4CC9">
          <w:rPr>
            <w:rStyle w:val="Hyperlink"/>
            <w:rFonts w:eastAsiaTheme="majorEastAsia" w:cstheme="minorHAnsi"/>
            <w:b/>
            <w:bCs/>
            <w:color w:val="000000"/>
          </w:rPr>
          <w:t>Perry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1989</w:t>
        </w:r>
      </w:hyperlink>
      <w:r w:rsidRPr="004D4CC9">
        <w:rPr>
          <w:rFonts w:cstheme="minorHAnsi"/>
        </w:rPr>
        <w:t>; </w:t>
      </w:r>
      <w:hyperlink r:id="rId33" w:anchor="b18" w:history="1">
        <w:r w:rsidRPr="004D4CC9">
          <w:rPr>
            <w:rStyle w:val="Hyperlink"/>
            <w:rFonts w:eastAsiaTheme="majorEastAsia" w:cstheme="minorHAnsi"/>
            <w:b/>
            <w:bCs/>
            <w:color w:val="000000"/>
          </w:rPr>
          <w:t>Terwilliger &amp; Pastor 1999</w:t>
        </w:r>
      </w:hyperlink>
      <w:r w:rsidRPr="004D4CC9">
        <w:rPr>
          <w:rFonts w:cstheme="minorHAnsi"/>
        </w:rPr>
        <w:t>; </w:t>
      </w:r>
      <w:hyperlink r:id="rId34" w:anchor="b19" w:history="1">
        <w:r w:rsidRPr="004D4CC9">
          <w:rPr>
            <w:rStyle w:val="Hyperlink"/>
            <w:rFonts w:eastAsiaTheme="majorEastAsia" w:cstheme="minorHAnsi"/>
            <w:b/>
            <w:bCs/>
            <w:color w:val="000000"/>
          </w:rPr>
          <w:t>Nara &amp; Hogetsu 2004</w:t>
        </w:r>
      </w:hyperlink>
      <w:r w:rsidRPr="004D4CC9">
        <w:rPr>
          <w:rFonts w:cstheme="minorHAnsi"/>
        </w:rPr>
        <w:t>) and can be an important factor in succession (</w:t>
      </w:r>
      <w:hyperlink r:id="rId35" w:anchor="b20" w:history="1">
        <w:r w:rsidRPr="004D4CC9">
          <w:rPr>
            <w:rStyle w:val="Hyperlink"/>
            <w:rFonts w:eastAsiaTheme="majorEastAsia" w:cstheme="minorHAnsi"/>
            <w:b/>
            <w:bCs/>
            <w:color w:val="000000"/>
          </w:rPr>
          <w:t>Nara 2005</w:t>
        </w:r>
      </w:hyperlink>
      <w:r w:rsidRPr="004D4CC9">
        <w:rPr>
          <w:rFonts w:cstheme="minorHAnsi"/>
        </w:rPr>
        <w:t>).</w:t>
      </w:r>
    </w:p>
    <w:p w14:paraId="0A7479A3" w14:textId="77777777" w:rsidR="00B30EF0" w:rsidRPr="004D4CC9" w:rsidRDefault="00B30EF0" w:rsidP="006D3270">
      <w:pPr>
        <w:rPr>
          <w:rFonts w:cstheme="minorHAnsi"/>
        </w:rPr>
      </w:pPr>
      <w:r w:rsidRPr="004D4CC9">
        <w:rPr>
          <w:rFonts w:cstheme="minorHAnsi"/>
        </w:rPr>
        <w:t>What is unclear from prior studies is whether, and how, the factors influencing seedlings interact with each other and with the spatial context in which they occur. We expected that the factors influencing seedling success would be strongly context dependent (as in </w:t>
      </w:r>
      <w:hyperlink r:id="rId36" w:anchor="b12"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1999</w:t>
        </w:r>
      </w:hyperlink>
      <w:r w:rsidRPr="004D4CC9">
        <w:rPr>
          <w:rFonts w:cstheme="minorHAnsi"/>
        </w:rPr>
        <w:t>), particularly spatially within sites (whether seedlings were near or distant from established trees), and between sites with different histories (i.e. whether the opening was an old‐field or a savanna opening). To test this, we manipulated three factors believed to be important in seedling establishment: herbaceous competition (by clipping), water availability (by watering) and nitrogen availability (by adding fertilizer) within two spatial‐contexts: whether seedlings were near or distant from established trees (within‐site spatial context) and whether the site was an old‐field or savanna opening (between‐site spatial context).</w:t>
      </w:r>
    </w:p>
    <w:p w14:paraId="316B1864" w14:textId="77777777" w:rsidR="00B30EF0" w:rsidRPr="004D4CC9" w:rsidRDefault="00B30EF0" w:rsidP="006D3270">
      <w:pPr>
        <w:rPr>
          <w:rFonts w:cstheme="minorHAnsi"/>
        </w:rPr>
      </w:pPr>
      <w:r w:rsidRPr="004D4CC9">
        <w:rPr>
          <w:rFonts w:cstheme="minorHAnsi"/>
        </w:rPr>
        <w:t>We expected that the factors limiting oak seedlings would vary with distance from adult trees because of the myriad ways that trees influence the abiotic and biotic environment (</w:t>
      </w:r>
      <w:hyperlink r:id="rId37" w:anchor="b21" w:history="1">
        <w:r w:rsidRPr="004D4CC9">
          <w:rPr>
            <w:rStyle w:val="Hyperlink"/>
            <w:rFonts w:eastAsiaTheme="majorEastAsia" w:cstheme="minorHAnsi"/>
            <w:b/>
            <w:bCs/>
            <w:color w:val="000000"/>
          </w:rPr>
          <w:t>Ehrenfeld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For example, trees shade seedlings (</w:t>
      </w:r>
      <w:hyperlink r:id="rId38" w:anchor="b10" w:history="1">
        <w:r w:rsidRPr="004D4CC9">
          <w:rPr>
            <w:rStyle w:val="Hyperlink"/>
            <w:rFonts w:eastAsiaTheme="majorEastAsia" w:cstheme="minorHAnsi"/>
            <w:b/>
            <w:bCs/>
            <w:color w:val="000000"/>
          </w:rPr>
          <w:t>Weltzin &amp; McPherson 1999</w:t>
        </w:r>
      </w:hyperlink>
      <w:r w:rsidRPr="004D4CC9">
        <w:rPr>
          <w:rFonts w:cstheme="minorHAnsi"/>
        </w:rPr>
        <w:t>), compete below ground (</w:t>
      </w:r>
      <w:hyperlink r:id="rId39" w:anchor="b22" w:history="1">
        <w:r w:rsidRPr="004D4CC9">
          <w:rPr>
            <w:rStyle w:val="Hyperlink"/>
            <w:rFonts w:eastAsiaTheme="majorEastAsia" w:cstheme="minorHAnsi"/>
            <w:b/>
            <w:bCs/>
            <w:color w:val="000000"/>
          </w:rPr>
          <w:t>Coomes &amp; Grubb 2000</w:t>
        </w:r>
      </w:hyperlink>
      <w:r w:rsidRPr="004D4CC9">
        <w:rPr>
          <w:rFonts w:cstheme="minorHAnsi"/>
        </w:rPr>
        <w:t>), may increase (</w:t>
      </w:r>
      <w:hyperlink r:id="rId40" w:anchor="b23" w:history="1">
        <w:r w:rsidRPr="004D4CC9">
          <w:rPr>
            <w:rStyle w:val="Hyperlink"/>
            <w:rFonts w:eastAsiaTheme="majorEastAsia" w:cstheme="minorHAnsi"/>
            <w:b/>
            <w:bCs/>
            <w:color w:val="000000"/>
          </w:rPr>
          <w:t>Ko &amp; Reich 1993</w:t>
        </w:r>
      </w:hyperlink>
      <w:r w:rsidRPr="004D4CC9">
        <w:rPr>
          <w:rFonts w:cstheme="minorHAnsi"/>
        </w:rPr>
        <w:t>) or decrease soil moisture (</w:t>
      </w:r>
      <w:hyperlink r:id="rId41" w:anchor="b24" w:history="1">
        <w:r w:rsidRPr="004D4CC9">
          <w:rPr>
            <w:rStyle w:val="Hyperlink"/>
            <w:rFonts w:eastAsiaTheme="majorEastAsia" w:cstheme="minorHAnsi"/>
            <w:b/>
            <w:bCs/>
            <w:color w:val="000000"/>
          </w:rPr>
          <w:t>Anderson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2001</w:t>
        </w:r>
      </w:hyperlink>
      <w:r w:rsidRPr="004D4CC9">
        <w:rPr>
          <w:rFonts w:cstheme="minorHAnsi"/>
        </w:rPr>
        <w:t>) and can modify soil properties (</w:t>
      </w:r>
      <w:hyperlink r:id="rId42" w:anchor="b10" w:history="1">
        <w:r w:rsidRPr="004D4CC9">
          <w:rPr>
            <w:rStyle w:val="Hyperlink"/>
            <w:rFonts w:eastAsiaTheme="majorEastAsia" w:cstheme="minorHAnsi"/>
            <w:b/>
            <w:bCs/>
            <w:color w:val="000000"/>
          </w:rPr>
          <w:t>Weltzin &amp; McPherson 1999</w:t>
        </w:r>
      </w:hyperlink>
      <w:r w:rsidRPr="004D4CC9">
        <w:rPr>
          <w:rFonts w:cstheme="minorHAnsi"/>
        </w:rPr>
        <w:t>; </w:t>
      </w:r>
      <w:hyperlink r:id="rId43" w:anchor="b25" w:history="1">
        <w:r w:rsidRPr="004D4CC9">
          <w:rPr>
            <w:rStyle w:val="Hyperlink"/>
            <w:rFonts w:eastAsiaTheme="majorEastAsia" w:cstheme="minorHAnsi"/>
            <w:b/>
            <w:bCs/>
            <w:color w:val="000000"/>
          </w:rPr>
          <w:t>Reich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and increase rates of nitrogen mineralization (</w:t>
      </w:r>
      <w:hyperlink r:id="rId44" w:anchor="b26" w:history="1">
        <w:r w:rsidRPr="004D4CC9">
          <w:rPr>
            <w:rStyle w:val="Hyperlink"/>
            <w:rFonts w:eastAsiaTheme="majorEastAsia" w:cstheme="minorHAnsi"/>
            <w:b/>
            <w:bCs/>
            <w:color w:val="000000"/>
          </w:rPr>
          <w:t>Reich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2001</w:t>
        </w:r>
      </w:hyperlink>
      <w:r w:rsidRPr="004D4CC9">
        <w:rPr>
          <w:rFonts w:cstheme="minorHAnsi"/>
        </w:rPr>
        <w:t>; </w:t>
      </w:r>
      <w:hyperlink r:id="rId45" w:anchor="b27" w:history="1">
        <w:r w:rsidRPr="004D4CC9">
          <w:rPr>
            <w:rStyle w:val="Hyperlink"/>
            <w:rFonts w:eastAsiaTheme="majorEastAsia" w:cstheme="minorHAnsi"/>
            <w:b/>
            <w:bCs/>
            <w:color w:val="000000"/>
          </w:rPr>
          <w:t>Dijkstra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2006</w:t>
        </w:r>
      </w:hyperlink>
      <w:r w:rsidRPr="004D4CC9">
        <w:rPr>
          <w:rFonts w:cstheme="minorHAnsi"/>
        </w:rPr>
        <w:t>). Trees also modify soil biota; seedlings growing within the root zone of adult trees may have increased infection by root pathogens (</w:t>
      </w:r>
      <w:hyperlink r:id="rId46" w:anchor="b28" w:history="1">
        <w:r w:rsidRPr="004D4CC9">
          <w:rPr>
            <w:rStyle w:val="Hyperlink"/>
            <w:rFonts w:eastAsiaTheme="majorEastAsia" w:cstheme="minorHAnsi"/>
            <w:b/>
            <w:bCs/>
            <w:color w:val="000000"/>
          </w:rPr>
          <w:t>Packer &amp; Clay 2000</w:t>
        </w:r>
      </w:hyperlink>
      <w:r w:rsidRPr="004D4CC9">
        <w:rPr>
          <w:rFonts w:cstheme="minorHAnsi"/>
        </w:rPr>
        <w:t>), but can also have greatly increased ectomycorrhizal infection, more diverse infection and can have increased growth compared with seedlings distant from trees (</w:t>
      </w:r>
      <w:hyperlink r:id="rId47" w:anchor="b19" w:history="1">
        <w:r w:rsidRPr="004D4CC9">
          <w:rPr>
            <w:rStyle w:val="Hyperlink"/>
            <w:rFonts w:eastAsiaTheme="majorEastAsia" w:cstheme="minorHAnsi"/>
            <w:b/>
            <w:bCs/>
            <w:color w:val="000000"/>
          </w:rPr>
          <w:t>Nara &amp; Hogetsu 2004</w:t>
        </w:r>
      </w:hyperlink>
      <w:r w:rsidRPr="004D4CC9">
        <w:rPr>
          <w:rFonts w:cstheme="minorHAnsi"/>
        </w:rPr>
        <w:t>; </w:t>
      </w:r>
      <w:hyperlink r:id="rId48" w:anchor="b11" w:history="1">
        <w:r w:rsidRPr="004D4CC9">
          <w:rPr>
            <w:rStyle w:val="Hyperlink"/>
            <w:rFonts w:eastAsiaTheme="majorEastAsia" w:cstheme="minorHAnsi"/>
            <w:b/>
            <w:bCs/>
            <w:color w:val="000000"/>
          </w:rPr>
          <w:t>Dickie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Seedlings growing near adult trees may also be influenced by mycorrhizal networks, potentially reducing the cost to the seedling of establishing mycorrhizal infection (</w:t>
      </w:r>
      <w:hyperlink r:id="rId49" w:anchor="b29" w:history="1">
        <w:r w:rsidRPr="004D4CC9">
          <w:rPr>
            <w:rStyle w:val="Hyperlink"/>
            <w:rFonts w:eastAsiaTheme="majorEastAsia" w:cstheme="minorHAnsi"/>
            <w:b/>
            <w:bCs/>
            <w:color w:val="000000"/>
          </w:rPr>
          <w:t>Newman 1988</w:t>
        </w:r>
      </w:hyperlink>
      <w:r w:rsidRPr="004D4CC9">
        <w:rPr>
          <w:rFonts w:cstheme="minorHAnsi"/>
        </w:rPr>
        <w:t>; </w:t>
      </w:r>
      <w:hyperlink r:id="rId50" w:anchor="b30" w:history="1">
        <w:r w:rsidRPr="004D4CC9">
          <w:rPr>
            <w:rStyle w:val="Hyperlink"/>
            <w:rFonts w:eastAsiaTheme="majorEastAsia" w:cstheme="minorHAnsi"/>
            <w:b/>
            <w:bCs/>
            <w:color w:val="000000"/>
          </w:rPr>
          <w:t>Simard &amp; Durall 2004</w:t>
        </w:r>
      </w:hyperlink>
      <w:r w:rsidRPr="004D4CC9">
        <w:rPr>
          <w:rFonts w:cstheme="minorHAnsi"/>
        </w:rPr>
        <w:t>). Nevertheless, distance from adult trees has not been widely integrated into prior studies of factors limiting oak regeneration. Understanding the effect of proximity to adult trees on seedling regeneration is critical, given that most oak regeneration occurs near trees at the edge of openings (</w:t>
      </w:r>
      <w:hyperlink r:id="rId51" w:anchor="b9" w:history="1">
        <w:r w:rsidRPr="004D4CC9">
          <w:rPr>
            <w:rStyle w:val="Hyperlink"/>
            <w:rFonts w:eastAsiaTheme="majorEastAsia" w:cstheme="minorHAnsi"/>
            <w:b/>
            <w:bCs/>
            <w:color w:val="000000"/>
          </w:rPr>
          <w:t>Inouye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1994</w:t>
        </w:r>
      </w:hyperlink>
      <w:r w:rsidRPr="004D4CC9">
        <w:rPr>
          <w:rFonts w:cstheme="minorHAnsi"/>
        </w:rPr>
        <w:t>), while manipulative studies of factors limiting tree establishment have generally taken place distant from trees. Site may also be an important factor because the herbaceous plant community of ecosystems differs between oak savannas and old‐fields, and different communities are likely to have different effects on seedlings (</w:t>
      </w:r>
      <w:hyperlink r:id="rId52" w:anchor="b8"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w:t>
      </w:r>
    </w:p>
    <w:p w14:paraId="74937450" w14:textId="77777777" w:rsidR="00B30EF0" w:rsidRPr="004D4CC9" w:rsidRDefault="00B30EF0" w:rsidP="006D3270">
      <w:pPr>
        <w:pStyle w:val="Heading1"/>
        <w:rPr>
          <w:rFonts w:asciiTheme="minorHAnsi" w:hAnsiTheme="minorHAnsi" w:cstheme="minorHAnsi"/>
        </w:rPr>
      </w:pPr>
      <w:r w:rsidRPr="004D4CC9">
        <w:rPr>
          <w:rFonts w:asciiTheme="minorHAnsi" w:hAnsiTheme="minorHAnsi" w:cstheme="minorHAnsi"/>
        </w:rPr>
        <w:t>Methods</w:t>
      </w:r>
    </w:p>
    <w:p w14:paraId="57E225E9" w14:textId="77777777" w:rsidR="00B30EF0" w:rsidRPr="004D4CC9" w:rsidRDefault="00B30EF0" w:rsidP="006D3270">
      <w:pPr>
        <w:pStyle w:val="Heading2"/>
        <w:rPr>
          <w:rFonts w:asciiTheme="minorHAnsi" w:hAnsiTheme="minorHAnsi" w:cstheme="minorHAnsi"/>
        </w:rPr>
      </w:pPr>
      <w:r w:rsidRPr="004D4CC9">
        <w:rPr>
          <w:rStyle w:val="smallcaps"/>
          <w:rFonts w:asciiTheme="minorHAnsi" w:hAnsiTheme="minorHAnsi" w:cstheme="minorHAnsi"/>
          <w:b/>
          <w:bCs/>
          <w:smallCaps/>
          <w:color w:val="1F1F1F"/>
          <w:sz w:val="33"/>
          <w:szCs w:val="33"/>
        </w:rPr>
        <w:t>experimental design and treatments</w:t>
      </w:r>
    </w:p>
    <w:p w14:paraId="19D5376F" w14:textId="77777777" w:rsidR="00B30EF0" w:rsidRPr="004D4CC9" w:rsidRDefault="00B30EF0" w:rsidP="006D3270">
      <w:pPr>
        <w:rPr>
          <w:rFonts w:cstheme="minorHAnsi"/>
        </w:rPr>
      </w:pPr>
      <w:r w:rsidRPr="004D4CC9">
        <w:rPr>
          <w:rFonts w:cstheme="minorHAnsi"/>
        </w:rPr>
        <w:t>We conducted the experiment at the Cedar Creek Natural History Area and Long‐term Ecological Research site of the University of Minnesota, located in Anoka County, Minnesota, USA. We used a multilevel split‐plot design (</w:t>
      </w:r>
      <w:hyperlink r:id="rId53" w:anchor="f2" w:history="1">
        <w:r w:rsidRPr="004D4CC9">
          <w:rPr>
            <w:rStyle w:val="Hyperlink"/>
            <w:rFonts w:eastAsiaTheme="majorEastAsia" w:cstheme="minorHAnsi"/>
            <w:b/>
            <w:bCs/>
            <w:color w:val="005274"/>
          </w:rPr>
          <w:t>Fig. 2</w:t>
        </w:r>
      </w:hyperlink>
      <w:r w:rsidRPr="004D4CC9">
        <w:rPr>
          <w:rFonts w:cstheme="minorHAnsi"/>
        </w:rPr>
        <w:t>) to maximize our ability to detect significant interactions given inherent limitations on the availability of appropriate research sites and on our ability to apply certain treatments (such as backpack watering). We used six sites (</w:t>
      </w:r>
      <w:hyperlink r:id="rId54" w:anchor="t1" w:history="1">
        <w:r w:rsidRPr="004D4CC9">
          <w:rPr>
            <w:rStyle w:val="Hyperlink"/>
            <w:rFonts w:eastAsiaTheme="majorEastAsia" w:cstheme="minorHAnsi"/>
            <w:b/>
            <w:bCs/>
            <w:color w:val="005274"/>
          </w:rPr>
          <w:t>Table 1</w:t>
        </w:r>
      </w:hyperlink>
      <w:r w:rsidRPr="004D4CC9">
        <w:rPr>
          <w:rFonts w:cstheme="minorHAnsi"/>
        </w:rPr>
        <w:t>), three in old‐fields (Cedar Creek old‐field numbers 56, 57 and 68) and three in oak savannas (Cedar Creek burn units 104, 106 and 115). Old‐fields were likely to be oak savanna prior to conversion to agriculture; hence site differences reflect different histories. All sites had the same Typic Udipsamment type soils (</w:t>
      </w:r>
      <w:hyperlink r:id="rId55" w:anchor="b31" w:history="1">
        <w:r w:rsidRPr="004D4CC9">
          <w:rPr>
            <w:rStyle w:val="Hyperlink"/>
            <w:rFonts w:eastAsiaTheme="majorEastAsia" w:cstheme="minorHAnsi"/>
            <w:b/>
            <w:bCs/>
            <w:color w:val="000000"/>
          </w:rPr>
          <w:t>Grigal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1974</w:t>
        </w:r>
      </w:hyperlink>
      <w:r w:rsidRPr="004D4CC9">
        <w:rPr>
          <w:rFonts w:cstheme="minorHAnsi"/>
        </w:rPr>
        <w:t>). Old‐fields were selected on the basis of having a relatively straight north edge running directly east–west (permitting us to equalize shading across distance treatments), no recent history of fire and little woody regeneration of any species. Savanna sites were selected on the basis of having sufficiently large openings devoid of trees to permit the establishment of treatments at least 10 m from any adult oak and having areas on the south side of trees where near‐tree plots could be established with limited shading from adult trees. All savanna sites were maintained by periodic burning (</w:t>
      </w:r>
      <w:hyperlink r:id="rId56" w:anchor="b32" w:history="1">
        <w:r w:rsidRPr="004D4CC9">
          <w:rPr>
            <w:rStyle w:val="Hyperlink"/>
            <w:rFonts w:eastAsiaTheme="majorEastAsia" w:cstheme="minorHAnsi"/>
            <w:b/>
            <w:bCs/>
            <w:color w:val="000000"/>
          </w:rPr>
          <w:t>Peterson &amp; Reich 2001</w:t>
        </w:r>
      </w:hyperlink>
      <w:r w:rsidRPr="004D4CC9">
        <w:rPr>
          <w:rFonts w:cstheme="minorHAnsi"/>
        </w:rPr>
        <w:t>), with the most recent prescribed fire prior to the start of the experiment occurring in the spring of 2000 for all sites; site 104 also burned in a wildfire in the autumn of 2000. We prevented our plots from burning during the course of the experiment using watered fire‐breaks and physical barriers. At least two of the savanna sites (104 and 115) had clear evidence of some former agricultural use (fencing wire, square edges, old farm implements).</w:t>
      </w:r>
    </w:p>
    <w:p w14:paraId="23BC645C" w14:textId="348CE161" w:rsidR="00B30EF0" w:rsidRPr="004D4CC9" w:rsidRDefault="00B30EF0" w:rsidP="00CC6CAD">
      <w:pPr>
        <w:shd w:val="clear" w:color="auto" w:fill="FFFFFF"/>
        <w:spacing w:after="0"/>
        <w:rPr>
          <w:rFonts w:cstheme="minorHAnsi"/>
          <w:color w:val="1C1D1E"/>
        </w:rPr>
      </w:pPr>
      <w:r w:rsidRPr="004D4CC9">
        <w:rPr>
          <w:rFonts w:cstheme="minorHAnsi"/>
          <w:noProof/>
          <w:color w:val="005274"/>
        </w:rPr>
        <w:drawing>
          <wp:inline distT="0" distB="0" distL="0" distR="0" wp14:anchorId="6E01A4E2" wp14:editId="219549A7">
            <wp:extent cx="2743200" cy="1362456"/>
            <wp:effectExtent l="0" t="0" r="0" b="9525"/>
            <wp:docPr id="4" name="Picture 4"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743200" cy="1362456"/>
                    </a:xfrm>
                    <a:prstGeom prst="rect">
                      <a:avLst/>
                    </a:prstGeom>
                    <a:noFill/>
                    <a:ln>
                      <a:noFill/>
                    </a:ln>
                  </pic:spPr>
                </pic:pic>
              </a:graphicData>
            </a:graphic>
          </wp:inline>
        </w:drawing>
      </w:r>
    </w:p>
    <w:p w14:paraId="39BFBC87" w14:textId="7FF5FCDE" w:rsidR="00B30EF0" w:rsidRDefault="00B30EF0" w:rsidP="00CC6CAD">
      <w:pPr>
        <w:pStyle w:val="NoSpacing"/>
      </w:pPr>
      <w:r w:rsidRPr="004D4CC9">
        <w:rPr>
          <w:rStyle w:val="Strong"/>
          <w:rFonts w:cstheme="minorHAnsi"/>
          <w:color w:val="212121"/>
        </w:rPr>
        <w:t>Figure 2</w:t>
      </w:r>
      <w:r w:rsidR="00CC6CAD">
        <w:rPr>
          <w:rStyle w:val="Strong"/>
          <w:rFonts w:cstheme="minorHAnsi"/>
          <w:color w:val="212121"/>
        </w:rPr>
        <w:t xml:space="preserve"> </w:t>
      </w:r>
      <w:r w:rsidRPr="004D4CC9">
        <w:t>Schematic of experimental design in one of the six sites (three old‐fields, three savannas), with plots near and distant from trees, nitrogen (+N), water (+W) and control (C) resource‐addition treatment plots and uncaged, unclipped cage‐control plots (X). Shaded portions of plots indicate clipped plots.</w:t>
      </w:r>
    </w:p>
    <w:p w14:paraId="1AF2C1F1" w14:textId="77777777" w:rsidR="00CC6CAD" w:rsidRPr="004D4CC9" w:rsidRDefault="00CC6CAD" w:rsidP="00CC6CAD">
      <w:pPr>
        <w:pStyle w:val="NoSpacing"/>
      </w:pPr>
    </w:p>
    <w:p w14:paraId="5B1F0BE0" w14:textId="77777777" w:rsidR="00CC6CAD" w:rsidRDefault="00CC6CAD">
      <w:pPr>
        <w:rPr>
          <w:rStyle w:val="table-captionlabel"/>
          <w:rFonts w:cstheme="minorHAnsi"/>
          <w:b/>
          <w:bCs/>
          <w:color w:val="1C1D1E"/>
        </w:rPr>
      </w:pPr>
      <w:r>
        <w:rPr>
          <w:rStyle w:val="table-captionlabel"/>
          <w:rFonts w:cstheme="minorHAnsi"/>
          <w:b/>
          <w:bCs/>
          <w:color w:val="1C1D1E"/>
        </w:rPr>
        <w:br w:type="page"/>
      </w:r>
    </w:p>
    <w:p w14:paraId="0BB0545F" w14:textId="3FDB4CD3" w:rsidR="00B30EF0" w:rsidRPr="004D4CC9" w:rsidRDefault="00B30EF0" w:rsidP="00CC6CAD">
      <w:pPr>
        <w:pStyle w:val="NoSpacing"/>
      </w:pPr>
      <w:r w:rsidRPr="004D4CC9">
        <w:rPr>
          <w:rStyle w:val="table-captionlabel"/>
          <w:rFonts w:cstheme="minorHAnsi"/>
          <w:b/>
          <w:bCs/>
          <w:color w:val="1C1D1E"/>
        </w:rPr>
        <w:t>Table 1. </w:t>
      </w:r>
      <w:r w:rsidRPr="004D4CC9">
        <w:t>Site descriptions for the three old‐field and three savanna sites</w:t>
      </w:r>
    </w:p>
    <w:tbl>
      <w:tblPr>
        <w:tblStyle w:val="TableGrid"/>
        <w:tblW w:w="0" w:type="auto"/>
        <w:tblLook w:val="04A0" w:firstRow="1" w:lastRow="0" w:firstColumn="1" w:lastColumn="0" w:noHBand="0" w:noVBand="1"/>
      </w:tblPr>
      <w:tblGrid>
        <w:gridCol w:w="905"/>
        <w:gridCol w:w="1688"/>
        <w:gridCol w:w="1038"/>
        <w:gridCol w:w="959"/>
        <w:gridCol w:w="5480"/>
      </w:tblGrid>
      <w:tr w:rsidR="00B30EF0" w:rsidRPr="004D4CC9" w14:paraId="2FEB2E6A" w14:textId="77777777" w:rsidTr="00CC6CAD">
        <w:tc>
          <w:tcPr>
            <w:tcW w:w="0" w:type="auto"/>
            <w:hideMark/>
          </w:tcPr>
          <w:p w14:paraId="06A18560" w14:textId="77777777" w:rsidR="00B30EF0" w:rsidRPr="004D4CC9" w:rsidRDefault="00B30EF0" w:rsidP="00CC6CAD">
            <w:pPr>
              <w:pStyle w:val="NoSpacing"/>
              <w:rPr>
                <w:b/>
                <w:bCs/>
                <w:color w:val="000000"/>
              </w:rPr>
            </w:pPr>
            <w:r w:rsidRPr="004D4CC9">
              <w:rPr>
                <w:b/>
                <w:bCs/>
                <w:color w:val="000000"/>
              </w:rPr>
              <w:t>Site</w:t>
            </w:r>
            <w:hyperlink r:id="rId58" w:anchor="t1n5" w:history="1">
              <w:r w:rsidRPr="004D4CC9">
                <w:rPr>
                  <w:rStyle w:val="Hyperlink"/>
                  <w:rFonts w:cstheme="minorHAnsi"/>
                  <w:b/>
                  <w:bCs/>
                  <w:color w:val="005274"/>
                </w:rPr>
                <w:t>*</w:t>
              </w:r>
            </w:hyperlink>
          </w:p>
        </w:tc>
        <w:tc>
          <w:tcPr>
            <w:tcW w:w="0" w:type="auto"/>
            <w:hideMark/>
          </w:tcPr>
          <w:p w14:paraId="7D866493" w14:textId="77777777" w:rsidR="00B30EF0" w:rsidRPr="004D4CC9" w:rsidRDefault="00B30EF0" w:rsidP="00CC6CAD">
            <w:pPr>
              <w:pStyle w:val="NoSpacing"/>
              <w:rPr>
                <w:b/>
                <w:bCs/>
                <w:color w:val="000000"/>
              </w:rPr>
            </w:pPr>
            <w:r w:rsidRPr="004D4CC9">
              <w:rPr>
                <w:b/>
                <w:bCs/>
                <w:color w:val="000000"/>
              </w:rPr>
              <w:t>Last year used for agriculture</w:t>
            </w:r>
          </w:p>
        </w:tc>
        <w:tc>
          <w:tcPr>
            <w:tcW w:w="0" w:type="auto"/>
            <w:hideMark/>
          </w:tcPr>
          <w:p w14:paraId="27CD5E27" w14:textId="77777777" w:rsidR="00B30EF0" w:rsidRPr="004D4CC9" w:rsidRDefault="00B30EF0" w:rsidP="00CC6CAD">
            <w:pPr>
              <w:pStyle w:val="NoSpacing"/>
              <w:rPr>
                <w:b/>
                <w:bCs/>
                <w:color w:val="000000"/>
              </w:rPr>
            </w:pPr>
            <w:r w:rsidRPr="004D4CC9">
              <w:rPr>
                <w:b/>
                <w:bCs/>
                <w:color w:val="000000"/>
              </w:rPr>
              <w:t>Fires 1965–2002</w:t>
            </w:r>
          </w:p>
        </w:tc>
        <w:tc>
          <w:tcPr>
            <w:tcW w:w="0" w:type="auto"/>
            <w:hideMark/>
          </w:tcPr>
          <w:p w14:paraId="0CA1D6A9" w14:textId="77777777" w:rsidR="00B30EF0" w:rsidRPr="004D4CC9" w:rsidRDefault="00B30EF0" w:rsidP="00CC6CAD">
            <w:pPr>
              <w:pStyle w:val="NoSpacing"/>
              <w:rPr>
                <w:b/>
                <w:bCs/>
                <w:color w:val="000000"/>
              </w:rPr>
            </w:pPr>
            <w:r w:rsidRPr="004D4CC9">
              <w:rPr>
                <w:b/>
                <w:bCs/>
                <w:color w:val="000000"/>
              </w:rPr>
              <w:t>Year of first fire</w:t>
            </w:r>
            <w:hyperlink r:id="rId59" w:anchor="t1n4" w:history="1">
              <w:r w:rsidRPr="004D4CC9">
                <w:rPr>
                  <w:rStyle w:val="Hyperlink"/>
                  <w:rFonts w:cstheme="minorHAnsi"/>
                  <w:b/>
                  <w:bCs/>
                  <w:color w:val="005274"/>
                </w:rPr>
                <w:t>†</w:t>
              </w:r>
            </w:hyperlink>
          </w:p>
        </w:tc>
        <w:tc>
          <w:tcPr>
            <w:tcW w:w="0" w:type="auto"/>
            <w:hideMark/>
          </w:tcPr>
          <w:p w14:paraId="37B4D8BA" w14:textId="77777777" w:rsidR="00B30EF0" w:rsidRPr="004D4CC9" w:rsidRDefault="00B30EF0" w:rsidP="00CC6CAD">
            <w:pPr>
              <w:pStyle w:val="NoSpacing"/>
              <w:rPr>
                <w:b/>
                <w:bCs/>
                <w:color w:val="000000"/>
              </w:rPr>
            </w:pPr>
            <w:r w:rsidRPr="004D4CC9">
              <w:rPr>
                <w:b/>
                <w:bCs/>
                <w:color w:val="000000"/>
              </w:rPr>
              <w:t>Dominant herbaceous cover</w:t>
            </w:r>
            <w:hyperlink r:id="rId60" w:anchor="t1n3" w:history="1">
              <w:r w:rsidRPr="004D4CC9">
                <w:rPr>
                  <w:rStyle w:val="Hyperlink"/>
                  <w:rFonts w:cstheme="minorHAnsi"/>
                  <w:b/>
                  <w:bCs/>
                  <w:color w:val="005274"/>
                </w:rPr>
                <w:t>‡</w:t>
              </w:r>
            </w:hyperlink>
          </w:p>
        </w:tc>
      </w:tr>
      <w:tr w:rsidR="00EE7A7E" w:rsidRPr="004D4CC9" w14:paraId="484F51B0" w14:textId="77777777" w:rsidTr="00CC6CAD">
        <w:tc>
          <w:tcPr>
            <w:tcW w:w="0" w:type="auto"/>
            <w:hideMark/>
          </w:tcPr>
          <w:p w14:paraId="3713A034" w14:textId="77777777" w:rsidR="00EE7A7E" w:rsidRPr="004D4CC9" w:rsidRDefault="00EE7A7E" w:rsidP="00CC6CAD">
            <w:pPr>
              <w:pStyle w:val="NoSpacing"/>
              <w:rPr>
                <w:color w:val="000000"/>
                <w:sz w:val="18"/>
                <w:szCs w:val="18"/>
              </w:rPr>
            </w:pPr>
            <w:proofErr w:type="gramStart"/>
            <w:r w:rsidRPr="004D4CC9">
              <w:rPr>
                <w:color w:val="000000"/>
                <w:sz w:val="18"/>
                <w:szCs w:val="18"/>
              </w:rPr>
              <w:t>Old‐fields</w:t>
            </w:r>
            <w:proofErr w:type="gramEnd"/>
          </w:p>
        </w:tc>
        <w:tc>
          <w:tcPr>
            <w:tcW w:w="0" w:type="auto"/>
          </w:tcPr>
          <w:p w14:paraId="06F5B60C" w14:textId="77777777" w:rsidR="00EE7A7E" w:rsidRPr="004D4CC9" w:rsidRDefault="00EE7A7E" w:rsidP="00CC6CAD">
            <w:pPr>
              <w:pStyle w:val="NoSpacing"/>
              <w:rPr>
                <w:color w:val="000000"/>
                <w:sz w:val="18"/>
                <w:szCs w:val="18"/>
              </w:rPr>
            </w:pPr>
          </w:p>
        </w:tc>
        <w:tc>
          <w:tcPr>
            <w:tcW w:w="0" w:type="auto"/>
          </w:tcPr>
          <w:p w14:paraId="1B55A4F5" w14:textId="77777777" w:rsidR="00EE7A7E" w:rsidRPr="004D4CC9" w:rsidRDefault="00EE7A7E" w:rsidP="00CC6CAD">
            <w:pPr>
              <w:pStyle w:val="NoSpacing"/>
              <w:rPr>
                <w:color w:val="000000"/>
                <w:sz w:val="18"/>
                <w:szCs w:val="18"/>
              </w:rPr>
            </w:pPr>
          </w:p>
        </w:tc>
        <w:tc>
          <w:tcPr>
            <w:tcW w:w="0" w:type="auto"/>
          </w:tcPr>
          <w:p w14:paraId="3FA60021" w14:textId="77777777" w:rsidR="00EE7A7E" w:rsidRPr="004D4CC9" w:rsidRDefault="00EE7A7E" w:rsidP="00CC6CAD">
            <w:pPr>
              <w:pStyle w:val="NoSpacing"/>
              <w:rPr>
                <w:color w:val="000000"/>
                <w:sz w:val="18"/>
                <w:szCs w:val="18"/>
              </w:rPr>
            </w:pPr>
          </w:p>
        </w:tc>
        <w:tc>
          <w:tcPr>
            <w:tcW w:w="0" w:type="auto"/>
          </w:tcPr>
          <w:p w14:paraId="6C605FFD" w14:textId="70E25CEB" w:rsidR="00EE7A7E" w:rsidRPr="004D4CC9" w:rsidRDefault="00EE7A7E" w:rsidP="00CC6CAD">
            <w:pPr>
              <w:pStyle w:val="NoSpacing"/>
              <w:rPr>
                <w:color w:val="000000"/>
                <w:sz w:val="18"/>
                <w:szCs w:val="18"/>
              </w:rPr>
            </w:pPr>
          </w:p>
        </w:tc>
      </w:tr>
      <w:tr w:rsidR="00B30EF0" w:rsidRPr="004D4CC9" w14:paraId="6108CA73" w14:textId="77777777" w:rsidTr="00CC6CAD">
        <w:tc>
          <w:tcPr>
            <w:tcW w:w="0" w:type="auto"/>
            <w:hideMark/>
          </w:tcPr>
          <w:p w14:paraId="25FDB29E" w14:textId="77777777" w:rsidR="00B30EF0" w:rsidRPr="004D4CC9" w:rsidRDefault="00B30EF0" w:rsidP="00CC6CAD">
            <w:pPr>
              <w:pStyle w:val="NoSpacing"/>
              <w:rPr>
                <w:color w:val="000000"/>
                <w:sz w:val="18"/>
                <w:szCs w:val="18"/>
              </w:rPr>
            </w:pPr>
            <w:r w:rsidRPr="004D4CC9">
              <w:rPr>
                <w:color w:val="000000"/>
                <w:sz w:val="18"/>
                <w:szCs w:val="18"/>
              </w:rPr>
              <w:t>56</w:t>
            </w:r>
          </w:p>
        </w:tc>
        <w:tc>
          <w:tcPr>
            <w:tcW w:w="0" w:type="auto"/>
            <w:hideMark/>
          </w:tcPr>
          <w:p w14:paraId="10BA1D89" w14:textId="77777777" w:rsidR="00B30EF0" w:rsidRPr="004D4CC9" w:rsidRDefault="00B30EF0" w:rsidP="00CC6CAD">
            <w:pPr>
              <w:pStyle w:val="NoSpacing"/>
              <w:rPr>
                <w:color w:val="000000"/>
                <w:sz w:val="18"/>
                <w:szCs w:val="18"/>
              </w:rPr>
            </w:pPr>
            <w:r w:rsidRPr="004D4CC9">
              <w:rPr>
                <w:color w:val="000000"/>
                <w:sz w:val="18"/>
                <w:szCs w:val="18"/>
              </w:rPr>
              <w:t>1958</w:t>
            </w:r>
          </w:p>
        </w:tc>
        <w:tc>
          <w:tcPr>
            <w:tcW w:w="0" w:type="auto"/>
            <w:hideMark/>
          </w:tcPr>
          <w:p w14:paraId="4F0BC4D8" w14:textId="77777777" w:rsidR="00B30EF0" w:rsidRPr="004D4CC9" w:rsidRDefault="00B30EF0" w:rsidP="00CC6CAD">
            <w:pPr>
              <w:pStyle w:val="NoSpacing"/>
              <w:rPr>
                <w:color w:val="000000"/>
                <w:sz w:val="18"/>
                <w:szCs w:val="18"/>
              </w:rPr>
            </w:pPr>
            <w:r w:rsidRPr="004D4CC9">
              <w:rPr>
                <w:color w:val="000000"/>
                <w:sz w:val="18"/>
                <w:szCs w:val="18"/>
              </w:rPr>
              <w:t>0</w:t>
            </w:r>
          </w:p>
        </w:tc>
        <w:tc>
          <w:tcPr>
            <w:tcW w:w="0" w:type="auto"/>
            <w:hideMark/>
          </w:tcPr>
          <w:p w14:paraId="118B7587" w14:textId="77777777" w:rsidR="00B30EF0" w:rsidRPr="004D4CC9" w:rsidRDefault="00B30EF0" w:rsidP="00CC6CAD">
            <w:pPr>
              <w:pStyle w:val="NoSpacing"/>
              <w:rPr>
                <w:color w:val="000000"/>
                <w:sz w:val="18"/>
                <w:szCs w:val="18"/>
              </w:rPr>
            </w:pPr>
            <w:r w:rsidRPr="004D4CC9">
              <w:rPr>
                <w:color w:val="000000"/>
                <w:sz w:val="18"/>
                <w:szCs w:val="18"/>
              </w:rPr>
              <w:t>NA</w:t>
            </w:r>
          </w:p>
        </w:tc>
        <w:tc>
          <w:tcPr>
            <w:tcW w:w="0" w:type="auto"/>
            <w:hideMark/>
          </w:tcPr>
          <w:p w14:paraId="2E287477" w14:textId="77777777" w:rsidR="00B30EF0" w:rsidRPr="004D4CC9" w:rsidRDefault="00B30EF0" w:rsidP="00CC6CAD">
            <w:pPr>
              <w:pStyle w:val="NoSpacing"/>
              <w:rPr>
                <w:color w:val="000000"/>
                <w:sz w:val="18"/>
                <w:szCs w:val="18"/>
              </w:rPr>
            </w:pPr>
            <w:r w:rsidRPr="004D4CC9">
              <w:rPr>
                <w:i/>
                <w:iCs/>
                <w:color w:val="000000"/>
                <w:sz w:val="18"/>
                <w:szCs w:val="18"/>
              </w:rPr>
              <w:t>Poa</w:t>
            </w:r>
            <w:r w:rsidRPr="004D4CC9">
              <w:rPr>
                <w:color w:val="000000"/>
                <w:sz w:val="18"/>
                <w:szCs w:val="18"/>
              </w:rPr>
              <w:t> spp. (32%), </w:t>
            </w:r>
            <w:r w:rsidRPr="004D4CC9">
              <w:rPr>
                <w:i/>
                <w:iCs/>
                <w:color w:val="000000"/>
                <w:sz w:val="18"/>
                <w:szCs w:val="18"/>
              </w:rPr>
              <w:t>Bromus</w:t>
            </w:r>
            <w:r w:rsidRPr="004D4CC9">
              <w:rPr>
                <w:color w:val="000000"/>
                <w:sz w:val="18"/>
                <w:szCs w:val="18"/>
              </w:rPr>
              <w:t> (29%), </w:t>
            </w:r>
            <w:r w:rsidRPr="004D4CC9">
              <w:rPr>
                <w:i/>
                <w:iCs/>
                <w:color w:val="000000"/>
                <w:sz w:val="18"/>
                <w:szCs w:val="18"/>
              </w:rPr>
              <w:t>Ambrosia</w:t>
            </w:r>
            <w:r w:rsidRPr="004D4CC9">
              <w:rPr>
                <w:color w:val="000000"/>
                <w:sz w:val="18"/>
                <w:szCs w:val="18"/>
              </w:rPr>
              <w:t> (7%)</w:t>
            </w:r>
          </w:p>
        </w:tc>
      </w:tr>
      <w:tr w:rsidR="00B30EF0" w:rsidRPr="004D4CC9" w14:paraId="0735F33F" w14:textId="77777777" w:rsidTr="00CC6CAD">
        <w:tc>
          <w:tcPr>
            <w:tcW w:w="0" w:type="auto"/>
            <w:hideMark/>
          </w:tcPr>
          <w:p w14:paraId="294B9A16" w14:textId="77777777" w:rsidR="00B30EF0" w:rsidRPr="004D4CC9" w:rsidRDefault="00B30EF0" w:rsidP="00CC6CAD">
            <w:pPr>
              <w:pStyle w:val="NoSpacing"/>
              <w:rPr>
                <w:color w:val="000000"/>
                <w:sz w:val="18"/>
                <w:szCs w:val="18"/>
              </w:rPr>
            </w:pPr>
            <w:r w:rsidRPr="004D4CC9">
              <w:rPr>
                <w:color w:val="000000"/>
                <w:sz w:val="18"/>
                <w:szCs w:val="18"/>
              </w:rPr>
              <w:t>57</w:t>
            </w:r>
          </w:p>
        </w:tc>
        <w:tc>
          <w:tcPr>
            <w:tcW w:w="0" w:type="auto"/>
            <w:hideMark/>
          </w:tcPr>
          <w:p w14:paraId="5462FE94" w14:textId="77777777" w:rsidR="00B30EF0" w:rsidRPr="004D4CC9" w:rsidRDefault="00B30EF0" w:rsidP="00CC6CAD">
            <w:pPr>
              <w:pStyle w:val="NoSpacing"/>
              <w:rPr>
                <w:color w:val="000000"/>
                <w:sz w:val="18"/>
                <w:szCs w:val="18"/>
              </w:rPr>
            </w:pPr>
            <w:r w:rsidRPr="004D4CC9">
              <w:rPr>
                <w:color w:val="000000"/>
                <w:sz w:val="18"/>
                <w:szCs w:val="18"/>
              </w:rPr>
              <w:t>1943</w:t>
            </w:r>
          </w:p>
        </w:tc>
        <w:tc>
          <w:tcPr>
            <w:tcW w:w="0" w:type="auto"/>
            <w:hideMark/>
          </w:tcPr>
          <w:p w14:paraId="74CD63A1" w14:textId="77777777" w:rsidR="00B30EF0" w:rsidRPr="004D4CC9" w:rsidRDefault="00B30EF0" w:rsidP="00CC6CAD">
            <w:pPr>
              <w:pStyle w:val="NoSpacing"/>
              <w:rPr>
                <w:color w:val="000000"/>
                <w:sz w:val="18"/>
                <w:szCs w:val="18"/>
              </w:rPr>
            </w:pPr>
            <w:r w:rsidRPr="004D4CC9">
              <w:rPr>
                <w:color w:val="000000"/>
                <w:sz w:val="18"/>
                <w:szCs w:val="18"/>
              </w:rPr>
              <w:t>0</w:t>
            </w:r>
          </w:p>
        </w:tc>
        <w:tc>
          <w:tcPr>
            <w:tcW w:w="0" w:type="auto"/>
            <w:hideMark/>
          </w:tcPr>
          <w:p w14:paraId="06741EF6" w14:textId="77777777" w:rsidR="00B30EF0" w:rsidRPr="004D4CC9" w:rsidRDefault="00B30EF0" w:rsidP="00CC6CAD">
            <w:pPr>
              <w:pStyle w:val="NoSpacing"/>
              <w:rPr>
                <w:color w:val="000000"/>
                <w:sz w:val="18"/>
                <w:szCs w:val="18"/>
              </w:rPr>
            </w:pPr>
            <w:r w:rsidRPr="004D4CC9">
              <w:rPr>
                <w:color w:val="000000"/>
                <w:sz w:val="18"/>
                <w:szCs w:val="18"/>
              </w:rPr>
              <w:t>NA</w:t>
            </w:r>
          </w:p>
        </w:tc>
        <w:tc>
          <w:tcPr>
            <w:tcW w:w="0" w:type="auto"/>
            <w:hideMark/>
          </w:tcPr>
          <w:p w14:paraId="2FD4866E" w14:textId="77777777" w:rsidR="00B30EF0" w:rsidRPr="004D4CC9" w:rsidRDefault="00B30EF0" w:rsidP="00CC6CAD">
            <w:pPr>
              <w:pStyle w:val="NoSpacing"/>
              <w:rPr>
                <w:color w:val="000000"/>
                <w:sz w:val="18"/>
                <w:szCs w:val="18"/>
              </w:rPr>
            </w:pPr>
            <w:r w:rsidRPr="004D4CC9">
              <w:rPr>
                <w:i/>
                <w:iCs/>
                <w:color w:val="000000"/>
                <w:sz w:val="18"/>
                <w:szCs w:val="18"/>
              </w:rPr>
              <w:t>Poa</w:t>
            </w:r>
            <w:r w:rsidRPr="004D4CC9">
              <w:rPr>
                <w:color w:val="000000"/>
                <w:sz w:val="18"/>
                <w:szCs w:val="18"/>
              </w:rPr>
              <w:t> spp. (72%), </w:t>
            </w:r>
            <w:r w:rsidRPr="004D4CC9">
              <w:rPr>
                <w:i/>
                <w:iCs/>
                <w:color w:val="000000"/>
                <w:sz w:val="18"/>
                <w:szCs w:val="18"/>
              </w:rPr>
              <w:t>Ambrosia</w:t>
            </w:r>
            <w:r w:rsidRPr="004D4CC9">
              <w:rPr>
                <w:color w:val="000000"/>
                <w:sz w:val="18"/>
                <w:szCs w:val="18"/>
              </w:rPr>
              <w:t> (19%)</w:t>
            </w:r>
          </w:p>
        </w:tc>
      </w:tr>
      <w:tr w:rsidR="00B30EF0" w:rsidRPr="004D4CC9" w14:paraId="57C71521" w14:textId="77777777" w:rsidTr="00CC6CAD">
        <w:tc>
          <w:tcPr>
            <w:tcW w:w="0" w:type="auto"/>
            <w:hideMark/>
          </w:tcPr>
          <w:p w14:paraId="3BC15DBA" w14:textId="77777777" w:rsidR="00B30EF0" w:rsidRPr="004D4CC9" w:rsidRDefault="00B30EF0" w:rsidP="00CC6CAD">
            <w:pPr>
              <w:pStyle w:val="NoSpacing"/>
              <w:rPr>
                <w:color w:val="000000"/>
                <w:sz w:val="18"/>
                <w:szCs w:val="18"/>
              </w:rPr>
            </w:pPr>
            <w:r w:rsidRPr="004D4CC9">
              <w:rPr>
                <w:color w:val="000000"/>
                <w:sz w:val="18"/>
                <w:szCs w:val="18"/>
              </w:rPr>
              <w:t>68</w:t>
            </w:r>
          </w:p>
        </w:tc>
        <w:tc>
          <w:tcPr>
            <w:tcW w:w="0" w:type="auto"/>
            <w:hideMark/>
          </w:tcPr>
          <w:p w14:paraId="04357800" w14:textId="77777777" w:rsidR="00B30EF0" w:rsidRPr="004D4CC9" w:rsidRDefault="00B30EF0" w:rsidP="00CC6CAD">
            <w:pPr>
              <w:pStyle w:val="NoSpacing"/>
              <w:rPr>
                <w:color w:val="000000"/>
                <w:sz w:val="18"/>
                <w:szCs w:val="18"/>
              </w:rPr>
            </w:pPr>
            <w:r w:rsidRPr="004D4CC9">
              <w:rPr>
                <w:color w:val="000000"/>
                <w:sz w:val="18"/>
                <w:szCs w:val="18"/>
              </w:rPr>
              <w:t>1957</w:t>
            </w:r>
          </w:p>
        </w:tc>
        <w:tc>
          <w:tcPr>
            <w:tcW w:w="0" w:type="auto"/>
            <w:hideMark/>
          </w:tcPr>
          <w:p w14:paraId="124939CC" w14:textId="77777777" w:rsidR="00B30EF0" w:rsidRPr="004D4CC9" w:rsidRDefault="00B30EF0" w:rsidP="00CC6CAD">
            <w:pPr>
              <w:pStyle w:val="NoSpacing"/>
              <w:rPr>
                <w:color w:val="000000"/>
                <w:sz w:val="18"/>
                <w:szCs w:val="18"/>
              </w:rPr>
            </w:pPr>
            <w:r w:rsidRPr="004D4CC9">
              <w:rPr>
                <w:color w:val="000000"/>
                <w:sz w:val="18"/>
                <w:szCs w:val="18"/>
              </w:rPr>
              <w:t>0</w:t>
            </w:r>
          </w:p>
        </w:tc>
        <w:tc>
          <w:tcPr>
            <w:tcW w:w="0" w:type="auto"/>
            <w:hideMark/>
          </w:tcPr>
          <w:p w14:paraId="1E3AF784" w14:textId="77777777" w:rsidR="00B30EF0" w:rsidRPr="004D4CC9" w:rsidRDefault="00B30EF0" w:rsidP="00CC6CAD">
            <w:pPr>
              <w:pStyle w:val="NoSpacing"/>
              <w:rPr>
                <w:color w:val="000000"/>
                <w:sz w:val="18"/>
                <w:szCs w:val="18"/>
              </w:rPr>
            </w:pPr>
            <w:r w:rsidRPr="004D4CC9">
              <w:rPr>
                <w:color w:val="000000"/>
                <w:sz w:val="18"/>
                <w:szCs w:val="18"/>
              </w:rPr>
              <w:t>NA</w:t>
            </w:r>
          </w:p>
        </w:tc>
        <w:tc>
          <w:tcPr>
            <w:tcW w:w="0" w:type="auto"/>
            <w:hideMark/>
          </w:tcPr>
          <w:p w14:paraId="57364377" w14:textId="77777777" w:rsidR="00B30EF0" w:rsidRPr="004D4CC9" w:rsidRDefault="00B30EF0" w:rsidP="00CC6CAD">
            <w:pPr>
              <w:pStyle w:val="NoSpacing"/>
              <w:rPr>
                <w:color w:val="000000"/>
                <w:sz w:val="18"/>
                <w:szCs w:val="18"/>
              </w:rPr>
            </w:pPr>
            <w:r w:rsidRPr="004D4CC9">
              <w:rPr>
                <w:i/>
                <w:iCs/>
                <w:color w:val="000000"/>
                <w:sz w:val="18"/>
                <w:szCs w:val="18"/>
              </w:rPr>
              <w:t>Poa</w:t>
            </w:r>
            <w:r w:rsidRPr="004D4CC9">
              <w:rPr>
                <w:color w:val="000000"/>
                <w:sz w:val="18"/>
                <w:szCs w:val="18"/>
              </w:rPr>
              <w:t> spp. (65%), </w:t>
            </w:r>
            <w:r w:rsidRPr="004D4CC9">
              <w:rPr>
                <w:i/>
                <w:iCs/>
                <w:color w:val="000000"/>
                <w:sz w:val="18"/>
                <w:szCs w:val="18"/>
              </w:rPr>
              <w:t>Ambrosia</w:t>
            </w:r>
            <w:r w:rsidRPr="004D4CC9">
              <w:rPr>
                <w:color w:val="000000"/>
                <w:sz w:val="18"/>
                <w:szCs w:val="18"/>
              </w:rPr>
              <w:t> (12%), </w:t>
            </w:r>
            <w:r w:rsidRPr="004D4CC9">
              <w:rPr>
                <w:i/>
                <w:iCs/>
                <w:color w:val="000000"/>
                <w:sz w:val="18"/>
                <w:szCs w:val="18"/>
              </w:rPr>
              <w:t>Carex</w:t>
            </w:r>
            <w:r w:rsidRPr="004D4CC9">
              <w:rPr>
                <w:color w:val="000000"/>
                <w:sz w:val="18"/>
                <w:szCs w:val="18"/>
              </w:rPr>
              <w:t> (10%), </w:t>
            </w:r>
            <w:r w:rsidRPr="004D4CC9">
              <w:rPr>
                <w:i/>
                <w:iCs/>
                <w:color w:val="000000"/>
                <w:sz w:val="18"/>
                <w:szCs w:val="18"/>
              </w:rPr>
              <w:t>Toxicodendron radicans</w:t>
            </w:r>
            <w:r w:rsidRPr="004D4CC9">
              <w:rPr>
                <w:color w:val="000000"/>
                <w:sz w:val="18"/>
                <w:szCs w:val="18"/>
              </w:rPr>
              <w:t> (10%), </w:t>
            </w:r>
            <w:r w:rsidRPr="004D4CC9">
              <w:rPr>
                <w:i/>
                <w:iCs/>
                <w:color w:val="000000"/>
                <w:sz w:val="18"/>
                <w:szCs w:val="18"/>
              </w:rPr>
              <w:t>Physallis</w:t>
            </w:r>
            <w:r w:rsidRPr="004D4CC9">
              <w:rPr>
                <w:color w:val="000000"/>
                <w:sz w:val="18"/>
                <w:szCs w:val="18"/>
              </w:rPr>
              <w:t> (6%)</w:t>
            </w:r>
          </w:p>
        </w:tc>
      </w:tr>
      <w:tr w:rsidR="00EE7A7E" w:rsidRPr="004D4CC9" w14:paraId="274ABF08" w14:textId="77777777" w:rsidTr="00CC6CAD">
        <w:tc>
          <w:tcPr>
            <w:tcW w:w="0" w:type="auto"/>
            <w:hideMark/>
          </w:tcPr>
          <w:p w14:paraId="788EEBB9" w14:textId="77777777" w:rsidR="00EE7A7E" w:rsidRPr="004D4CC9" w:rsidRDefault="00EE7A7E" w:rsidP="00CC6CAD">
            <w:pPr>
              <w:pStyle w:val="NoSpacing"/>
              <w:rPr>
                <w:color w:val="000000"/>
                <w:sz w:val="18"/>
                <w:szCs w:val="18"/>
              </w:rPr>
            </w:pPr>
            <w:r w:rsidRPr="004D4CC9">
              <w:rPr>
                <w:color w:val="000000"/>
                <w:sz w:val="18"/>
                <w:szCs w:val="18"/>
              </w:rPr>
              <w:t>Savannas</w:t>
            </w:r>
          </w:p>
        </w:tc>
        <w:tc>
          <w:tcPr>
            <w:tcW w:w="0" w:type="auto"/>
          </w:tcPr>
          <w:p w14:paraId="1DF60023" w14:textId="77777777" w:rsidR="00EE7A7E" w:rsidRPr="004D4CC9" w:rsidRDefault="00EE7A7E" w:rsidP="00CC6CAD">
            <w:pPr>
              <w:pStyle w:val="NoSpacing"/>
              <w:rPr>
                <w:color w:val="000000"/>
                <w:sz w:val="18"/>
                <w:szCs w:val="18"/>
              </w:rPr>
            </w:pPr>
          </w:p>
        </w:tc>
        <w:tc>
          <w:tcPr>
            <w:tcW w:w="0" w:type="auto"/>
          </w:tcPr>
          <w:p w14:paraId="016FEFCC" w14:textId="77777777" w:rsidR="00EE7A7E" w:rsidRPr="004D4CC9" w:rsidRDefault="00EE7A7E" w:rsidP="00CC6CAD">
            <w:pPr>
              <w:pStyle w:val="NoSpacing"/>
              <w:rPr>
                <w:color w:val="000000"/>
                <w:sz w:val="18"/>
                <w:szCs w:val="18"/>
              </w:rPr>
            </w:pPr>
          </w:p>
        </w:tc>
        <w:tc>
          <w:tcPr>
            <w:tcW w:w="0" w:type="auto"/>
          </w:tcPr>
          <w:p w14:paraId="3E4F179D" w14:textId="77777777" w:rsidR="00EE7A7E" w:rsidRPr="004D4CC9" w:rsidRDefault="00EE7A7E" w:rsidP="00CC6CAD">
            <w:pPr>
              <w:pStyle w:val="NoSpacing"/>
              <w:rPr>
                <w:color w:val="000000"/>
                <w:sz w:val="18"/>
                <w:szCs w:val="18"/>
              </w:rPr>
            </w:pPr>
          </w:p>
        </w:tc>
        <w:tc>
          <w:tcPr>
            <w:tcW w:w="0" w:type="auto"/>
          </w:tcPr>
          <w:p w14:paraId="0B827838" w14:textId="1035BC8B" w:rsidR="00EE7A7E" w:rsidRPr="004D4CC9" w:rsidRDefault="00EE7A7E" w:rsidP="00CC6CAD">
            <w:pPr>
              <w:pStyle w:val="NoSpacing"/>
              <w:rPr>
                <w:color w:val="000000"/>
                <w:sz w:val="18"/>
                <w:szCs w:val="18"/>
              </w:rPr>
            </w:pPr>
          </w:p>
        </w:tc>
      </w:tr>
      <w:tr w:rsidR="00B30EF0" w:rsidRPr="004D4CC9" w14:paraId="7A87331B" w14:textId="77777777" w:rsidTr="00CC6CAD">
        <w:tc>
          <w:tcPr>
            <w:tcW w:w="0" w:type="auto"/>
            <w:hideMark/>
          </w:tcPr>
          <w:p w14:paraId="798F62B4" w14:textId="77777777" w:rsidR="00B30EF0" w:rsidRPr="004D4CC9" w:rsidRDefault="00B30EF0" w:rsidP="00CC6CAD">
            <w:pPr>
              <w:pStyle w:val="NoSpacing"/>
              <w:rPr>
                <w:color w:val="000000"/>
                <w:sz w:val="18"/>
                <w:szCs w:val="18"/>
              </w:rPr>
            </w:pPr>
            <w:r w:rsidRPr="004D4CC9">
              <w:rPr>
                <w:color w:val="000000"/>
                <w:sz w:val="18"/>
                <w:szCs w:val="18"/>
              </w:rPr>
              <w:t>104</w:t>
            </w:r>
          </w:p>
        </w:tc>
        <w:tc>
          <w:tcPr>
            <w:tcW w:w="0" w:type="auto"/>
            <w:hideMark/>
          </w:tcPr>
          <w:p w14:paraId="0CCA9A91" w14:textId="77777777" w:rsidR="00B30EF0" w:rsidRPr="004D4CC9" w:rsidRDefault="00B30EF0" w:rsidP="00CC6CAD">
            <w:pPr>
              <w:pStyle w:val="NoSpacing"/>
              <w:rPr>
                <w:color w:val="000000"/>
                <w:sz w:val="18"/>
                <w:szCs w:val="18"/>
              </w:rPr>
            </w:pPr>
            <w:r w:rsidRPr="004D4CC9">
              <w:rPr>
                <w:color w:val="000000"/>
                <w:sz w:val="18"/>
                <w:szCs w:val="18"/>
              </w:rPr>
              <w:t>NA</w:t>
            </w:r>
          </w:p>
        </w:tc>
        <w:tc>
          <w:tcPr>
            <w:tcW w:w="0" w:type="auto"/>
            <w:hideMark/>
          </w:tcPr>
          <w:p w14:paraId="539853DD" w14:textId="77777777" w:rsidR="00B30EF0" w:rsidRPr="004D4CC9" w:rsidRDefault="00B30EF0" w:rsidP="00CC6CAD">
            <w:pPr>
              <w:pStyle w:val="NoSpacing"/>
              <w:rPr>
                <w:color w:val="000000"/>
                <w:sz w:val="18"/>
                <w:szCs w:val="18"/>
              </w:rPr>
            </w:pPr>
            <w:r w:rsidRPr="004D4CC9">
              <w:rPr>
                <w:color w:val="000000"/>
                <w:sz w:val="18"/>
                <w:szCs w:val="18"/>
              </w:rPr>
              <w:t>31</w:t>
            </w:r>
          </w:p>
        </w:tc>
        <w:tc>
          <w:tcPr>
            <w:tcW w:w="0" w:type="auto"/>
            <w:hideMark/>
          </w:tcPr>
          <w:p w14:paraId="15D61F0D" w14:textId="77777777" w:rsidR="00B30EF0" w:rsidRPr="004D4CC9" w:rsidRDefault="00B30EF0" w:rsidP="00CC6CAD">
            <w:pPr>
              <w:pStyle w:val="NoSpacing"/>
              <w:rPr>
                <w:color w:val="000000"/>
                <w:sz w:val="18"/>
                <w:szCs w:val="18"/>
              </w:rPr>
            </w:pPr>
            <w:r w:rsidRPr="004D4CC9">
              <w:rPr>
                <w:color w:val="000000"/>
                <w:sz w:val="18"/>
                <w:szCs w:val="18"/>
              </w:rPr>
              <w:t>1965</w:t>
            </w:r>
          </w:p>
        </w:tc>
        <w:tc>
          <w:tcPr>
            <w:tcW w:w="0" w:type="auto"/>
            <w:hideMark/>
          </w:tcPr>
          <w:p w14:paraId="5272006D" w14:textId="77777777" w:rsidR="00B30EF0" w:rsidRPr="004D4CC9" w:rsidRDefault="00B30EF0" w:rsidP="00CC6CAD">
            <w:pPr>
              <w:pStyle w:val="NoSpacing"/>
              <w:rPr>
                <w:color w:val="000000"/>
                <w:sz w:val="18"/>
                <w:szCs w:val="18"/>
              </w:rPr>
            </w:pPr>
            <w:r w:rsidRPr="004D4CC9">
              <w:rPr>
                <w:i/>
                <w:iCs/>
                <w:color w:val="000000"/>
                <w:sz w:val="18"/>
                <w:szCs w:val="18"/>
              </w:rPr>
              <w:t>Andropogon gerardi</w:t>
            </w:r>
            <w:r w:rsidRPr="004D4CC9">
              <w:rPr>
                <w:color w:val="000000"/>
                <w:sz w:val="18"/>
                <w:szCs w:val="18"/>
              </w:rPr>
              <w:t> (57%), </w:t>
            </w:r>
            <w:r w:rsidRPr="004D4CC9">
              <w:rPr>
                <w:i/>
                <w:iCs/>
                <w:color w:val="000000"/>
                <w:sz w:val="18"/>
                <w:szCs w:val="18"/>
              </w:rPr>
              <w:t>Carex</w:t>
            </w:r>
            <w:r w:rsidRPr="004D4CC9">
              <w:rPr>
                <w:color w:val="000000"/>
                <w:sz w:val="18"/>
                <w:szCs w:val="18"/>
              </w:rPr>
              <w:t> (12%), </w:t>
            </w:r>
            <w:r w:rsidRPr="004D4CC9">
              <w:rPr>
                <w:i/>
                <w:iCs/>
                <w:color w:val="000000"/>
                <w:sz w:val="18"/>
                <w:szCs w:val="18"/>
              </w:rPr>
              <w:t xml:space="preserve">Toxicodendron </w:t>
            </w:r>
            <w:proofErr w:type="gramStart"/>
            <w:r w:rsidRPr="004D4CC9">
              <w:rPr>
                <w:i/>
                <w:iCs/>
                <w:color w:val="000000"/>
                <w:sz w:val="18"/>
                <w:szCs w:val="18"/>
              </w:rPr>
              <w:t>radicans</w:t>
            </w:r>
            <w:r w:rsidRPr="004D4CC9">
              <w:rPr>
                <w:color w:val="000000"/>
                <w:sz w:val="18"/>
                <w:szCs w:val="18"/>
              </w:rPr>
              <w:t>(</w:t>
            </w:r>
            <w:proofErr w:type="gramEnd"/>
            <w:r w:rsidRPr="004D4CC9">
              <w:rPr>
                <w:color w:val="000000"/>
                <w:sz w:val="18"/>
                <w:szCs w:val="18"/>
              </w:rPr>
              <w:t>10%), </w:t>
            </w:r>
            <w:r w:rsidRPr="004D4CC9">
              <w:rPr>
                <w:i/>
                <w:iCs/>
                <w:color w:val="000000"/>
                <w:sz w:val="18"/>
                <w:szCs w:val="18"/>
              </w:rPr>
              <w:t>Rhus</w:t>
            </w:r>
            <w:r w:rsidRPr="004D4CC9">
              <w:rPr>
                <w:color w:val="000000"/>
                <w:sz w:val="18"/>
                <w:szCs w:val="18"/>
              </w:rPr>
              <w:t> (9%), bare (6%), </w:t>
            </w:r>
            <w:r w:rsidRPr="004D4CC9">
              <w:rPr>
                <w:i/>
                <w:iCs/>
                <w:color w:val="000000"/>
                <w:sz w:val="18"/>
                <w:szCs w:val="18"/>
              </w:rPr>
              <w:t>Ambrosia</w:t>
            </w:r>
            <w:r w:rsidRPr="004D4CC9">
              <w:rPr>
                <w:color w:val="000000"/>
                <w:sz w:val="18"/>
                <w:szCs w:val="18"/>
              </w:rPr>
              <w:t> (6%)</w:t>
            </w:r>
          </w:p>
        </w:tc>
      </w:tr>
      <w:tr w:rsidR="00B30EF0" w:rsidRPr="004D4CC9" w14:paraId="745B491E" w14:textId="77777777" w:rsidTr="00CC6CAD">
        <w:tc>
          <w:tcPr>
            <w:tcW w:w="0" w:type="auto"/>
            <w:hideMark/>
          </w:tcPr>
          <w:p w14:paraId="2FC08706" w14:textId="77777777" w:rsidR="00B30EF0" w:rsidRPr="004D4CC9" w:rsidRDefault="00B30EF0" w:rsidP="00CC6CAD">
            <w:pPr>
              <w:pStyle w:val="NoSpacing"/>
              <w:rPr>
                <w:color w:val="000000"/>
                <w:sz w:val="18"/>
                <w:szCs w:val="18"/>
              </w:rPr>
            </w:pPr>
            <w:r w:rsidRPr="004D4CC9">
              <w:rPr>
                <w:color w:val="000000"/>
                <w:sz w:val="18"/>
                <w:szCs w:val="18"/>
              </w:rPr>
              <w:t>106</w:t>
            </w:r>
          </w:p>
        </w:tc>
        <w:tc>
          <w:tcPr>
            <w:tcW w:w="0" w:type="auto"/>
            <w:hideMark/>
          </w:tcPr>
          <w:p w14:paraId="0808C088" w14:textId="77777777" w:rsidR="00B30EF0" w:rsidRPr="004D4CC9" w:rsidRDefault="00B30EF0" w:rsidP="00CC6CAD">
            <w:pPr>
              <w:pStyle w:val="NoSpacing"/>
              <w:rPr>
                <w:color w:val="000000"/>
                <w:sz w:val="18"/>
                <w:szCs w:val="18"/>
              </w:rPr>
            </w:pPr>
            <w:r w:rsidRPr="004D4CC9">
              <w:rPr>
                <w:color w:val="000000"/>
                <w:sz w:val="18"/>
                <w:szCs w:val="18"/>
              </w:rPr>
              <w:t>NA</w:t>
            </w:r>
          </w:p>
        </w:tc>
        <w:tc>
          <w:tcPr>
            <w:tcW w:w="0" w:type="auto"/>
            <w:hideMark/>
          </w:tcPr>
          <w:p w14:paraId="52CEE298" w14:textId="77777777" w:rsidR="00B30EF0" w:rsidRPr="004D4CC9" w:rsidRDefault="00B30EF0" w:rsidP="00CC6CAD">
            <w:pPr>
              <w:pStyle w:val="NoSpacing"/>
              <w:rPr>
                <w:color w:val="000000"/>
                <w:sz w:val="18"/>
                <w:szCs w:val="18"/>
              </w:rPr>
            </w:pPr>
            <w:r w:rsidRPr="004D4CC9">
              <w:rPr>
                <w:color w:val="000000"/>
                <w:sz w:val="18"/>
                <w:szCs w:val="18"/>
              </w:rPr>
              <w:t>25</w:t>
            </w:r>
          </w:p>
        </w:tc>
        <w:tc>
          <w:tcPr>
            <w:tcW w:w="0" w:type="auto"/>
            <w:hideMark/>
          </w:tcPr>
          <w:p w14:paraId="65D7BC1B" w14:textId="77777777" w:rsidR="00B30EF0" w:rsidRPr="004D4CC9" w:rsidRDefault="00B30EF0" w:rsidP="00CC6CAD">
            <w:pPr>
              <w:pStyle w:val="NoSpacing"/>
              <w:rPr>
                <w:color w:val="000000"/>
                <w:sz w:val="18"/>
                <w:szCs w:val="18"/>
              </w:rPr>
            </w:pPr>
            <w:r w:rsidRPr="004D4CC9">
              <w:rPr>
                <w:color w:val="000000"/>
                <w:sz w:val="18"/>
                <w:szCs w:val="18"/>
              </w:rPr>
              <w:t>1966</w:t>
            </w:r>
          </w:p>
        </w:tc>
        <w:tc>
          <w:tcPr>
            <w:tcW w:w="0" w:type="auto"/>
            <w:hideMark/>
          </w:tcPr>
          <w:p w14:paraId="20583E50" w14:textId="77777777" w:rsidR="00B30EF0" w:rsidRPr="004D4CC9" w:rsidRDefault="00B30EF0" w:rsidP="00CC6CAD">
            <w:pPr>
              <w:pStyle w:val="NoSpacing"/>
              <w:rPr>
                <w:color w:val="000000"/>
                <w:sz w:val="18"/>
                <w:szCs w:val="18"/>
              </w:rPr>
            </w:pPr>
            <w:r w:rsidRPr="004D4CC9">
              <w:rPr>
                <w:i/>
                <w:iCs/>
                <w:color w:val="000000"/>
                <w:sz w:val="18"/>
                <w:szCs w:val="18"/>
              </w:rPr>
              <w:t>Carex</w:t>
            </w:r>
            <w:r w:rsidRPr="004D4CC9">
              <w:rPr>
                <w:color w:val="000000"/>
                <w:sz w:val="18"/>
                <w:szCs w:val="18"/>
              </w:rPr>
              <w:t> (23%), </w:t>
            </w:r>
            <w:r w:rsidRPr="004D4CC9">
              <w:rPr>
                <w:i/>
                <w:iCs/>
                <w:color w:val="000000"/>
                <w:sz w:val="18"/>
                <w:szCs w:val="18"/>
              </w:rPr>
              <w:t>Andropogon gerardi</w:t>
            </w:r>
            <w:r w:rsidRPr="004D4CC9">
              <w:rPr>
                <w:color w:val="000000"/>
                <w:sz w:val="18"/>
                <w:szCs w:val="18"/>
              </w:rPr>
              <w:t> (15%), </w:t>
            </w:r>
            <w:r w:rsidRPr="004D4CC9">
              <w:rPr>
                <w:i/>
                <w:iCs/>
                <w:color w:val="000000"/>
                <w:sz w:val="18"/>
                <w:szCs w:val="18"/>
              </w:rPr>
              <w:t>Ambrosia</w:t>
            </w:r>
            <w:r w:rsidRPr="004D4CC9">
              <w:rPr>
                <w:color w:val="000000"/>
                <w:sz w:val="18"/>
                <w:szCs w:val="18"/>
              </w:rPr>
              <w:t> (12%), </w:t>
            </w:r>
            <w:proofErr w:type="gramStart"/>
            <w:r w:rsidRPr="004D4CC9">
              <w:rPr>
                <w:i/>
                <w:iCs/>
                <w:color w:val="000000"/>
                <w:sz w:val="18"/>
                <w:szCs w:val="18"/>
              </w:rPr>
              <w:t>Lathyrus</w:t>
            </w:r>
            <w:r w:rsidRPr="004D4CC9">
              <w:rPr>
                <w:color w:val="000000"/>
                <w:sz w:val="18"/>
                <w:szCs w:val="18"/>
              </w:rPr>
              <w:t>(</w:t>
            </w:r>
            <w:proofErr w:type="gramEnd"/>
            <w:r w:rsidRPr="004D4CC9">
              <w:rPr>
                <w:color w:val="000000"/>
                <w:sz w:val="18"/>
                <w:szCs w:val="18"/>
              </w:rPr>
              <w:t>10%), bare ground (9%), </w:t>
            </w:r>
            <w:r w:rsidRPr="004D4CC9">
              <w:rPr>
                <w:i/>
                <w:iCs/>
                <w:color w:val="000000"/>
                <w:sz w:val="18"/>
                <w:szCs w:val="18"/>
              </w:rPr>
              <w:t>Schizacharium scoparium</w:t>
            </w:r>
            <w:r w:rsidRPr="004D4CC9">
              <w:rPr>
                <w:color w:val="000000"/>
                <w:sz w:val="18"/>
                <w:szCs w:val="18"/>
              </w:rPr>
              <w:t> (5%)</w:t>
            </w:r>
          </w:p>
        </w:tc>
      </w:tr>
      <w:tr w:rsidR="00B30EF0" w:rsidRPr="004D4CC9" w14:paraId="3F6B60B6" w14:textId="77777777" w:rsidTr="00CC6CAD">
        <w:tc>
          <w:tcPr>
            <w:tcW w:w="0" w:type="auto"/>
            <w:hideMark/>
          </w:tcPr>
          <w:p w14:paraId="6D10FDBB" w14:textId="77777777" w:rsidR="00B30EF0" w:rsidRPr="004D4CC9" w:rsidRDefault="00B30EF0" w:rsidP="00CC6CAD">
            <w:pPr>
              <w:pStyle w:val="NoSpacing"/>
              <w:rPr>
                <w:color w:val="000000"/>
                <w:sz w:val="18"/>
                <w:szCs w:val="18"/>
              </w:rPr>
            </w:pPr>
            <w:r w:rsidRPr="004D4CC9">
              <w:rPr>
                <w:color w:val="000000"/>
                <w:sz w:val="18"/>
                <w:szCs w:val="18"/>
              </w:rPr>
              <w:t>115</w:t>
            </w:r>
          </w:p>
        </w:tc>
        <w:tc>
          <w:tcPr>
            <w:tcW w:w="0" w:type="auto"/>
            <w:hideMark/>
          </w:tcPr>
          <w:p w14:paraId="3FE2D643" w14:textId="77777777" w:rsidR="00B30EF0" w:rsidRPr="004D4CC9" w:rsidRDefault="00B30EF0" w:rsidP="00CC6CAD">
            <w:pPr>
              <w:pStyle w:val="NoSpacing"/>
              <w:rPr>
                <w:color w:val="000000"/>
                <w:sz w:val="18"/>
                <w:szCs w:val="18"/>
              </w:rPr>
            </w:pPr>
            <w:r w:rsidRPr="004D4CC9">
              <w:rPr>
                <w:color w:val="000000"/>
                <w:sz w:val="18"/>
                <w:szCs w:val="18"/>
              </w:rPr>
              <w:t>NA</w:t>
            </w:r>
          </w:p>
        </w:tc>
        <w:tc>
          <w:tcPr>
            <w:tcW w:w="0" w:type="auto"/>
            <w:hideMark/>
          </w:tcPr>
          <w:p w14:paraId="7C428E65" w14:textId="77777777" w:rsidR="00B30EF0" w:rsidRPr="004D4CC9" w:rsidRDefault="00B30EF0" w:rsidP="00CC6CAD">
            <w:pPr>
              <w:pStyle w:val="NoSpacing"/>
              <w:rPr>
                <w:color w:val="000000"/>
                <w:sz w:val="18"/>
                <w:szCs w:val="18"/>
              </w:rPr>
            </w:pPr>
            <w:r w:rsidRPr="004D4CC9">
              <w:rPr>
                <w:color w:val="000000"/>
                <w:sz w:val="18"/>
                <w:szCs w:val="18"/>
              </w:rPr>
              <w:t>4</w:t>
            </w:r>
          </w:p>
        </w:tc>
        <w:tc>
          <w:tcPr>
            <w:tcW w:w="0" w:type="auto"/>
            <w:hideMark/>
          </w:tcPr>
          <w:p w14:paraId="205DB287" w14:textId="77777777" w:rsidR="00B30EF0" w:rsidRPr="004D4CC9" w:rsidRDefault="00B30EF0" w:rsidP="00CC6CAD">
            <w:pPr>
              <w:pStyle w:val="NoSpacing"/>
              <w:rPr>
                <w:color w:val="000000"/>
                <w:sz w:val="18"/>
                <w:szCs w:val="18"/>
              </w:rPr>
            </w:pPr>
            <w:r w:rsidRPr="004D4CC9">
              <w:rPr>
                <w:color w:val="000000"/>
                <w:sz w:val="18"/>
                <w:szCs w:val="18"/>
              </w:rPr>
              <w:t>1992</w:t>
            </w:r>
          </w:p>
        </w:tc>
        <w:tc>
          <w:tcPr>
            <w:tcW w:w="0" w:type="auto"/>
            <w:hideMark/>
          </w:tcPr>
          <w:p w14:paraId="4596A601" w14:textId="77777777" w:rsidR="00B30EF0" w:rsidRPr="004D4CC9" w:rsidRDefault="00B30EF0" w:rsidP="00CC6CAD">
            <w:pPr>
              <w:pStyle w:val="NoSpacing"/>
              <w:rPr>
                <w:color w:val="000000"/>
                <w:sz w:val="18"/>
                <w:szCs w:val="18"/>
              </w:rPr>
            </w:pPr>
            <w:r w:rsidRPr="004D4CC9">
              <w:rPr>
                <w:i/>
                <w:iCs/>
                <w:color w:val="000000"/>
                <w:sz w:val="18"/>
                <w:szCs w:val="18"/>
              </w:rPr>
              <w:t>Andropogon gerardi</w:t>
            </w:r>
            <w:r w:rsidRPr="004D4CC9">
              <w:rPr>
                <w:color w:val="000000"/>
                <w:sz w:val="18"/>
                <w:szCs w:val="18"/>
              </w:rPr>
              <w:t> (49%), bare (20%), </w:t>
            </w:r>
            <w:r w:rsidRPr="004D4CC9">
              <w:rPr>
                <w:i/>
                <w:iCs/>
                <w:color w:val="000000"/>
                <w:sz w:val="18"/>
                <w:szCs w:val="18"/>
              </w:rPr>
              <w:t>Carex</w:t>
            </w:r>
            <w:r w:rsidRPr="004D4CC9">
              <w:rPr>
                <w:color w:val="000000"/>
                <w:sz w:val="18"/>
                <w:szCs w:val="18"/>
              </w:rPr>
              <w:t> (11%), </w:t>
            </w:r>
            <w:proofErr w:type="gramStart"/>
            <w:r w:rsidRPr="004D4CC9">
              <w:rPr>
                <w:i/>
                <w:iCs/>
                <w:color w:val="000000"/>
                <w:sz w:val="18"/>
                <w:szCs w:val="18"/>
              </w:rPr>
              <w:t>Ambrosia</w:t>
            </w:r>
            <w:r w:rsidRPr="004D4CC9">
              <w:rPr>
                <w:color w:val="000000"/>
                <w:sz w:val="18"/>
                <w:szCs w:val="18"/>
              </w:rPr>
              <w:t>(</w:t>
            </w:r>
            <w:proofErr w:type="gramEnd"/>
            <w:r w:rsidRPr="004D4CC9">
              <w:rPr>
                <w:color w:val="000000"/>
                <w:sz w:val="18"/>
                <w:szCs w:val="18"/>
              </w:rPr>
              <w:t>10%)</w:t>
            </w:r>
          </w:p>
        </w:tc>
      </w:tr>
    </w:tbl>
    <w:p w14:paraId="1569F29F" w14:textId="77777777" w:rsidR="00B30EF0" w:rsidRPr="004D4CC9" w:rsidRDefault="00B30EF0" w:rsidP="00CC6CAD">
      <w:pPr>
        <w:pStyle w:val="NoSpacing"/>
        <w:rPr>
          <w:sz w:val="24"/>
          <w:szCs w:val="24"/>
        </w:rPr>
      </w:pPr>
      <w:r w:rsidRPr="004D4CC9">
        <w:rPr>
          <w:rStyle w:val="number"/>
          <w:rFonts w:cstheme="minorHAnsi"/>
          <w:color w:val="1C1D1E"/>
        </w:rPr>
        <w:t>* </w:t>
      </w:r>
      <w:r w:rsidRPr="004D4CC9">
        <w:t>Site numbers are Cedar Natural History Area old‐field numbers and burn‐unit numbers.</w:t>
      </w:r>
    </w:p>
    <w:p w14:paraId="1C8D82B3" w14:textId="77777777" w:rsidR="00B30EF0" w:rsidRPr="004D4CC9" w:rsidRDefault="00B30EF0" w:rsidP="00CC6CAD">
      <w:pPr>
        <w:pStyle w:val="NoSpacing"/>
      </w:pPr>
      <w:r w:rsidRPr="004D4CC9">
        <w:rPr>
          <w:rStyle w:val="number"/>
          <w:rFonts w:cstheme="minorHAnsi"/>
          <w:color w:val="1C1D1E"/>
        </w:rPr>
        <w:t>† </w:t>
      </w:r>
      <w:r w:rsidRPr="004D4CC9">
        <w:t>Years of first prescribed burn. Natural fire was probably common prior to 1900.</w:t>
      </w:r>
    </w:p>
    <w:p w14:paraId="7BDBC4B2" w14:textId="77777777" w:rsidR="00B30EF0" w:rsidRPr="004D4CC9" w:rsidRDefault="00B30EF0" w:rsidP="00CC6CAD">
      <w:pPr>
        <w:pStyle w:val="NoSpacing"/>
      </w:pPr>
      <w:r w:rsidRPr="004D4CC9">
        <w:rPr>
          <w:rStyle w:val="number"/>
          <w:rFonts w:cstheme="minorHAnsi"/>
          <w:color w:val="1C1D1E"/>
        </w:rPr>
        <w:t>‡ </w:t>
      </w:r>
      <w:r w:rsidRPr="004D4CC9">
        <w:t>Averages of mid‐points of Daubenmire cover classes, for all herbaceous species comprising 5% or more of cover. Because these were taken as mid‐points of cover classes, they do not necessarily sum to 100%.</w:t>
      </w:r>
    </w:p>
    <w:p w14:paraId="09BD1862" w14:textId="77777777" w:rsidR="00CC6CAD" w:rsidRDefault="00CC6CAD" w:rsidP="00EE7A7E">
      <w:pPr>
        <w:rPr>
          <w:rFonts w:cstheme="minorHAnsi"/>
        </w:rPr>
      </w:pPr>
    </w:p>
    <w:p w14:paraId="3915DF4B" w14:textId="51176651" w:rsidR="00B30EF0" w:rsidRPr="004D4CC9" w:rsidRDefault="00B30EF0" w:rsidP="00EE7A7E">
      <w:pPr>
        <w:rPr>
          <w:rFonts w:cstheme="minorHAnsi"/>
        </w:rPr>
      </w:pPr>
      <w:r w:rsidRPr="004D4CC9">
        <w:rPr>
          <w:rFonts w:cstheme="minorHAnsi"/>
        </w:rPr>
        <w:t>Within each site we had two distance treatments (near‐trees and distant), each of which was replicated twice. In old‐fields, distant treatments averaged 20.3 m from trees (range 10.5–35 m), while in savannas distant treatments were an average of 14.4 m from trees (range 10.0–17.5 m). We located near‐tree plots just beyond drip line, an average of 3.6 m from the base of adult trees in old‐fields and 4.5 m from the base of adult trees in savannas. Focal trees were all </w:t>
      </w:r>
      <w:r w:rsidRPr="004D4CC9">
        <w:rPr>
          <w:rFonts w:cstheme="minorHAnsi"/>
          <w:i/>
          <w:iCs/>
        </w:rPr>
        <w:t>Quercus ellipsoidalis</w:t>
      </w:r>
      <w:r w:rsidRPr="004D4CC9">
        <w:rPr>
          <w:rFonts w:cstheme="minorHAnsi"/>
        </w:rPr>
        <w:t>, but </w:t>
      </w:r>
      <w:r w:rsidRPr="004D4CC9">
        <w:rPr>
          <w:rFonts w:cstheme="minorHAnsi"/>
          <w:i/>
          <w:iCs/>
        </w:rPr>
        <w:t>Q. macrocarpa</w:t>
      </w:r>
      <w:r w:rsidRPr="004D4CC9">
        <w:rPr>
          <w:rFonts w:cstheme="minorHAnsi"/>
        </w:rPr>
        <w:t> was present in all sites.</w:t>
      </w:r>
    </w:p>
    <w:p w14:paraId="17241930" w14:textId="77777777" w:rsidR="00B30EF0" w:rsidRPr="004D4CC9" w:rsidRDefault="00B30EF0" w:rsidP="00EE7A7E">
      <w:pPr>
        <w:rPr>
          <w:rFonts w:cstheme="minorHAnsi"/>
        </w:rPr>
      </w:pPr>
      <w:r w:rsidRPr="004D4CC9">
        <w:rPr>
          <w:rFonts w:cstheme="minorHAnsi"/>
        </w:rPr>
        <w:t>Within each distance‐treatment replicate, we had three (1 m × 1.8 m) resource‐addition plots (nitrogen added, +N; water added, +W; and control, C), each of which was further divided into two (1 m × 0.9 m) clipping treatments (clipped and unclipped). We applied 5 g m</w:t>
      </w:r>
      <w:r w:rsidRPr="004D4CC9">
        <w:rPr>
          <w:rFonts w:cstheme="minorHAnsi"/>
          <w:sz w:val="18"/>
          <w:szCs w:val="18"/>
          <w:vertAlign w:val="superscript"/>
        </w:rPr>
        <w:t>−2</w:t>
      </w:r>
      <w:r w:rsidRPr="004D4CC9">
        <w:rPr>
          <w:rFonts w:cstheme="minorHAnsi"/>
        </w:rPr>
        <w:t> y</w:t>
      </w:r>
      <w:r w:rsidRPr="004D4CC9">
        <w:rPr>
          <w:rFonts w:cstheme="minorHAnsi"/>
          <w:sz w:val="18"/>
          <w:szCs w:val="18"/>
          <w:vertAlign w:val="superscript"/>
        </w:rPr>
        <w:t>−1</w:t>
      </w:r>
      <w:r w:rsidRPr="004D4CC9">
        <w:rPr>
          <w:rFonts w:cstheme="minorHAnsi"/>
        </w:rPr>
        <w:t> N as granular NH</w:t>
      </w:r>
      <w:r w:rsidRPr="004D4CC9">
        <w:rPr>
          <w:rFonts w:cstheme="minorHAnsi"/>
          <w:sz w:val="18"/>
          <w:szCs w:val="18"/>
          <w:vertAlign w:val="subscript"/>
        </w:rPr>
        <w:t>4</w:t>
      </w:r>
      <w:r w:rsidRPr="004D4CC9">
        <w:rPr>
          <w:rFonts w:cstheme="minorHAnsi"/>
        </w:rPr>
        <w:t>NO</w:t>
      </w:r>
      <w:r w:rsidRPr="004D4CC9">
        <w:rPr>
          <w:rFonts w:cstheme="minorHAnsi"/>
          <w:sz w:val="18"/>
          <w:szCs w:val="18"/>
          <w:vertAlign w:val="subscript"/>
        </w:rPr>
        <w:t>3</w:t>
      </w:r>
      <w:r w:rsidRPr="004D4CC9">
        <w:rPr>
          <w:rFonts w:cstheme="minorHAnsi"/>
        </w:rPr>
        <w:t> divided into three applications per year to the +N plots (</w:t>
      </w:r>
      <w:r w:rsidRPr="004D4CC9">
        <w:rPr>
          <w:rFonts w:cstheme="minorHAnsi"/>
          <w:i/>
          <w:iCs/>
        </w:rPr>
        <w:t>c</w:t>
      </w:r>
      <w:r w:rsidRPr="004D4CC9">
        <w:rPr>
          <w:rFonts w:cstheme="minorHAnsi"/>
        </w:rPr>
        <w:t>. 1 June, 1 July and 1 August of each year). We applied the equivalent of 1 cm precipitation two times per week to the +W plots with a backpack water tank through the growing season (June–August), except when &gt; 1 cm of rain fell within 24 hours of a scheduled watering. Three times per year we clipped herbaceous vegetation on half of each plot, clipping as close to the ground level as possible with electric hand‐held clippers. We removed vegetation clipped in spring of 2001 to avoid creating a heavy mulch layer and left subsequent clippings in place to minimize nutrient removal. We protected the plots with a 1.25‐cm‐mesh cage (1 m × 1.8 m) to reduce mammalian herbivory. To test for herbivore and cage effects we included an unclipped half‐plot (1 m × 0.9 m) with no cage (designated X in </w:t>
      </w:r>
      <w:hyperlink r:id="rId61" w:anchor="f2" w:history="1">
        <w:r w:rsidRPr="004D4CC9">
          <w:rPr>
            <w:rStyle w:val="Hyperlink"/>
            <w:rFonts w:eastAsiaTheme="majorEastAsia" w:cstheme="minorHAnsi"/>
            <w:b/>
            <w:bCs/>
            <w:color w:val="005274"/>
          </w:rPr>
          <w:t>Fig. 2</w:t>
        </w:r>
      </w:hyperlink>
      <w:r w:rsidRPr="004D4CC9">
        <w:rPr>
          <w:rFonts w:cstheme="minorHAnsi"/>
        </w:rPr>
        <w:t>).</w:t>
      </w:r>
    </w:p>
    <w:p w14:paraId="5EE71137" w14:textId="77777777" w:rsidR="00B30EF0" w:rsidRPr="004D4CC9" w:rsidRDefault="00B30EF0" w:rsidP="00ED48B7">
      <w:pPr>
        <w:rPr>
          <w:rFonts w:cstheme="minorHAnsi"/>
        </w:rPr>
      </w:pPr>
      <w:r w:rsidRPr="004D4CC9">
        <w:rPr>
          <w:rFonts w:cstheme="minorHAnsi"/>
        </w:rPr>
        <w:t>We planted 15 pin oak (</w:t>
      </w:r>
      <w:r w:rsidRPr="004D4CC9">
        <w:rPr>
          <w:rFonts w:cstheme="minorHAnsi"/>
          <w:i/>
          <w:iCs/>
        </w:rPr>
        <w:t>Quercus ellipsoidalis</w:t>
      </w:r>
      <w:r w:rsidRPr="004D4CC9">
        <w:rPr>
          <w:rFonts w:cstheme="minorHAnsi"/>
        </w:rPr>
        <w:t>) and 15 bur oak (</w:t>
      </w:r>
      <w:r w:rsidRPr="004D4CC9">
        <w:rPr>
          <w:rFonts w:cstheme="minorHAnsi"/>
          <w:i/>
          <w:iCs/>
        </w:rPr>
        <w:t>Quercus macrocarpa</w:t>
      </w:r>
      <w:r w:rsidRPr="004D4CC9">
        <w:rPr>
          <w:rFonts w:cstheme="minorHAnsi"/>
        </w:rPr>
        <w:t>) seeds in a regular grid pattern, alternating species, in each half‐plot (1 m × 0.9 m). We first planted in spring of 2001; however, because of low germination, we removed and discarded all seedlings in autumn of 2001 and replanted that autumn. We initiated clipping, +W and +N treatments in the spring of 2001 and continued until the final harvest in autumn 2004.</w:t>
      </w:r>
    </w:p>
    <w:p w14:paraId="618C4F75"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site variables</w:t>
      </w:r>
    </w:p>
    <w:p w14:paraId="5ED12B98" w14:textId="77777777" w:rsidR="00B30EF0" w:rsidRPr="004D4CC9" w:rsidRDefault="00B30EF0" w:rsidP="00ED48B7">
      <w:pPr>
        <w:rPr>
          <w:rFonts w:cstheme="minorHAnsi"/>
        </w:rPr>
      </w:pPr>
      <w:r w:rsidRPr="004D4CC9">
        <w:rPr>
          <w:rFonts w:cstheme="minorHAnsi"/>
        </w:rPr>
        <w:t>We measured soil moisture every 2–3 days over a period of 2 months (13 May 2002 to 12 July 2002), taking measurements at each near and distant treatment with a TDR (time domain reflectometry) probe (Trime‐FM3 with 20 cm P3 rod probe; Ikmo, Ettlingen, Germany) adjacent to the C treatment plot and away from the +W plot. The objective of this sampling was to capture a strong drying trend and at least one re‐wetting of the soil. We characterized the herbaceous community in each of the unclipped plots by visually estimating percentage cover using Daubenmire cover classes, excluding species comprising less than 5% cover (Daubenmire class 1). We summarized the herbaceous cover data using principal components on herbaceous species found across three or more of the six sites. Statistics were performed on the mid‐points of the cover classes. We used ion exchange resin to characterize available NO</w:t>
      </w:r>
      <w:r w:rsidRPr="004D4CC9">
        <w:rPr>
          <w:rFonts w:cstheme="minorHAnsi"/>
          <w:sz w:val="18"/>
          <w:szCs w:val="18"/>
          <w:vertAlign w:val="subscript"/>
        </w:rPr>
        <w:t>3</w:t>
      </w:r>
      <w:r w:rsidRPr="004D4CC9">
        <w:rPr>
          <w:rFonts w:cstheme="minorHAnsi"/>
        </w:rPr>
        <w:t>‐N, NH</w:t>
      </w:r>
      <w:r w:rsidRPr="004D4CC9">
        <w:rPr>
          <w:rFonts w:cstheme="minorHAnsi"/>
          <w:sz w:val="18"/>
          <w:szCs w:val="18"/>
          <w:vertAlign w:val="subscript"/>
        </w:rPr>
        <w:t>4</w:t>
      </w:r>
      <w:r w:rsidRPr="004D4CC9">
        <w:rPr>
          <w:rFonts w:cstheme="minorHAnsi"/>
        </w:rPr>
        <w:t>‐N, and PO</w:t>
      </w:r>
      <w:r w:rsidRPr="004D4CC9">
        <w:rPr>
          <w:rFonts w:cstheme="minorHAnsi"/>
          <w:sz w:val="18"/>
          <w:szCs w:val="18"/>
          <w:vertAlign w:val="subscript"/>
        </w:rPr>
        <w:t>4</w:t>
      </w:r>
      <w:r w:rsidRPr="004D4CC9">
        <w:rPr>
          <w:rFonts w:cstheme="minorHAnsi"/>
        </w:rPr>
        <w:t>‐P following protocols described previously (</w:t>
      </w:r>
      <w:hyperlink r:id="rId62" w:anchor="b33" w:history="1">
        <w:r w:rsidRPr="004D4CC9">
          <w:rPr>
            <w:rStyle w:val="Hyperlink"/>
            <w:rFonts w:eastAsiaTheme="majorEastAsia" w:cstheme="minorHAnsi"/>
            <w:b/>
            <w:bCs/>
            <w:color w:val="000000"/>
          </w:rPr>
          <w:t>Hobbie 2005</w:t>
        </w:r>
      </w:hyperlink>
      <w:r w:rsidRPr="004D4CC9">
        <w:rPr>
          <w:rFonts w:cstheme="minorHAnsi"/>
        </w:rPr>
        <w:t>). To protect against loss of samples, we buried four ion exchange resin bags at each distance replicate and used the average value from each set for analyses.</w:t>
      </w:r>
    </w:p>
    <w:p w14:paraId="19825C3C"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seedling response measurements</w:t>
      </w:r>
    </w:p>
    <w:p w14:paraId="3919207F" w14:textId="77777777" w:rsidR="00B30EF0" w:rsidRPr="004D4CC9" w:rsidRDefault="00B30EF0" w:rsidP="00ED48B7">
      <w:pPr>
        <w:rPr>
          <w:rFonts w:cstheme="minorHAnsi"/>
        </w:rPr>
      </w:pPr>
      <w:r w:rsidRPr="004D4CC9">
        <w:rPr>
          <w:rFonts w:cstheme="minorHAnsi"/>
        </w:rPr>
        <w:t>We counted seedlings periodically (three times in 2002, and twice in 2003 and 2004), marking all germinated seedlings with colour‐coded, painted, galvanized nails placed in the soil adjacent to seedlings. Thus, we were able to track germination and survival independently and avoid any risk of counting a top‐killed and resprouted seedling as a new germinant. In cases where both a seedling and the marker disappeared, we counted the seedling as killed; typically, this was associated with pocket gopher (</w:t>
      </w:r>
      <w:r w:rsidRPr="004D4CC9">
        <w:rPr>
          <w:rFonts w:cstheme="minorHAnsi"/>
          <w:i/>
          <w:iCs/>
        </w:rPr>
        <w:t>Geomys bursarius</w:t>
      </w:r>
      <w:r w:rsidRPr="004D4CC9">
        <w:rPr>
          <w:rFonts w:cstheme="minorHAnsi"/>
        </w:rPr>
        <w:t>) activity. During clipping of vegetation, a small number of seedlings were inadvertently cut. We recorded clipping independently of natural mortality and made a correction in the final analysis for calculation of survival.</w:t>
      </w:r>
    </w:p>
    <w:p w14:paraId="1400728B" w14:textId="77777777" w:rsidR="00B30EF0" w:rsidRPr="004D4CC9" w:rsidRDefault="00B30EF0" w:rsidP="00ED48B7">
      <w:pPr>
        <w:rPr>
          <w:rFonts w:cstheme="minorHAnsi"/>
        </w:rPr>
      </w:pPr>
      <w:r w:rsidRPr="004D4CC9">
        <w:rPr>
          <w:rFonts w:cstheme="minorHAnsi"/>
        </w:rPr>
        <w:t>We destructively harvested one seedling of each species from each treatment plot in the autumn of 2002 and again in the autumn of 2004. Growth was measured as height and above‐ground biomass. We did not attempt to measure below‐ground biomass, as the long taproots of seedlings and the dense herbaceous vegetation prevented complete root harvests. We measured foliar nitrogen concentrations in C and +W plots in 2002, and in C plots only in 2004, on an ECS 4010 element analyser (Costech Analytical, Valencia, CA, USA) at the University of Nebraska, compositing all leaves from a seedling into one sample. Financial constraints prevented measuring nutrient levels in all treatments.</w:t>
      </w:r>
    </w:p>
    <w:p w14:paraId="70370021" w14:textId="77777777" w:rsidR="00B30EF0" w:rsidRPr="004D4CC9" w:rsidRDefault="00B30EF0" w:rsidP="00ED48B7">
      <w:pPr>
        <w:rPr>
          <w:rFonts w:cstheme="minorHAnsi"/>
        </w:rPr>
      </w:pPr>
      <w:r w:rsidRPr="004D4CC9">
        <w:rPr>
          <w:rFonts w:cstheme="minorHAnsi"/>
        </w:rPr>
        <w:t>We counted the percentage of root tips infected by ectomycorrhizal fungi in the C and +W treatment seedlings in 2002 and 2004. We did not identify mycorrhizal species; effects of distance on mycorrhizal infection were described previously (</w:t>
      </w:r>
      <w:hyperlink r:id="rId63" w:anchor="b34" w:history="1">
        <w:r w:rsidRPr="004D4CC9">
          <w:rPr>
            <w:rStyle w:val="Hyperlink"/>
            <w:rFonts w:eastAsiaTheme="majorEastAsia" w:cstheme="minorHAnsi"/>
            <w:b/>
            <w:bCs/>
            <w:color w:val="000000"/>
          </w:rPr>
          <w:t>Dickie &amp; Reich 2005</w:t>
        </w:r>
      </w:hyperlink>
      <w:r w:rsidRPr="004D4CC9">
        <w:rPr>
          <w:rFonts w:cstheme="minorHAnsi"/>
        </w:rPr>
        <w:t>). Preliminary measurements indicated that arbuscular mycorrhizal infection was rare, and were therefore discontinued.</w:t>
      </w:r>
    </w:p>
    <w:p w14:paraId="090CF6B1"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b/>
          <w:bCs/>
          <w:smallCaps/>
          <w:color w:val="1F1F1F"/>
          <w:sz w:val="33"/>
          <w:szCs w:val="33"/>
        </w:rPr>
        <w:t>statistics</w:t>
      </w:r>
    </w:p>
    <w:p w14:paraId="51608BCA" w14:textId="77777777" w:rsidR="00B30EF0" w:rsidRPr="004D4CC9" w:rsidRDefault="00B30EF0" w:rsidP="00ED48B7">
      <w:pPr>
        <w:rPr>
          <w:rFonts w:cstheme="minorHAnsi"/>
        </w:rPr>
      </w:pPr>
      <w:r w:rsidRPr="004D4CC9">
        <w:rPr>
          <w:rFonts w:cstheme="minorHAnsi"/>
        </w:rPr>
        <w:t>We tested the significance of all response variables by deletion from the maximal model of Site × Distance × Resource addition × Clipping shown in </w:t>
      </w:r>
      <w:hyperlink r:id="rId64" w:anchor="t2" w:history="1">
        <w:r w:rsidRPr="004D4CC9">
          <w:rPr>
            <w:rStyle w:val="Hyperlink"/>
            <w:rFonts w:eastAsiaTheme="majorEastAsia" w:cstheme="minorHAnsi"/>
            <w:b/>
            <w:bCs/>
            <w:color w:val="005274"/>
          </w:rPr>
          <w:t>Table 2</w:t>
        </w:r>
      </w:hyperlink>
      <w:r w:rsidRPr="004D4CC9">
        <w:rPr>
          <w:rFonts w:cstheme="minorHAnsi"/>
        </w:rPr>
        <w:t>, with statistics run in R (version 2.0.1; </w:t>
      </w:r>
      <w:hyperlink r:id="rId65" w:anchor="b35" w:history="1">
        <w:r w:rsidRPr="004D4CC9">
          <w:rPr>
            <w:rStyle w:val="Hyperlink"/>
            <w:rFonts w:eastAsiaTheme="majorEastAsia" w:cstheme="minorHAnsi"/>
            <w:b/>
            <w:bCs/>
            <w:color w:val="000000"/>
          </w:rPr>
          <w:t>R Development Core Team 2005</w:t>
        </w:r>
      </w:hyperlink>
      <w:r w:rsidRPr="004D4CC9">
        <w:rPr>
          <w:rFonts w:cstheme="minorHAnsi"/>
        </w:rPr>
        <w:t>). Binomial response variables (germination, survival) were tested using glmmPQL (generalized linear mixed models via penalized quasi‐likelihood), while continuous response variables (e.g. height, mass) were tested using lme (linear mixed effect models). Models were simplified following the procedure described in </w:t>
      </w:r>
      <w:hyperlink r:id="rId66" w:anchor="b36" w:history="1">
        <w:r w:rsidRPr="004D4CC9">
          <w:rPr>
            <w:rStyle w:val="Hyperlink"/>
            <w:rFonts w:eastAsiaTheme="majorEastAsia" w:cstheme="minorHAnsi"/>
            <w:b/>
            <w:bCs/>
            <w:color w:val="000000"/>
          </w:rPr>
          <w:t>Crawley (2002</w:t>
        </w:r>
      </w:hyperlink>
      <w:r w:rsidRPr="004D4CC9">
        <w:rPr>
          <w:rFonts w:cstheme="minorHAnsi"/>
        </w:rPr>
        <w:t>), deleting least‐significant terms until a minimal adequate model was obtained. Second‐order and third‐order interactions were considered significant at α = 0.01; main effects and first‐order interactions were considered significant at α = 0.05 following </w:t>
      </w:r>
      <w:hyperlink r:id="rId67" w:anchor="b36" w:history="1">
        <w:r w:rsidRPr="004D4CC9">
          <w:rPr>
            <w:rStyle w:val="Hyperlink"/>
            <w:rFonts w:eastAsiaTheme="majorEastAsia" w:cstheme="minorHAnsi"/>
            <w:b/>
            <w:bCs/>
            <w:color w:val="000000"/>
          </w:rPr>
          <w:t>Crawley (2002</w:t>
        </w:r>
      </w:hyperlink>
      <w:r w:rsidRPr="004D4CC9">
        <w:rPr>
          <w:rFonts w:cstheme="minorHAnsi"/>
        </w:rPr>
        <w:t>). For analysis of the effect of the cage, we compared results in the unclipped C plot with the cage‐control plots.</w:t>
      </w:r>
    </w:p>
    <w:p w14:paraId="7FDF93A7" w14:textId="77777777" w:rsidR="00B30EF0" w:rsidRPr="004D4CC9" w:rsidRDefault="00B30EF0" w:rsidP="00E115A5">
      <w:pPr>
        <w:pStyle w:val="NoSpacing"/>
      </w:pPr>
      <w:r w:rsidRPr="004D4CC9">
        <w:rPr>
          <w:rStyle w:val="table-captionlabel"/>
          <w:rFonts w:cstheme="minorHAnsi"/>
          <w:b/>
          <w:bCs/>
          <w:color w:val="1C1D1E"/>
        </w:rPr>
        <w:t>Table 2. </w:t>
      </w:r>
      <w:r w:rsidRPr="004D4CC9">
        <w:t>Summary of </w:t>
      </w:r>
      <w:r w:rsidRPr="004D4CC9">
        <w:rPr>
          <w:i/>
          <w:iCs/>
        </w:rPr>
        <w:t>P</w:t>
      </w:r>
      <w:r w:rsidRPr="004D4CC9">
        <w:t>‐values for all main effects and interactions. </w:t>
      </w:r>
      <w:r w:rsidRPr="004D4CC9">
        <w:rPr>
          <w:i/>
          <w:iCs/>
        </w:rPr>
        <w:t>P</w:t>
      </w:r>
      <w:r w:rsidRPr="004D4CC9">
        <w:t>‐values are for minimal adequate models for all response variables showing significant responses to at least one factor at </w:t>
      </w:r>
      <w:r w:rsidRPr="004D4CC9">
        <w:rPr>
          <w:i/>
          <w:iCs/>
        </w:rPr>
        <w:t>P</w:t>
      </w:r>
      <w:r w:rsidRPr="004D4CC9">
        <w:t> &lt; 0.05 for main effects and first‐order interactions and </w:t>
      </w:r>
      <w:r w:rsidRPr="004D4CC9">
        <w:rPr>
          <w:i/>
          <w:iCs/>
        </w:rPr>
        <w:t>P</w:t>
      </w:r>
      <w:r w:rsidRPr="004D4CC9">
        <w:t> &lt; 0.01 for higher‐level interactions (</w:t>
      </w:r>
      <w:hyperlink r:id="rId68" w:anchor="b36" w:history="1">
        <w:r w:rsidRPr="004D4CC9">
          <w:rPr>
            <w:rStyle w:val="Hyperlink"/>
            <w:rFonts w:cstheme="minorHAnsi"/>
            <w:color w:val="000000"/>
          </w:rPr>
          <w:t>Crawley 2002</w:t>
        </w:r>
      </w:hyperlink>
      <w:r w:rsidRPr="004D4CC9">
        <w:t xml:space="preserve">), as found by deletion from the maximal model: response </w:t>
      </w:r>
      <w:r w:rsidRPr="004D4CC9">
        <w:rPr>
          <w:rFonts w:ascii="Cambria Math" w:hAnsi="Cambria Math" w:cs="Cambria Math"/>
        </w:rPr>
        <w:t>∼</w:t>
      </w:r>
      <w:r w:rsidRPr="004D4CC9">
        <w:t xml:space="preserve"> Site × Distance × Resource addition × Clipping (following </w:t>
      </w:r>
      <w:hyperlink r:id="rId69" w:anchor="b36" w:history="1">
        <w:r w:rsidRPr="004D4CC9">
          <w:rPr>
            <w:rStyle w:val="Hyperlink"/>
            <w:rFonts w:cstheme="minorHAnsi"/>
            <w:color w:val="000000"/>
          </w:rPr>
          <w:t>Crawley 2002</w:t>
        </w:r>
      </w:hyperlink>
      <w:r w:rsidRPr="004D4CC9">
        <w:t>). Terms included in the minimal adequate model as marginal‐to‐significant interaction are indicated by *, factors not included in the minimal adequate model are indicated by ‘.’. Interactions that never had significant effects (S × D × R × C, S × D × C, and S × R × C) are omitted, as are response variables that showed no significant responses (bur germination, bur oak mass at year 1). Myc = mycorrhizal infection</w:t>
      </w:r>
    </w:p>
    <w:tbl>
      <w:tblPr>
        <w:tblStyle w:val="TableGrid"/>
        <w:tblW w:w="0" w:type="auto"/>
        <w:tblLook w:val="04A0" w:firstRow="1" w:lastRow="0" w:firstColumn="1" w:lastColumn="0" w:noHBand="0" w:noVBand="1"/>
      </w:tblPr>
      <w:tblGrid>
        <w:gridCol w:w="1036"/>
        <w:gridCol w:w="593"/>
        <w:gridCol w:w="921"/>
        <w:gridCol w:w="973"/>
        <w:gridCol w:w="876"/>
        <w:gridCol w:w="625"/>
        <w:gridCol w:w="610"/>
        <w:gridCol w:w="608"/>
        <w:gridCol w:w="641"/>
        <w:gridCol w:w="639"/>
        <w:gridCol w:w="676"/>
        <w:gridCol w:w="925"/>
        <w:gridCol w:w="947"/>
      </w:tblGrid>
      <w:tr w:rsidR="00B30EF0" w:rsidRPr="004D4CC9" w14:paraId="60D30999" w14:textId="77777777" w:rsidTr="00E115A5">
        <w:tc>
          <w:tcPr>
            <w:tcW w:w="0" w:type="auto"/>
            <w:hideMark/>
          </w:tcPr>
          <w:p w14:paraId="3F30749D" w14:textId="77777777" w:rsidR="00B30EF0" w:rsidRPr="004D4CC9" w:rsidRDefault="00B30EF0" w:rsidP="00E115A5">
            <w:pPr>
              <w:pStyle w:val="NoSpacing"/>
            </w:pPr>
            <w:r w:rsidRPr="004D4CC9">
              <w:t>Response</w:t>
            </w:r>
          </w:p>
        </w:tc>
        <w:tc>
          <w:tcPr>
            <w:tcW w:w="0" w:type="auto"/>
            <w:hideMark/>
          </w:tcPr>
          <w:p w14:paraId="40F68A1F" w14:textId="77777777" w:rsidR="00B30EF0" w:rsidRPr="004D4CC9" w:rsidRDefault="00B30EF0" w:rsidP="00E115A5">
            <w:pPr>
              <w:pStyle w:val="NoSpacing"/>
            </w:pPr>
            <w:r w:rsidRPr="004D4CC9">
              <w:t>Site (S)</w:t>
            </w:r>
          </w:p>
        </w:tc>
        <w:tc>
          <w:tcPr>
            <w:tcW w:w="0" w:type="auto"/>
            <w:hideMark/>
          </w:tcPr>
          <w:p w14:paraId="4D1D8DFE" w14:textId="77777777" w:rsidR="00B30EF0" w:rsidRPr="004D4CC9" w:rsidRDefault="00B30EF0" w:rsidP="00E115A5">
            <w:pPr>
              <w:pStyle w:val="NoSpacing"/>
            </w:pPr>
            <w:r w:rsidRPr="004D4CC9">
              <w:t>Distance (D)</w:t>
            </w:r>
          </w:p>
        </w:tc>
        <w:tc>
          <w:tcPr>
            <w:tcW w:w="0" w:type="auto"/>
            <w:hideMark/>
          </w:tcPr>
          <w:p w14:paraId="01DD3519" w14:textId="77777777" w:rsidR="00B30EF0" w:rsidRPr="004D4CC9" w:rsidRDefault="00B30EF0" w:rsidP="00E115A5">
            <w:pPr>
              <w:pStyle w:val="NoSpacing"/>
            </w:pPr>
            <w:r w:rsidRPr="004D4CC9">
              <w:t>Resource addition (R)</w:t>
            </w:r>
          </w:p>
        </w:tc>
        <w:tc>
          <w:tcPr>
            <w:tcW w:w="0" w:type="auto"/>
            <w:hideMark/>
          </w:tcPr>
          <w:p w14:paraId="1E4AC22C" w14:textId="77777777" w:rsidR="00B30EF0" w:rsidRPr="004D4CC9" w:rsidRDefault="00B30EF0" w:rsidP="00E115A5">
            <w:pPr>
              <w:pStyle w:val="NoSpacing"/>
            </w:pPr>
            <w:r w:rsidRPr="004D4CC9">
              <w:t>Clipping (C)</w:t>
            </w:r>
          </w:p>
        </w:tc>
        <w:tc>
          <w:tcPr>
            <w:tcW w:w="0" w:type="auto"/>
            <w:hideMark/>
          </w:tcPr>
          <w:p w14:paraId="3507CD68" w14:textId="77777777" w:rsidR="00B30EF0" w:rsidRPr="004D4CC9" w:rsidRDefault="00B30EF0" w:rsidP="00E115A5">
            <w:pPr>
              <w:pStyle w:val="NoSpacing"/>
            </w:pPr>
            <w:r w:rsidRPr="004D4CC9">
              <w:t>S × D</w:t>
            </w:r>
          </w:p>
        </w:tc>
        <w:tc>
          <w:tcPr>
            <w:tcW w:w="0" w:type="auto"/>
            <w:hideMark/>
          </w:tcPr>
          <w:p w14:paraId="075FDAD6" w14:textId="77777777" w:rsidR="00B30EF0" w:rsidRPr="004D4CC9" w:rsidRDefault="00B30EF0" w:rsidP="00E115A5">
            <w:pPr>
              <w:pStyle w:val="NoSpacing"/>
            </w:pPr>
            <w:r w:rsidRPr="004D4CC9">
              <w:t>S × R</w:t>
            </w:r>
          </w:p>
        </w:tc>
        <w:tc>
          <w:tcPr>
            <w:tcW w:w="0" w:type="auto"/>
            <w:hideMark/>
          </w:tcPr>
          <w:p w14:paraId="035B053C" w14:textId="77777777" w:rsidR="00B30EF0" w:rsidRPr="004D4CC9" w:rsidRDefault="00B30EF0" w:rsidP="00E115A5">
            <w:pPr>
              <w:pStyle w:val="NoSpacing"/>
            </w:pPr>
            <w:r w:rsidRPr="004D4CC9">
              <w:t>S × C</w:t>
            </w:r>
          </w:p>
        </w:tc>
        <w:tc>
          <w:tcPr>
            <w:tcW w:w="0" w:type="auto"/>
            <w:hideMark/>
          </w:tcPr>
          <w:p w14:paraId="55E478D5" w14:textId="77777777" w:rsidR="00B30EF0" w:rsidRPr="004D4CC9" w:rsidRDefault="00B30EF0" w:rsidP="00E115A5">
            <w:pPr>
              <w:pStyle w:val="NoSpacing"/>
            </w:pPr>
            <w:r w:rsidRPr="004D4CC9">
              <w:t>D × R</w:t>
            </w:r>
          </w:p>
        </w:tc>
        <w:tc>
          <w:tcPr>
            <w:tcW w:w="0" w:type="auto"/>
            <w:hideMark/>
          </w:tcPr>
          <w:p w14:paraId="38FC5966" w14:textId="77777777" w:rsidR="00B30EF0" w:rsidRPr="004D4CC9" w:rsidRDefault="00B30EF0" w:rsidP="00E115A5">
            <w:pPr>
              <w:pStyle w:val="NoSpacing"/>
            </w:pPr>
            <w:r w:rsidRPr="004D4CC9">
              <w:t>D × C</w:t>
            </w:r>
          </w:p>
        </w:tc>
        <w:tc>
          <w:tcPr>
            <w:tcW w:w="0" w:type="auto"/>
            <w:hideMark/>
          </w:tcPr>
          <w:p w14:paraId="43FE659C" w14:textId="77777777" w:rsidR="00B30EF0" w:rsidRPr="004D4CC9" w:rsidRDefault="00B30EF0" w:rsidP="00E115A5">
            <w:pPr>
              <w:pStyle w:val="NoSpacing"/>
            </w:pPr>
            <w:r w:rsidRPr="004D4CC9">
              <w:t>R × C</w:t>
            </w:r>
          </w:p>
        </w:tc>
        <w:tc>
          <w:tcPr>
            <w:tcW w:w="0" w:type="auto"/>
            <w:hideMark/>
          </w:tcPr>
          <w:p w14:paraId="118CFD6C" w14:textId="77777777" w:rsidR="00B30EF0" w:rsidRPr="004D4CC9" w:rsidRDefault="00B30EF0" w:rsidP="00E115A5">
            <w:pPr>
              <w:pStyle w:val="NoSpacing"/>
            </w:pPr>
            <w:r w:rsidRPr="004D4CC9">
              <w:t>S × D × R</w:t>
            </w:r>
          </w:p>
        </w:tc>
        <w:tc>
          <w:tcPr>
            <w:tcW w:w="0" w:type="auto"/>
            <w:hideMark/>
          </w:tcPr>
          <w:p w14:paraId="68E2D35A" w14:textId="77777777" w:rsidR="00B30EF0" w:rsidRPr="004D4CC9" w:rsidRDefault="00B30EF0">
            <w:pPr>
              <w:spacing w:before="225" w:after="225" w:line="360" w:lineRule="atLeast"/>
              <w:jc w:val="center"/>
              <w:rPr>
                <w:rFonts w:cstheme="minorHAnsi"/>
                <w:b/>
                <w:bCs/>
                <w:color w:val="000000"/>
              </w:rPr>
            </w:pPr>
            <w:r w:rsidRPr="004D4CC9">
              <w:rPr>
                <w:rFonts w:cstheme="minorHAnsi"/>
                <w:b/>
                <w:bCs/>
                <w:color w:val="000000"/>
              </w:rPr>
              <w:t>D × R × C</w:t>
            </w:r>
          </w:p>
        </w:tc>
      </w:tr>
      <w:tr w:rsidR="00B30EF0" w:rsidRPr="004D4CC9" w14:paraId="5423188F" w14:textId="77777777" w:rsidTr="00E115A5">
        <w:tc>
          <w:tcPr>
            <w:tcW w:w="0" w:type="auto"/>
            <w:hideMark/>
          </w:tcPr>
          <w:p w14:paraId="1B240D9F" w14:textId="77777777" w:rsidR="00B30EF0" w:rsidRPr="004D4CC9" w:rsidRDefault="00B30EF0" w:rsidP="00E115A5">
            <w:pPr>
              <w:pStyle w:val="NoSpacing"/>
              <w:rPr>
                <w:sz w:val="18"/>
                <w:szCs w:val="18"/>
              </w:rPr>
            </w:pPr>
            <w:r w:rsidRPr="004D4CC9">
              <w:rPr>
                <w:sz w:val="18"/>
                <w:szCs w:val="18"/>
              </w:rPr>
              <w:t>Pin germination</w:t>
            </w:r>
          </w:p>
        </w:tc>
        <w:tc>
          <w:tcPr>
            <w:tcW w:w="0" w:type="auto"/>
            <w:hideMark/>
          </w:tcPr>
          <w:p w14:paraId="512B5AD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748A7ED"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95EDCF5" w14:textId="77777777" w:rsidR="00B30EF0" w:rsidRPr="004D4CC9" w:rsidRDefault="00D8685D" w:rsidP="00E115A5">
            <w:pPr>
              <w:pStyle w:val="NoSpacing"/>
              <w:rPr>
                <w:sz w:val="18"/>
                <w:szCs w:val="18"/>
              </w:rPr>
            </w:pPr>
            <w:hyperlink r:id="rId70" w:anchor="t2" w:history="1">
              <w:r w:rsidR="00B30EF0" w:rsidRPr="004D4CC9">
                <w:rPr>
                  <w:rStyle w:val="Hyperlink"/>
                  <w:rFonts w:cstheme="minorHAnsi"/>
                  <w:color w:val="005274"/>
                  <w:sz w:val="18"/>
                  <w:szCs w:val="18"/>
                </w:rPr>
                <w:t>*</w:t>
              </w:r>
            </w:hyperlink>
          </w:p>
        </w:tc>
        <w:tc>
          <w:tcPr>
            <w:tcW w:w="0" w:type="auto"/>
            <w:hideMark/>
          </w:tcPr>
          <w:p w14:paraId="174F5CC7" w14:textId="77777777" w:rsidR="00B30EF0" w:rsidRPr="004D4CC9" w:rsidRDefault="00D8685D" w:rsidP="00E115A5">
            <w:pPr>
              <w:pStyle w:val="NoSpacing"/>
              <w:rPr>
                <w:sz w:val="18"/>
                <w:szCs w:val="18"/>
              </w:rPr>
            </w:pPr>
            <w:hyperlink r:id="rId71" w:anchor="t2" w:history="1">
              <w:r w:rsidR="00B30EF0" w:rsidRPr="004D4CC9">
                <w:rPr>
                  <w:rStyle w:val="Hyperlink"/>
                  <w:rFonts w:cstheme="minorHAnsi"/>
                  <w:color w:val="005274"/>
                  <w:sz w:val="18"/>
                  <w:szCs w:val="18"/>
                </w:rPr>
                <w:t>*</w:t>
              </w:r>
            </w:hyperlink>
          </w:p>
        </w:tc>
        <w:tc>
          <w:tcPr>
            <w:tcW w:w="0" w:type="auto"/>
            <w:hideMark/>
          </w:tcPr>
          <w:p w14:paraId="5AA6F37E"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1D8014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6B55508"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58C111C"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9794D0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D8C773B" w14:textId="77777777" w:rsidR="00B30EF0" w:rsidRPr="004D4CC9" w:rsidRDefault="00B30EF0" w:rsidP="00E115A5">
            <w:pPr>
              <w:pStyle w:val="NoSpacing"/>
              <w:rPr>
                <w:sz w:val="18"/>
                <w:szCs w:val="18"/>
              </w:rPr>
            </w:pPr>
            <w:r w:rsidRPr="004D4CC9">
              <w:rPr>
                <w:sz w:val="18"/>
                <w:szCs w:val="18"/>
              </w:rPr>
              <w:t>0.0045</w:t>
            </w:r>
          </w:p>
        </w:tc>
        <w:tc>
          <w:tcPr>
            <w:tcW w:w="0" w:type="auto"/>
            <w:hideMark/>
          </w:tcPr>
          <w:p w14:paraId="50C6F81C"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C2936AA"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6A12E402" w14:textId="77777777" w:rsidTr="00E115A5">
        <w:tc>
          <w:tcPr>
            <w:tcW w:w="0" w:type="auto"/>
            <w:hideMark/>
          </w:tcPr>
          <w:p w14:paraId="61720914" w14:textId="77777777" w:rsidR="00B30EF0" w:rsidRPr="004D4CC9" w:rsidRDefault="00B30EF0" w:rsidP="00E115A5">
            <w:pPr>
              <w:pStyle w:val="NoSpacing"/>
              <w:rPr>
                <w:sz w:val="18"/>
                <w:szCs w:val="18"/>
              </w:rPr>
            </w:pPr>
            <w:r w:rsidRPr="004D4CC9">
              <w:rPr>
                <w:sz w:val="18"/>
                <w:szCs w:val="18"/>
              </w:rPr>
              <w:t>Pin survival</w:t>
            </w:r>
          </w:p>
        </w:tc>
        <w:tc>
          <w:tcPr>
            <w:tcW w:w="0" w:type="auto"/>
            <w:hideMark/>
          </w:tcPr>
          <w:p w14:paraId="6ED32A04" w14:textId="77777777" w:rsidR="00B30EF0" w:rsidRPr="004D4CC9" w:rsidRDefault="00D8685D" w:rsidP="00E115A5">
            <w:pPr>
              <w:pStyle w:val="NoSpacing"/>
              <w:rPr>
                <w:sz w:val="18"/>
                <w:szCs w:val="18"/>
              </w:rPr>
            </w:pPr>
            <w:hyperlink r:id="rId72" w:anchor="t2" w:history="1">
              <w:r w:rsidR="00B30EF0" w:rsidRPr="004D4CC9">
                <w:rPr>
                  <w:rStyle w:val="Hyperlink"/>
                  <w:rFonts w:cstheme="minorHAnsi"/>
                  <w:color w:val="005274"/>
                  <w:sz w:val="18"/>
                  <w:szCs w:val="18"/>
                </w:rPr>
                <w:t>*</w:t>
              </w:r>
            </w:hyperlink>
          </w:p>
        </w:tc>
        <w:tc>
          <w:tcPr>
            <w:tcW w:w="0" w:type="auto"/>
            <w:hideMark/>
          </w:tcPr>
          <w:p w14:paraId="35FFCEEB" w14:textId="77777777" w:rsidR="00B30EF0" w:rsidRPr="004D4CC9" w:rsidRDefault="00B30EF0" w:rsidP="00E115A5">
            <w:pPr>
              <w:pStyle w:val="NoSpacing"/>
              <w:rPr>
                <w:sz w:val="18"/>
                <w:szCs w:val="18"/>
              </w:rPr>
            </w:pPr>
            <w:r w:rsidRPr="004D4CC9">
              <w:rPr>
                <w:sz w:val="18"/>
                <w:szCs w:val="18"/>
              </w:rPr>
              <w:t> 0.0060</w:t>
            </w:r>
          </w:p>
        </w:tc>
        <w:tc>
          <w:tcPr>
            <w:tcW w:w="0" w:type="auto"/>
            <w:hideMark/>
          </w:tcPr>
          <w:p w14:paraId="31B1E3C4" w14:textId="77777777" w:rsidR="00B30EF0" w:rsidRPr="004D4CC9" w:rsidRDefault="00D8685D" w:rsidP="00E115A5">
            <w:pPr>
              <w:pStyle w:val="NoSpacing"/>
              <w:rPr>
                <w:sz w:val="18"/>
                <w:szCs w:val="18"/>
              </w:rPr>
            </w:pPr>
            <w:hyperlink r:id="rId73" w:anchor="t2" w:history="1">
              <w:r w:rsidR="00B30EF0" w:rsidRPr="004D4CC9">
                <w:rPr>
                  <w:rStyle w:val="Hyperlink"/>
                  <w:rFonts w:cstheme="minorHAnsi"/>
                  <w:color w:val="005274"/>
                  <w:sz w:val="18"/>
                  <w:szCs w:val="18"/>
                </w:rPr>
                <w:t>*</w:t>
              </w:r>
            </w:hyperlink>
          </w:p>
        </w:tc>
        <w:tc>
          <w:tcPr>
            <w:tcW w:w="0" w:type="auto"/>
            <w:hideMark/>
          </w:tcPr>
          <w:p w14:paraId="107B9A3E" w14:textId="77777777" w:rsidR="00B30EF0" w:rsidRPr="004D4CC9" w:rsidRDefault="00D8685D" w:rsidP="00E115A5">
            <w:pPr>
              <w:pStyle w:val="NoSpacing"/>
              <w:rPr>
                <w:sz w:val="18"/>
                <w:szCs w:val="18"/>
              </w:rPr>
            </w:pPr>
            <w:hyperlink r:id="rId74" w:anchor="t2" w:history="1">
              <w:r w:rsidR="00B30EF0" w:rsidRPr="004D4CC9">
                <w:rPr>
                  <w:rStyle w:val="Hyperlink"/>
                  <w:rFonts w:cstheme="minorHAnsi"/>
                  <w:color w:val="005274"/>
                  <w:sz w:val="18"/>
                  <w:szCs w:val="18"/>
                </w:rPr>
                <w:t>*</w:t>
              </w:r>
            </w:hyperlink>
          </w:p>
        </w:tc>
        <w:tc>
          <w:tcPr>
            <w:tcW w:w="0" w:type="auto"/>
            <w:hideMark/>
          </w:tcPr>
          <w:p w14:paraId="70D8ED4D"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D148654"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77218F6" w14:textId="77777777" w:rsidR="00B30EF0" w:rsidRPr="004D4CC9" w:rsidRDefault="00B30EF0" w:rsidP="00E115A5">
            <w:pPr>
              <w:pStyle w:val="NoSpacing"/>
              <w:rPr>
                <w:sz w:val="18"/>
                <w:szCs w:val="18"/>
              </w:rPr>
            </w:pPr>
            <w:r w:rsidRPr="004D4CC9">
              <w:rPr>
                <w:sz w:val="18"/>
                <w:szCs w:val="18"/>
              </w:rPr>
              <w:t>0.019</w:t>
            </w:r>
          </w:p>
        </w:tc>
        <w:tc>
          <w:tcPr>
            <w:tcW w:w="0" w:type="auto"/>
            <w:hideMark/>
          </w:tcPr>
          <w:p w14:paraId="5F34640A"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7EEC931"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EA95CC8" w14:textId="77777777" w:rsidR="00B30EF0" w:rsidRPr="004D4CC9" w:rsidRDefault="00B30EF0" w:rsidP="00E115A5">
            <w:pPr>
              <w:pStyle w:val="NoSpacing"/>
              <w:rPr>
                <w:sz w:val="18"/>
                <w:szCs w:val="18"/>
              </w:rPr>
            </w:pPr>
            <w:r w:rsidRPr="004D4CC9">
              <w:rPr>
                <w:sz w:val="18"/>
                <w:szCs w:val="18"/>
              </w:rPr>
              <w:t>0.0064</w:t>
            </w:r>
          </w:p>
        </w:tc>
        <w:tc>
          <w:tcPr>
            <w:tcW w:w="0" w:type="auto"/>
            <w:hideMark/>
          </w:tcPr>
          <w:p w14:paraId="6259216C"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06411FD"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7D7AED8E" w14:textId="77777777" w:rsidTr="00E115A5">
        <w:tc>
          <w:tcPr>
            <w:tcW w:w="0" w:type="auto"/>
            <w:hideMark/>
          </w:tcPr>
          <w:p w14:paraId="71C21D68" w14:textId="77777777" w:rsidR="00B30EF0" w:rsidRPr="004D4CC9" w:rsidRDefault="00B30EF0" w:rsidP="00E115A5">
            <w:pPr>
              <w:pStyle w:val="NoSpacing"/>
              <w:rPr>
                <w:sz w:val="18"/>
                <w:szCs w:val="18"/>
              </w:rPr>
            </w:pPr>
            <w:r w:rsidRPr="004D4CC9">
              <w:rPr>
                <w:sz w:val="18"/>
                <w:szCs w:val="18"/>
              </w:rPr>
              <w:t>Bur survival</w:t>
            </w:r>
          </w:p>
        </w:tc>
        <w:tc>
          <w:tcPr>
            <w:tcW w:w="0" w:type="auto"/>
            <w:hideMark/>
          </w:tcPr>
          <w:p w14:paraId="3EEF0236" w14:textId="77777777" w:rsidR="00B30EF0" w:rsidRPr="004D4CC9" w:rsidRDefault="00D8685D" w:rsidP="00E115A5">
            <w:pPr>
              <w:pStyle w:val="NoSpacing"/>
              <w:rPr>
                <w:sz w:val="18"/>
                <w:szCs w:val="18"/>
              </w:rPr>
            </w:pPr>
            <w:hyperlink r:id="rId75" w:anchor="t2" w:history="1">
              <w:r w:rsidR="00B30EF0" w:rsidRPr="004D4CC9">
                <w:rPr>
                  <w:rStyle w:val="Hyperlink"/>
                  <w:rFonts w:cstheme="minorHAnsi"/>
                  <w:color w:val="005274"/>
                  <w:sz w:val="18"/>
                  <w:szCs w:val="18"/>
                </w:rPr>
                <w:t>*</w:t>
              </w:r>
            </w:hyperlink>
          </w:p>
        </w:tc>
        <w:tc>
          <w:tcPr>
            <w:tcW w:w="0" w:type="auto"/>
            <w:hideMark/>
          </w:tcPr>
          <w:p w14:paraId="7234ACF4" w14:textId="77777777" w:rsidR="00B30EF0" w:rsidRPr="004D4CC9" w:rsidRDefault="00D8685D" w:rsidP="00E115A5">
            <w:pPr>
              <w:pStyle w:val="NoSpacing"/>
              <w:rPr>
                <w:sz w:val="18"/>
                <w:szCs w:val="18"/>
              </w:rPr>
            </w:pPr>
            <w:hyperlink r:id="rId76" w:anchor="t2" w:history="1">
              <w:r w:rsidR="00B30EF0" w:rsidRPr="004D4CC9">
                <w:rPr>
                  <w:rStyle w:val="Hyperlink"/>
                  <w:rFonts w:cstheme="minorHAnsi"/>
                  <w:color w:val="005274"/>
                  <w:sz w:val="18"/>
                  <w:szCs w:val="18"/>
                </w:rPr>
                <w:t>*</w:t>
              </w:r>
            </w:hyperlink>
          </w:p>
        </w:tc>
        <w:tc>
          <w:tcPr>
            <w:tcW w:w="0" w:type="auto"/>
            <w:hideMark/>
          </w:tcPr>
          <w:p w14:paraId="69DBF69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68FD2B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69300AF" w14:textId="77777777" w:rsidR="00B30EF0" w:rsidRPr="004D4CC9" w:rsidRDefault="00B30EF0" w:rsidP="00E115A5">
            <w:pPr>
              <w:pStyle w:val="NoSpacing"/>
              <w:rPr>
                <w:sz w:val="18"/>
                <w:szCs w:val="18"/>
              </w:rPr>
            </w:pPr>
            <w:r w:rsidRPr="004D4CC9">
              <w:rPr>
                <w:sz w:val="18"/>
                <w:szCs w:val="18"/>
              </w:rPr>
              <w:t>0.049</w:t>
            </w:r>
          </w:p>
        </w:tc>
        <w:tc>
          <w:tcPr>
            <w:tcW w:w="0" w:type="auto"/>
            <w:hideMark/>
          </w:tcPr>
          <w:p w14:paraId="108E0362"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32476D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8F08880"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EB16147"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5EDC545"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DB5D82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4326C8B"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29758151" w14:textId="77777777" w:rsidTr="00E115A5">
        <w:tc>
          <w:tcPr>
            <w:tcW w:w="0" w:type="auto"/>
            <w:hideMark/>
          </w:tcPr>
          <w:p w14:paraId="6FF8515A" w14:textId="77777777" w:rsidR="00B30EF0" w:rsidRPr="004D4CC9" w:rsidRDefault="00B30EF0" w:rsidP="00E115A5">
            <w:pPr>
              <w:pStyle w:val="NoSpacing"/>
              <w:rPr>
                <w:sz w:val="18"/>
                <w:szCs w:val="18"/>
              </w:rPr>
            </w:pPr>
            <w:r w:rsidRPr="004D4CC9">
              <w:rPr>
                <w:sz w:val="18"/>
                <w:szCs w:val="18"/>
              </w:rPr>
              <w:t>Pin Myc year 1</w:t>
            </w:r>
          </w:p>
        </w:tc>
        <w:tc>
          <w:tcPr>
            <w:tcW w:w="0" w:type="auto"/>
            <w:hideMark/>
          </w:tcPr>
          <w:p w14:paraId="2455D1C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B5D57F3" w14:textId="77777777" w:rsidR="00B30EF0" w:rsidRPr="004D4CC9" w:rsidRDefault="00B30EF0" w:rsidP="00E115A5">
            <w:pPr>
              <w:pStyle w:val="NoSpacing"/>
              <w:rPr>
                <w:sz w:val="18"/>
                <w:szCs w:val="18"/>
              </w:rPr>
            </w:pPr>
            <w:r w:rsidRPr="004D4CC9">
              <w:rPr>
                <w:sz w:val="18"/>
                <w:szCs w:val="18"/>
              </w:rPr>
              <w:t>&lt; 0.0001</w:t>
            </w:r>
          </w:p>
        </w:tc>
        <w:tc>
          <w:tcPr>
            <w:tcW w:w="0" w:type="auto"/>
            <w:hideMark/>
          </w:tcPr>
          <w:p w14:paraId="1703AF8A"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37205B2"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85138D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EFF166D"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B0C50E1"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2879630"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699901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C39CEB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0BB64A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011E470"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2848905E" w14:textId="77777777" w:rsidTr="00E115A5">
        <w:tc>
          <w:tcPr>
            <w:tcW w:w="0" w:type="auto"/>
            <w:hideMark/>
          </w:tcPr>
          <w:p w14:paraId="1BEED818" w14:textId="77777777" w:rsidR="00B30EF0" w:rsidRPr="004D4CC9" w:rsidRDefault="00B30EF0" w:rsidP="00E115A5">
            <w:pPr>
              <w:pStyle w:val="NoSpacing"/>
              <w:rPr>
                <w:sz w:val="18"/>
                <w:szCs w:val="18"/>
              </w:rPr>
            </w:pPr>
            <w:r w:rsidRPr="004D4CC9">
              <w:rPr>
                <w:sz w:val="18"/>
                <w:szCs w:val="18"/>
              </w:rPr>
              <w:t>Bur Myc year 1</w:t>
            </w:r>
          </w:p>
        </w:tc>
        <w:tc>
          <w:tcPr>
            <w:tcW w:w="0" w:type="auto"/>
            <w:hideMark/>
          </w:tcPr>
          <w:p w14:paraId="34E4D820"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A44216F" w14:textId="77777777" w:rsidR="00B30EF0" w:rsidRPr="004D4CC9" w:rsidRDefault="00D8685D" w:rsidP="00E115A5">
            <w:pPr>
              <w:pStyle w:val="NoSpacing"/>
              <w:rPr>
                <w:sz w:val="18"/>
                <w:szCs w:val="18"/>
              </w:rPr>
            </w:pPr>
            <w:hyperlink r:id="rId77" w:anchor="t2" w:history="1">
              <w:r w:rsidR="00B30EF0" w:rsidRPr="004D4CC9">
                <w:rPr>
                  <w:rStyle w:val="Hyperlink"/>
                  <w:rFonts w:cstheme="minorHAnsi"/>
                  <w:color w:val="005274"/>
                  <w:sz w:val="18"/>
                  <w:szCs w:val="18"/>
                </w:rPr>
                <w:t>*</w:t>
              </w:r>
            </w:hyperlink>
          </w:p>
        </w:tc>
        <w:tc>
          <w:tcPr>
            <w:tcW w:w="0" w:type="auto"/>
            <w:hideMark/>
          </w:tcPr>
          <w:p w14:paraId="32C3890D" w14:textId="77777777" w:rsidR="00B30EF0" w:rsidRPr="004D4CC9" w:rsidRDefault="00D8685D" w:rsidP="00E115A5">
            <w:pPr>
              <w:pStyle w:val="NoSpacing"/>
              <w:rPr>
                <w:sz w:val="18"/>
                <w:szCs w:val="18"/>
              </w:rPr>
            </w:pPr>
            <w:hyperlink r:id="rId78" w:anchor="t2" w:history="1">
              <w:r w:rsidR="00B30EF0" w:rsidRPr="004D4CC9">
                <w:rPr>
                  <w:rStyle w:val="Hyperlink"/>
                  <w:rFonts w:cstheme="minorHAnsi"/>
                  <w:color w:val="005274"/>
                  <w:sz w:val="18"/>
                  <w:szCs w:val="18"/>
                </w:rPr>
                <w:t>*</w:t>
              </w:r>
            </w:hyperlink>
          </w:p>
        </w:tc>
        <w:tc>
          <w:tcPr>
            <w:tcW w:w="0" w:type="auto"/>
            <w:hideMark/>
          </w:tcPr>
          <w:p w14:paraId="126D7684" w14:textId="77777777" w:rsidR="00B30EF0" w:rsidRPr="004D4CC9" w:rsidRDefault="00D8685D" w:rsidP="00E115A5">
            <w:pPr>
              <w:pStyle w:val="NoSpacing"/>
              <w:rPr>
                <w:sz w:val="18"/>
                <w:szCs w:val="18"/>
              </w:rPr>
            </w:pPr>
            <w:hyperlink r:id="rId79" w:anchor="t2" w:history="1">
              <w:r w:rsidR="00B30EF0" w:rsidRPr="004D4CC9">
                <w:rPr>
                  <w:rStyle w:val="Hyperlink"/>
                  <w:rFonts w:cstheme="minorHAnsi"/>
                  <w:color w:val="005274"/>
                  <w:sz w:val="18"/>
                  <w:szCs w:val="18"/>
                </w:rPr>
                <w:t>*</w:t>
              </w:r>
            </w:hyperlink>
          </w:p>
        </w:tc>
        <w:tc>
          <w:tcPr>
            <w:tcW w:w="0" w:type="auto"/>
            <w:hideMark/>
          </w:tcPr>
          <w:p w14:paraId="0C6861AD"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B77D46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F1C7A3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289610D" w14:textId="77777777" w:rsidR="00B30EF0" w:rsidRPr="004D4CC9" w:rsidRDefault="00D8685D" w:rsidP="00E115A5">
            <w:pPr>
              <w:pStyle w:val="NoSpacing"/>
              <w:rPr>
                <w:sz w:val="18"/>
                <w:szCs w:val="18"/>
              </w:rPr>
            </w:pPr>
            <w:hyperlink r:id="rId80" w:anchor="t2" w:history="1">
              <w:r w:rsidR="00B30EF0" w:rsidRPr="004D4CC9">
                <w:rPr>
                  <w:rStyle w:val="Hyperlink"/>
                  <w:rFonts w:cstheme="minorHAnsi"/>
                  <w:color w:val="005274"/>
                  <w:sz w:val="18"/>
                  <w:szCs w:val="18"/>
                </w:rPr>
                <w:t>*</w:t>
              </w:r>
            </w:hyperlink>
          </w:p>
        </w:tc>
        <w:tc>
          <w:tcPr>
            <w:tcW w:w="0" w:type="auto"/>
            <w:hideMark/>
          </w:tcPr>
          <w:p w14:paraId="4B5D1E17" w14:textId="77777777" w:rsidR="00B30EF0" w:rsidRPr="004D4CC9" w:rsidRDefault="00D8685D" w:rsidP="00E115A5">
            <w:pPr>
              <w:pStyle w:val="NoSpacing"/>
              <w:rPr>
                <w:sz w:val="18"/>
                <w:szCs w:val="18"/>
              </w:rPr>
            </w:pPr>
            <w:hyperlink r:id="rId81" w:anchor="t2" w:history="1">
              <w:r w:rsidR="00B30EF0" w:rsidRPr="004D4CC9">
                <w:rPr>
                  <w:rStyle w:val="Hyperlink"/>
                  <w:rFonts w:cstheme="minorHAnsi"/>
                  <w:color w:val="005274"/>
                  <w:sz w:val="18"/>
                  <w:szCs w:val="18"/>
                </w:rPr>
                <w:t>*</w:t>
              </w:r>
            </w:hyperlink>
          </w:p>
        </w:tc>
        <w:tc>
          <w:tcPr>
            <w:tcW w:w="0" w:type="auto"/>
            <w:hideMark/>
          </w:tcPr>
          <w:p w14:paraId="4E58478C" w14:textId="77777777" w:rsidR="00B30EF0" w:rsidRPr="004D4CC9" w:rsidRDefault="00D8685D" w:rsidP="00E115A5">
            <w:pPr>
              <w:pStyle w:val="NoSpacing"/>
              <w:rPr>
                <w:sz w:val="18"/>
                <w:szCs w:val="18"/>
              </w:rPr>
            </w:pPr>
            <w:hyperlink r:id="rId82" w:anchor="t2" w:history="1">
              <w:r w:rsidR="00B30EF0" w:rsidRPr="004D4CC9">
                <w:rPr>
                  <w:rStyle w:val="Hyperlink"/>
                  <w:rFonts w:cstheme="minorHAnsi"/>
                  <w:color w:val="005274"/>
                  <w:sz w:val="18"/>
                  <w:szCs w:val="18"/>
                </w:rPr>
                <w:t>*</w:t>
              </w:r>
            </w:hyperlink>
          </w:p>
        </w:tc>
        <w:tc>
          <w:tcPr>
            <w:tcW w:w="0" w:type="auto"/>
            <w:hideMark/>
          </w:tcPr>
          <w:p w14:paraId="2BBDB4F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7D4C2F9"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0.0063</w:t>
            </w:r>
          </w:p>
        </w:tc>
      </w:tr>
      <w:tr w:rsidR="00B30EF0" w:rsidRPr="004D4CC9" w14:paraId="1891ECCF" w14:textId="77777777" w:rsidTr="00E115A5">
        <w:tc>
          <w:tcPr>
            <w:tcW w:w="0" w:type="auto"/>
            <w:hideMark/>
          </w:tcPr>
          <w:p w14:paraId="02D72BB0" w14:textId="77777777" w:rsidR="00B30EF0" w:rsidRPr="004D4CC9" w:rsidRDefault="00B30EF0" w:rsidP="00E115A5">
            <w:pPr>
              <w:pStyle w:val="NoSpacing"/>
              <w:rPr>
                <w:sz w:val="18"/>
                <w:szCs w:val="18"/>
              </w:rPr>
            </w:pPr>
            <w:r w:rsidRPr="004D4CC9">
              <w:rPr>
                <w:sz w:val="18"/>
                <w:szCs w:val="18"/>
              </w:rPr>
              <w:t>Pin Myc year 3</w:t>
            </w:r>
          </w:p>
        </w:tc>
        <w:tc>
          <w:tcPr>
            <w:tcW w:w="0" w:type="auto"/>
            <w:hideMark/>
          </w:tcPr>
          <w:p w14:paraId="13B3A1A2"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D4C7B26" w14:textId="77777777" w:rsidR="00B30EF0" w:rsidRPr="004D4CC9" w:rsidRDefault="00B30EF0" w:rsidP="00E115A5">
            <w:pPr>
              <w:pStyle w:val="NoSpacing"/>
              <w:rPr>
                <w:sz w:val="18"/>
                <w:szCs w:val="18"/>
              </w:rPr>
            </w:pPr>
            <w:r w:rsidRPr="004D4CC9">
              <w:rPr>
                <w:sz w:val="18"/>
                <w:szCs w:val="18"/>
              </w:rPr>
              <w:t> 0.0001</w:t>
            </w:r>
          </w:p>
        </w:tc>
        <w:tc>
          <w:tcPr>
            <w:tcW w:w="0" w:type="auto"/>
            <w:hideMark/>
          </w:tcPr>
          <w:p w14:paraId="2A1D539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21CD28C" w14:textId="77777777" w:rsidR="00B30EF0" w:rsidRPr="004D4CC9" w:rsidRDefault="00B30EF0" w:rsidP="00E115A5">
            <w:pPr>
              <w:pStyle w:val="NoSpacing"/>
              <w:rPr>
                <w:sz w:val="18"/>
                <w:szCs w:val="18"/>
              </w:rPr>
            </w:pPr>
            <w:r w:rsidRPr="004D4CC9">
              <w:rPr>
                <w:sz w:val="18"/>
                <w:szCs w:val="18"/>
              </w:rPr>
              <w:t> 0.027</w:t>
            </w:r>
          </w:p>
        </w:tc>
        <w:tc>
          <w:tcPr>
            <w:tcW w:w="0" w:type="auto"/>
            <w:hideMark/>
          </w:tcPr>
          <w:p w14:paraId="66C6270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AD39C58"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321B84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FA7739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60AC5CC"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652EE57"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68E412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A66E5FD"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3C1EE88D" w14:textId="77777777" w:rsidTr="00E115A5">
        <w:tc>
          <w:tcPr>
            <w:tcW w:w="0" w:type="auto"/>
            <w:hideMark/>
          </w:tcPr>
          <w:p w14:paraId="31368922" w14:textId="77777777" w:rsidR="00B30EF0" w:rsidRPr="004D4CC9" w:rsidRDefault="00B30EF0" w:rsidP="00E115A5">
            <w:pPr>
              <w:pStyle w:val="NoSpacing"/>
              <w:rPr>
                <w:sz w:val="18"/>
                <w:szCs w:val="18"/>
              </w:rPr>
            </w:pPr>
            <w:r w:rsidRPr="004D4CC9">
              <w:rPr>
                <w:sz w:val="18"/>
                <w:szCs w:val="18"/>
              </w:rPr>
              <w:t>Bur Myc year 3</w:t>
            </w:r>
          </w:p>
        </w:tc>
        <w:tc>
          <w:tcPr>
            <w:tcW w:w="0" w:type="auto"/>
            <w:hideMark/>
          </w:tcPr>
          <w:p w14:paraId="14379F37"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4E3CDDC" w14:textId="77777777" w:rsidR="00B30EF0" w:rsidRPr="004D4CC9" w:rsidRDefault="00B30EF0" w:rsidP="00E115A5">
            <w:pPr>
              <w:pStyle w:val="NoSpacing"/>
              <w:rPr>
                <w:sz w:val="18"/>
                <w:szCs w:val="18"/>
              </w:rPr>
            </w:pPr>
            <w:r w:rsidRPr="004D4CC9">
              <w:rPr>
                <w:sz w:val="18"/>
                <w:szCs w:val="18"/>
              </w:rPr>
              <w:t> 0.0001</w:t>
            </w:r>
          </w:p>
        </w:tc>
        <w:tc>
          <w:tcPr>
            <w:tcW w:w="0" w:type="auto"/>
            <w:hideMark/>
          </w:tcPr>
          <w:p w14:paraId="225D325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C60D6A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A185E9F"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3F2E761"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8A36A7A"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038961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5E222E1"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F60F29E"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5489248"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C20A9CC"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3B0A5AE4" w14:textId="77777777" w:rsidTr="00E115A5">
        <w:tc>
          <w:tcPr>
            <w:tcW w:w="0" w:type="auto"/>
            <w:hideMark/>
          </w:tcPr>
          <w:p w14:paraId="08CC435D" w14:textId="77777777" w:rsidR="00B30EF0" w:rsidRPr="004D4CC9" w:rsidRDefault="00B30EF0" w:rsidP="00E115A5">
            <w:pPr>
              <w:pStyle w:val="NoSpacing"/>
              <w:rPr>
                <w:sz w:val="18"/>
                <w:szCs w:val="18"/>
              </w:rPr>
            </w:pPr>
            <w:r w:rsidRPr="004D4CC9">
              <w:rPr>
                <w:sz w:val="18"/>
                <w:szCs w:val="18"/>
              </w:rPr>
              <w:t>Pin N year 1</w:t>
            </w:r>
            <w:hyperlink r:id="rId83" w:anchor="t2n1" w:history="1">
              <w:r w:rsidRPr="004D4CC9">
                <w:rPr>
                  <w:rStyle w:val="Hyperlink"/>
                  <w:rFonts w:cstheme="minorHAnsi"/>
                  <w:color w:val="005274"/>
                  <w:sz w:val="18"/>
                  <w:szCs w:val="18"/>
                </w:rPr>
                <w:t>†</w:t>
              </w:r>
            </w:hyperlink>
          </w:p>
        </w:tc>
        <w:tc>
          <w:tcPr>
            <w:tcW w:w="0" w:type="auto"/>
            <w:hideMark/>
          </w:tcPr>
          <w:p w14:paraId="1F410DF8"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DC1AC00" w14:textId="77777777" w:rsidR="00B30EF0" w:rsidRPr="004D4CC9" w:rsidRDefault="00B30EF0" w:rsidP="00E115A5">
            <w:pPr>
              <w:pStyle w:val="NoSpacing"/>
              <w:rPr>
                <w:sz w:val="18"/>
                <w:szCs w:val="18"/>
              </w:rPr>
            </w:pPr>
            <w:r w:rsidRPr="004D4CC9">
              <w:rPr>
                <w:sz w:val="18"/>
                <w:szCs w:val="18"/>
              </w:rPr>
              <w:t> 0.0036</w:t>
            </w:r>
          </w:p>
        </w:tc>
        <w:tc>
          <w:tcPr>
            <w:tcW w:w="0" w:type="auto"/>
            <w:hideMark/>
          </w:tcPr>
          <w:p w14:paraId="29F04BBA" w14:textId="77777777" w:rsidR="00B30EF0" w:rsidRPr="004D4CC9" w:rsidRDefault="00B30EF0" w:rsidP="00E115A5">
            <w:pPr>
              <w:pStyle w:val="NoSpacing"/>
              <w:rPr>
                <w:sz w:val="18"/>
                <w:szCs w:val="18"/>
              </w:rPr>
            </w:pPr>
            <w:r w:rsidRPr="004D4CC9">
              <w:rPr>
                <w:sz w:val="18"/>
                <w:szCs w:val="18"/>
              </w:rPr>
              <w:t>.</w:t>
            </w:r>
            <w:hyperlink r:id="rId84" w:anchor="t2n1" w:history="1">
              <w:r w:rsidRPr="004D4CC9">
                <w:rPr>
                  <w:rStyle w:val="Hyperlink"/>
                  <w:rFonts w:cstheme="minorHAnsi"/>
                  <w:color w:val="005274"/>
                  <w:sz w:val="18"/>
                  <w:szCs w:val="18"/>
                </w:rPr>
                <w:t>†</w:t>
              </w:r>
            </w:hyperlink>
          </w:p>
        </w:tc>
        <w:tc>
          <w:tcPr>
            <w:tcW w:w="0" w:type="auto"/>
            <w:hideMark/>
          </w:tcPr>
          <w:p w14:paraId="0295DC3E"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A2ED671"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1E5956F"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FA2686A"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48C80F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D3CD8D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25706F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FB33CA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A2A7D01"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46444AC2" w14:textId="77777777" w:rsidTr="00E115A5">
        <w:tc>
          <w:tcPr>
            <w:tcW w:w="0" w:type="auto"/>
            <w:hideMark/>
          </w:tcPr>
          <w:p w14:paraId="174DBA44" w14:textId="77777777" w:rsidR="00B30EF0" w:rsidRPr="004D4CC9" w:rsidRDefault="00B30EF0" w:rsidP="00E115A5">
            <w:pPr>
              <w:pStyle w:val="NoSpacing"/>
              <w:rPr>
                <w:sz w:val="18"/>
                <w:szCs w:val="18"/>
              </w:rPr>
            </w:pPr>
            <w:r w:rsidRPr="004D4CC9">
              <w:rPr>
                <w:sz w:val="18"/>
                <w:szCs w:val="18"/>
              </w:rPr>
              <w:t>Bur N year 1</w:t>
            </w:r>
            <w:hyperlink r:id="rId85" w:anchor="t2n1" w:history="1">
              <w:r w:rsidRPr="004D4CC9">
                <w:rPr>
                  <w:rStyle w:val="Hyperlink"/>
                  <w:rFonts w:cstheme="minorHAnsi"/>
                  <w:color w:val="005274"/>
                  <w:sz w:val="18"/>
                  <w:szCs w:val="18"/>
                </w:rPr>
                <w:t>†</w:t>
              </w:r>
            </w:hyperlink>
          </w:p>
        </w:tc>
        <w:tc>
          <w:tcPr>
            <w:tcW w:w="0" w:type="auto"/>
            <w:hideMark/>
          </w:tcPr>
          <w:p w14:paraId="1BEF899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F7E12E3" w14:textId="77777777" w:rsidR="00B30EF0" w:rsidRPr="004D4CC9" w:rsidRDefault="00B30EF0" w:rsidP="00E115A5">
            <w:pPr>
              <w:pStyle w:val="NoSpacing"/>
              <w:rPr>
                <w:sz w:val="18"/>
                <w:szCs w:val="18"/>
              </w:rPr>
            </w:pPr>
            <w:r w:rsidRPr="004D4CC9">
              <w:rPr>
                <w:sz w:val="18"/>
                <w:szCs w:val="18"/>
              </w:rPr>
              <w:t> 0.0016</w:t>
            </w:r>
          </w:p>
        </w:tc>
        <w:tc>
          <w:tcPr>
            <w:tcW w:w="0" w:type="auto"/>
            <w:hideMark/>
          </w:tcPr>
          <w:p w14:paraId="32A76EAD" w14:textId="77777777" w:rsidR="00B30EF0" w:rsidRPr="004D4CC9" w:rsidRDefault="00B30EF0" w:rsidP="00E115A5">
            <w:pPr>
              <w:pStyle w:val="NoSpacing"/>
              <w:rPr>
                <w:sz w:val="18"/>
                <w:szCs w:val="18"/>
              </w:rPr>
            </w:pPr>
            <w:r w:rsidRPr="004D4CC9">
              <w:rPr>
                <w:sz w:val="18"/>
                <w:szCs w:val="18"/>
              </w:rPr>
              <w:t>.</w:t>
            </w:r>
            <w:hyperlink r:id="rId86" w:anchor="t2n1" w:history="1">
              <w:r w:rsidRPr="004D4CC9">
                <w:rPr>
                  <w:rStyle w:val="Hyperlink"/>
                  <w:rFonts w:cstheme="minorHAnsi"/>
                  <w:color w:val="005274"/>
                  <w:sz w:val="18"/>
                  <w:szCs w:val="18"/>
                </w:rPr>
                <w:t>†</w:t>
              </w:r>
            </w:hyperlink>
          </w:p>
        </w:tc>
        <w:tc>
          <w:tcPr>
            <w:tcW w:w="0" w:type="auto"/>
            <w:hideMark/>
          </w:tcPr>
          <w:p w14:paraId="5C4D9F04"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8DA30D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58FD65C"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A1F5ABF"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FE9044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95564FE"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C10386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5513A0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82C4AF4"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699948CB" w14:textId="77777777" w:rsidTr="00E115A5">
        <w:tc>
          <w:tcPr>
            <w:tcW w:w="0" w:type="auto"/>
            <w:hideMark/>
          </w:tcPr>
          <w:p w14:paraId="44F4BF54" w14:textId="77777777" w:rsidR="00B30EF0" w:rsidRPr="004D4CC9" w:rsidRDefault="00B30EF0" w:rsidP="00E115A5">
            <w:pPr>
              <w:pStyle w:val="NoSpacing"/>
              <w:rPr>
                <w:sz w:val="18"/>
                <w:szCs w:val="18"/>
              </w:rPr>
            </w:pPr>
            <w:r w:rsidRPr="004D4CC9">
              <w:rPr>
                <w:sz w:val="18"/>
                <w:szCs w:val="18"/>
              </w:rPr>
              <w:t>Pin N year 3</w:t>
            </w:r>
            <w:hyperlink r:id="rId87" w:anchor="t2n1" w:history="1">
              <w:r w:rsidRPr="004D4CC9">
                <w:rPr>
                  <w:rStyle w:val="Hyperlink"/>
                  <w:rFonts w:cstheme="minorHAnsi"/>
                  <w:color w:val="005274"/>
                  <w:sz w:val="18"/>
                  <w:szCs w:val="18"/>
                </w:rPr>
                <w:t>†</w:t>
              </w:r>
            </w:hyperlink>
          </w:p>
        </w:tc>
        <w:tc>
          <w:tcPr>
            <w:tcW w:w="0" w:type="auto"/>
            <w:hideMark/>
          </w:tcPr>
          <w:p w14:paraId="7C5CE4F6" w14:textId="77777777" w:rsidR="00B30EF0" w:rsidRPr="004D4CC9" w:rsidRDefault="00B30EF0" w:rsidP="00E115A5">
            <w:pPr>
              <w:pStyle w:val="NoSpacing"/>
              <w:rPr>
                <w:sz w:val="18"/>
                <w:szCs w:val="18"/>
              </w:rPr>
            </w:pPr>
            <w:r w:rsidRPr="004D4CC9">
              <w:rPr>
                <w:sz w:val="18"/>
                <w:szCs w:val="18"/>
              </w:rPr>
              <w:t>0.047</w:t>
            </w:r>
          </w:p>
        </w:tc>
        <w:tc>
          <w:tcPr>
            <w:tcW w:w="0" w:type="auto"/>
            <w:hideMark/>
          </w:tcPr>
          <w:p w14:paraId="12C89D58" w14:textId="77777777" w:rsidR="00B30EF0" w:rsidRPr="004D4CC9" w:rsidRDefault="00B30EF0" w:rsidP="00E115A5">
            <w:pPr>
              <w:pStyle w:val="NoSpacing"/>
              <w:rPr>
                <w:sz w:val="18"/>
                <w:szCs w:val="18"/>
              </w:rPr>
            </w:pPr>
            <w:r w:rsidRPr="004D4CC9">
              <w:rPr>
                <w:sz w:val="18"/>
                <w:szCs w:val="18"/>
              </w:rPr>
              <w:t> 0.021</w:t>
            </w:r>
          </w:p>
        </w:tc>
        <w:tc>
          <w:tcPr>
            <w:tcW w:w="0" w:type="auto"/>
            <w:hideMark/>
          </w:tcPr>
          <w:p w14:paraId="3548E2B4"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82DF3E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5F2969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6882F77"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191D7CD"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31098B5"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EBF2B4C"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6ECF0C2"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ADCF668"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9E5A28A"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294F9267" w14:textId="77777777" w:rsidTr="00E115A5">
        <w:tc>
          <w:tcPr>
            <w:tcW w:w="0" w:type="auto"/>
            <w:hideMark/>
          </w:tcPr>
          <w:p w14:paraId="388A8A95" w14:textId="77777777" w:rsidR="00B30EF0" w:rsidRPr="004D4CC9" w:rsidRDefault="00B30EF0" w:rsidP="00E115A5">
            <w:pPr>
              <w:pStyle w:val="NoSpacing"/>
              <w:rPr>
                <w:sz w:val="18"/>
                <w:szCs w:val="18"/>
              </w:rPr>
            </w:pPr>
            <w:r w:rsidRPr="004D4CC9">
              <w:rPr>
                <w:sz w:val="18"/>
                <w:szCs w:val="18"/>
              </w:rPr>
              <w:t>Bur N year 3</w:t>
            </w:r>
            <w:hyperlink r:id="rId88" w:anchor="t2n1" w:history="1">
              <w:r w:rsidRPr="004D4CC9">
                <w:rPr>
                  <w:rStyle w:val="Hyperlink"/>
                  <w:rFonts w:cstheme="minorHAnsi"/>
                  <w:color w:val="005274"/>
                  <w:sz w:val="18"/>
                  <w:szCs w:val="18"/>
                </w:rPr>
                <w:t>†</w:t>
              </w:r>
            </w:hyperlink>
          </w:p>
        </w:tc>
        <w:tc>
          <w:tcPr>
            <w:tcW w:w="0" w:type="auto"/>
            <w:hideMark/>
          </w:tcPr>
          <w:p w14:paraId="35F3531E" w14:textId="77777777" w:rsidR="00B30EF0" w:rsidRPr="004D4CC9" w:rsidRDefault="00B30EF0" w:rsidP="00E115A5">
            <w:pPr>
              <w:pStyle w:val="NoSpacing"/>
              <w:rPr>
                <w:sz w:val="18"/>
                <w:szCs w:val="18"/>
              </w:rPr>
            </w:pPr>
            <w:r w:rsidRPr="004D4CC9">
              <w:rPr>
                <w:sz w:val="18"/>
                <w:szCs w:val="18"/>
              </w:rPr>
              <w:t>0.047</w:t>
            </w:r>
          </w:p>
        </w:tc>
        <w:tc>
          <w:tcPr>
            <w:tcW w:w="0" w:type="auto"/>
            <w:hideMark/>
          </w:tcPr>
          <w:p w14:paraId="52C86955"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D7DCDFF"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E54B3F7"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288B5D0"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1B3D76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B5BB1B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7BE43EC"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940B1A5"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1EBB28E"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A2D9A20"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27E7B5D"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07B1728D" w14:textId="77777777" w:rsidTr="00E115A5">
        <w:tc>
          <w:tcPr>
            <w:tcW w:w="0" w:type="auto"/>
            <w:hideMark/>
          </w:tcPr>
          <w:p w14:paraId="6CB0374E" w14:textId="77777777" w:rsidR="00B30EF0" w:rsidRPr="004D4CC9" w:rsidRDefault="00B30EF0" w:rsidP="00E115A5">
            <w:pPr>
              <w:pStyle w:val="NoSpacing"/>
              <w:rPr>
                <w:sz w:val="18"/>
                <w:szCs w:val="18"/>
              </w:rPr>
            </w:pPr>
            <w:r w:rsidRPr="004D4CC9">
              <w:rPr>
                <w:sz w:val="18"/>
                <w:szCs w:val="18"/>
              </w:rPr>
              <w:t>Pin height year 1</w:t>
            </w:r>
          </w:p>
        </w:tc>
        <w:tc>
          <w:tcPr>
            <w:tcW w:w="0" w:type="auto"/>
            <w:hideMark/>
          </w:tcPr>
          <w:p w14:paraId="3F46ACE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5635C8E"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FE27021"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CF472D6" w14:textId="77777777" w:rsidR="00B30EF0" w:rsidRPr="004D4CC9" w:rsidRDefault="00B30EF0" w:rsidP="00E115A5">
            <w:pPr>
              <w:pStyle w:val="NoSpacing"/>
              <w:rPr>
                <w:sz w:val="18"/>
                <w:szCs w:val="18"/>
              </w:rPr>
            </w:pPr>
            <w:r w:rsidRPr="004D4CC9">
              <w:rPr>
                <w:sz w:val="18"/>
                <w:szCs w:val="18"/>
              </w:rPr>
              <w:t>&lt; 0.0001</w:t>
            </w:r>
          </w:p>
        </w:tc>
        <w:tc>
          <w:tcPr>
            <w:tcW w:w="0" w:type="auto"/>
            <w:hideMark/>
          </w:tcPr>
          <w:p w14:paraId="58E65535"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75FA77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BA7AE6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ADABE7E"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4CAEB80"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7B94D90"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AE172C4"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5FCA0CB"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78C4C814" w14:textId="77777777" w:rsidTr="00E115A5">
        <w:tc>
          <w:tcPr>
            <w:tcW w:w="0" w:type="auto"/>
            <w:hideMark/>
          </w:tcPr>
          <w:p w14:paraId="3D8446CB" w14:textId="77777777" w:rsidR="00B30EF0" w:rsidRPr="004D4CC9" w:rsidRDefault="00B30EF0" w:rsidP="00E115A5">
            <w:pPr>
              <w:pStyle w:val="NoSpacing"/>
              <w:rPr>
                <w:sz w:val="18"/>
                <w:szCs w:val="18"/>
              </w:rPr>
            </w:pPr>
            <w:r w:rsidRPr="004D4CC9">
              <w:rPr>
                <w:sz w:val="18"/>
                <w:szCs w:val="18"/>
              </w:rPr>
              <w:t>Bur height year 1</w:t>
            </w:r>
          </w:p>
        </w:tc>
        <w:tc>
          <w:tcPr>
            <w:tcW w:w="0" w:type="auto"/>
            <w:hideMark/>
          </w:tcPr>
          <w:p w14:paraId="169C9CBC"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1359A9D"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07922FF"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2405FAF" w14:textId="77777777" w:rsidR="00B30EF0" w:rsidRPr="004D4CC9" w:rsidRDefault="00B30EF0" w:rsidP="00E115A5">
            <w:pPr>
              <w:pStyle w:val="NoSpacing"/>
              <w:rPr>
                <w:sz w:val="18"/>
                <w:szCs w:val="18"/>
              </w:rPr>
            </w:pPr>
            <w:r w:rsidRPr="004D4CC9">
              <w:rPr>
                <w:sz w:val="18"/>
                <w:szCs w:val="18"/>
              </w:rPr>
              <w:t> 0.0008</w:t>
            </w:r>
          </w:p>
        </w:tc>
        <w:tc>
          <w:tcPr>
            <w:tcW w:w="0" w:type="auto"/>
            <w:hideMark/>
          </w:tcPr>
          <w:p w14:paraId="0AA3AE9E"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46EA868"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43F82C8"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3892D2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0967D6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8567811"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8490A4F"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51D1BEA"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0A957718" w14:textId="77777777" w:rsidTr="00E115A5">
        <w:tc>
          <w:tcPr>
            <w:tcW w:w="0" w:type="auto"/>
            <w:hideMark/>
          </w:tcPr>
          <w:p w14:paraId="303CB302" w14:textId="77777777" w:rsidR="00B30EF0" w:rsidRPr="004D4CC9" w:rsidRDefault="00B30EF0" w:rsidP="00E115A5">
            <w:pPr>
              <w:pStyle w:val="NoSpacing"/>
              <w:rPr>
                <w:sz w:val="18"/>
                <w:szCs w:val="18"/>
              </w:rPr>
            </w:pPr>
            <w:r w:rsidRPr="004D4CC9">
              <w:rPr>
                <w:sz w:val="18"/>
                <w:szCs w:val="18"/>
              </w:rPr>
              <w:t>Pin height year 3</w:t>
            </w:r>
          </w:p>
        </w:tc>
        <w:tc>
          <w:tcPr>
            <w:tcW w:w="0" w:type="auto"/>
            <w:hideMark/>
          </w:tcPr>
          <w:p w14:paraId="23AC246D" w14:textId="77777777" w:rsidR="00B30EF0" w:rsidRPr="004D4CC9" w:rsidRDefault="00D8685D" w:rsidP="00E115A5">
            <w:pPr>
              <w:pStyle w:val="NoSpacing"/>
              <w:rPr>
                <w:sz w:val="18"/>
                <w:szCs w:val="18"/>
              </w:rPr>
            </w:pPr>
            <w:hyperlink r:id="rId89" w:anchor="t2" w:history="1">
              <w:r w:rsidR="00B30EF0" w:rsidRPr="004D4CC9">
                <w:rPr>
                  <w:rStyle w:val="Hyperlink"/>
                  <w:rFonts w:cstheme="minorHAnsi"/>
                  <w:color w:val="005274"/>
                  <w:sz w:val="18"/>
                  <w:szCs w:val="18"/>
                </w:rPr>
                <w:t>*</w:t>
              </w:r>
            </w:hyperlink>
          </w:p>
        </w:tc>
        <w:tc>
          <w:tcPr>
            <w:tcW w:w="0" w:type="auto"/>
            <w:hideMark/>
          </w:tcPr>
          <w:p w14:paraId="1DFE3521" w14:textId="77777777" w:rsidR="00B30EF0" w:rsidRPr="004D4CC9" w:rsidRDefault="00D8685D" w:rsidP="00E115A5">
            <w:pPr>
              <w:pStyle w:val="NoSpacing"/>
              <w:rPr>
                <w:sz w:val="18"/>
                <w:szCs w:val="18"/>
              </w:rPr>
            </w:pPr>
            <w:hyperlink r:id="rId90" w:anchor="t2" w:history="1">
              <w:r w:rsidR="00B30EF0" w:rsidRPr="004D4CC9">
                <w:rPr>
                  <w:rStyle w:val="Hyperlink"/>
                  <w:rFonts w:cstheme="minorHAnsi"/>
                  <w:color w:val="005274"/>
                  <w:sz w:val="18"/>
                  <w:szCs w:val="18"/>
                </w:rPr>
                <w:t>*</w:t>
              </w:r>
            </w:hyperlink>
          </w:p>
        </w:tc>
        <w:tc>
          <w:tcPr>
            <w:tcW w:w="0" w:type="auto"/>
            <w:hideMark/>
          </w:tcPr>
          <w:p w14:paraId="3C48EA10" w14:textId="77777777" w:rsidR="00B30EF0" w:rsidRPr="004D4CC9" w:rsidRDefault="00D8685D" w:rsidP="00E115A5">
            <w:pPr>
              <w:pStyle w:val="NoSpacing"/>
              <w:rPr>
                <w:sz w:val="18"/>
                <w:szCs w:val="18"/>
              </w:rPr>
            </w:pPr>
            <w:hyperlink r:id="rId91" w:anchor="t2" w:history="1">
              <w:r w:rsidR="00B30EF0" w:rsidRPr="004D4CC9">
                <w:rPr>
                  <w:rStyle w:val="Hyperlink"/>
                  <w:rFonts w:cstheme="minorHAnsi"/>
                  <w:color w:val="005274"/>
                  <w:sz w:val="18"/>
                  <w:szCs w:val="18"/>
                </w:rPr>
                <w:t>*</w:t>
              </w:r>
            </w:hyperlink>
          </w:p>
        </w:tc>
        <w:tc>
          <w:tcPr>
            <w:tcW w:w="0" w:type="auto"/>
            <w:hideMark/>
          </w:tcPr>
          <w:p w14:paraId="54482EB2" w14:textId="77777777" w:rsidR="00B30EF0" w:rsidRPr="004D4CC9" w:rsidRDefault="00B30EF0" w:rsidP="00E115A5">
            <w:pPr>
              <w:pStyle w:val="NoSpacing"/>
              <w:rPr>
                <w:sz w:val="18"/>
                <w:szCs w:val="18"/>
              </w:rPr>
            </w:pPr>
            <w:r w:rsidRPr="004D4CC9">
              <w:rPr>
                <w:sz w:val="18"/>
                <w:szCs w:val="18"/>
              </w:rPr>
              <w:t> 0.0004</w:t>
            </w:r>
          </w:p>
        </w:tc>
        <w:tc>
          <w:tcPr>
            <w:tcW w:w="0" w:type="auto"/>
            <w:hideMark/>
          </w:tcPr>
          <w:p w14:paraId="7034360E" w14:textId="77777777" w:rsidR="00B30EF0" w:rsidRPr="004D4CC9" w:rsidRDefault="00D8685D" w:rsidP="00E115A5">
            <w:pPr>
              <w:pStyle w:val="NoSpacing"/>
              <w:rPr>
                <w:sz w:val="18"/>
                <w:szCs w:val="18"/>
              </w:rPr>
            </w:pPr>
            <w:hyperlink r:id="rId92" w:anchor="t2" w:history="1">
              <w:r w:rsidR="00B30EF0" w:rsidRPr="004D4CC9">
                <w:rPr>
                  <w:rStyle w:val="Hyperlink"/>
                  <w:rFonts w:cstheme="minorHAnsi"/>
                  <w:color w:val="005274"/>
                  <w:sz w:val="18"/>
                  <w:szCs w:val="18"/>
                </w:rPr>
                <w:t>*</w:t>
              </w:r>
            </w:hyperlink>
          </w:p>
        </w:tc>
        <w:tc>
          <w:tcPr>
            <w:tcW w:w="0" w:type="auto"/>
            <w:hideMark/>
          </w:tcPr>
          <w:p w14:paraId="1E0ABDA9" w14:textId="77777777" w:rsidR="00B30EF0" w:rsidRPr="004D4CC9" w:rsidRDefault="00D8685D" w:rsidP="00E115A5">
            <w:pPr>
              <w:pStyle w:val="NoSpacing"/>
              <w:rPr>
                <w:sz w:val="18"/>
                <w:szCs w:val="18"/>
              </w:rPr>
            </w:pPr>
            <w:hyperlink r:id="rId93" w:anchor="t2" w:history="1">
              <w:r w:rsidR="00B30EF0" w:rsidRPr="004D4CC9">
                <w:rPr>
                  <w:rStyle w:val="Hyperlink"/>
                  <w:rFonts w:cstheme="minorHAnsi"/>
                  <w:color w:val="005274"/>
                  <w:sz w:val="18"/>
                  <w:szCs w:val="18"/>
                </w:rPr>
                <w:t>*</w:t>
              </w:r>
            </w:hyperlink>
          </w:p>
        </w:tc>
        <w:tc>
          <w:tcPr>
            <w:tcW w:w="0" w:type="auto"/>
            <w:hideMark/>
          </w:tcPr>
          <w:p w14:paraId="1D1AB890"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52740AF" w14:textId="77777777" w:rsidR="00B30EF0" w:rsidRPr="004D4CC9" w:rsidRDefault="00D8685D" w:rsidP="00E115A5">
            <w:pPr>
              <w:pStyle w:val="NoSpacing"/>
              <w:rPr>
                <w:sz w:val="18"/>
                <w:szCs w:val="18"/>
              </w:rPr>
            </w:pPr>
            <w:hyperlink r:id="rId94" w:anchor="t2" w:history="1">
              <w:r w:rsidR="00B30EF0" w:rsidRPr="004D4CC9">
                <w:rPr>
                  <w:rStyle w:val="Hyperlink"/>
                  <w:rFonts w:cstheme="minorHAnsi"/>
                  <w:color w:val="005274"/>
                  <w:sz w:val="18"/>
                  <w:szCs w:val="18"/>
                </w:rPr>
                <w:t>*</w:t>
              </w:r>
            </w:hyperlink>
          </w:p>
        </w:tc>
        <w:tc>
          <w:tcPr>
            <w:tcW w:w="0" w:type="auto"/>
            <w:hideMark/>
          </w:tcPr>
          <w:p w14:paraId="6DE94147"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87A3A7A"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422338F" w14:textId="77777777" w:rsidR="00B30EF0" w:rsidRPr="004D4CC9" w:rsidRDefault="00B30EF0" w:rsidP="00E115A5">
            <w:pPr>
              <w:pStyle w:val="NoSpacing"/>
              <w:rPr>
                <w:sz w:val="18"/>
                <w:szCs w:val="18"/>
              </w:rPr>
            </w:pPr>
            <w:r w:rsidRPr="004D4CC9">
              <w:rPr>
                <w:sz w:val="18"/>
                <w:szCs w:val="18"/>
              </w:rPr>
              <w:t>0.0068</w:t>
            </w:r>
          </w:p>
        </w:tc>
        <w:tc>
          <w:tcPr>
            <w:tcW w:w="0" w:type="auto"/>
            <w:hideMark/>
          </w:tcPr>
          <w:p w14:paraId="5F20DB99"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7CDB8220" w14:textId="77777777" w:rsidTr="00E115A5">
        <w:tc>
          <w:tcPr>
            <w:tcW w:w="0" w:type="auto"/>
            <w:hideMark/>
          </w:tcPr>
          <w:p w14:paraId="23068686" w14:textId="77777777" w:rsidR="00B30EF0" w:rsidRPr="004D4CC9" w:rsidRDefault="00B30EF0" w:rsidP="00E115A5">
            <w:pPr>
              <w:pStyle w:val="NoSpacing"/>
              <w:rPr>
                <w:sz w:val="18"/>
                <w:szCs w:val="18"/>
              </w:rPr>
            </w:pPr>
            <w:r w:rsidRPr="004D4CC9">
              <w:rPr>
                <w:sz w:val="18"/>
                <w:szCs w:val="18"/>
              </w:rPr>
              <w:t>Bur height year 3</w:t>
            </w:r>
          </w:p>
        </w:tc>
        <w:tc>
          <w:tcPr>
            <w:tcW w:w="0" w:type="auto"/>
            <w:hideMark/>
          </w:tcPr>
          <w:p w14:paraId="4C637C00"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F98E41E" w14:textId="77777777" w:rsidR="00B30EF0" w:rsidRPr="004D4CC9" w:rsidRDefault="00D8685D" w:rsidP="00E115A5">
            <w:pPr>
              <w:pStyle w:val="NoSpacing"/>
              <w:rPr>
                <w:sz w:val="18"/>
                <w:szCs w:val="18"/>
              </w:rPr>
            </w:pPr>
            <w:hyperlink r:id="rId95" w:anchor="t2" w:history="1">
              <w:r w:rsidR="00B30EF0" w:rsidRPr="004D4CC9">
                <w:rPr>
                  <w:rStyle w:val="Hyperlink"/>
                  <w:rFonts w:cstheme="minorHAnsi"/>
                  <w:color w:val="005274"/>
                  <w:sz w:val="18"/>
                  <w:szCs w:val="18"/>
                </w:rPr>
                <w:t>*</w:t>
              </w:r>
            </w:hyperlink>
          </w:p>
        </w:tc>
        <w:tc>
          <w:tcPr>
            <w:tcW w:w="0" w:type="auto"/>
            <w:hideMark/>
          </w:tcPr>
          <w:p w14:paraId="47741DC0" w14:textId="77777777" w:rsidR="00B30EF0" w:rsidRPr="004D4CC9" w:rsidRDefault="00B30EF0" w:rsidP="00E115A5">
            <w:pPr>
              <w:pStyle w:val="NoSpacing"/>
              <w:rPr>
                <w:sz w:val="18"/>
                <w:szCs w:val="18"/>
              </w:rPr>
            </w:pPr>
            <w:r w:rsidRPr="004D4CC9">
              <w:rPr>
                <w:sz w:val="18"/>
                <w:szCs w:val="18"/>
              </w:rPr>
              <w:t>0.028</w:t>
            </w:r>
          </w:p>
        </w:tc>
        <w:tc>
          <w:tcPr>
            <w:tcW w:w="0" w:type="auto"/>
            <w:hideMark/>
          </w:tcPr>
          <w:p w14:paraId="4CA63A32" w14:textId="77777777" w:rsidR="00B30EF0" w:rsidRPr="004D4CC9" w:rsidRDefault="00D8685D" w:rsidP="00E115A5">
            <w:pPr>
              <w:pStyle w:val="NoSpacing"/>
              <w:rPr>
                <w:sz w:val="18"/>
                <w:szCs w:val="18"/>
              </w:rPr>
            </w:pPr>
            <w:hyperlink r:id="rId96" w:anchor="t2" w:history="1">
              <w:r w:rsidR="00B30EF0" w:rsidRPr="004D4CC9">
                <w:rPr>
                  <w:rStyle w:val="Hyperlink"/>
                  <w:rFonts w:cstheme="minorHAnsi"/>
                  <w:color w:val="005274"/>
                  <w:sz w:val="18"/>
                  <w:szCs w:val="18"/>
                </w:rPr>
                <w:t>*</w:t>
              </w:r>
            </w:hyperlink>
          </w:p>
        </w:tc>
        <w:tc>
          <w:tcPr>
            <w:tcW w:w="0" w:type="auto"/>
            <w:hideMark/>
          </w:tcPr>
          <w:p w14:paraId="20137C2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68E1ABD"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4A49E3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A55E6B1"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C7FD7D0" w14:textId="77777777" w:rsidR="00B30EF0" w:rsidRPr="004D4CC9" w:rsidRDefault="00B30EF0" w:rsidP="00E115A5">
            <w:pPr>
              <w:pStyle w:val="NoSpacing"/>
              <w:rPr>
                <w:sz w:val="18"/>
                <w:szCs w:val="18"/>
              </w:rPr>
            </w:pPr>
            <w:r w:rsidRPr="004D4CC9">
              <w:rPr>
                <w:sz w:val="18"/>
                <w:szCs w:val="18"/>
              </w:rPr>
              <w:t>0.043</w:t>
            </w:r>
          </w:p>
        </w:tc>
        <w:tc>
          <w:tcPr>
            <w:tcW w:w="0" w:type="auto"/>
            <w:hideMark/>
          </w:tcPr>
          <w:p w14:paraId="0F87134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BFBD7B9"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78FA5E2"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6663C6B6" w14:textId="77777777" w:rsidTr="00E115A5">
        <w:tc>
          <w:tcPr>
            <w:tcW w:w="0" w:type="auto"/>
            <w:hideMark/>
          </w:tcPr>
          <w:p w14:paraId="0C1BFA38" w14:textId="77777777" w:rsidR="00B30EF0" w:rsidRPr="004D4CC9" w:rsidRDefault="00B30EF0" w:rsidP="00E115A5">
            <w:pPr>
              <w:pStyle w:val="NoSpacing"/>
              <w:rPr>
                <w:sz w:val="18"/>
                <w:szCs w:val="18"/>
              </w:rPr>
            </w:pPr>
            <w:r w:rsidRPr="004D4CC9">
              <w:rPr>
                <w:sz w:val="18"/>
                <w:szCs w:val="18"/>
              </w:rPr>
              <w:t>Pin mass year 1</w:t>
            </w:r>
          </w:p>
        </w:tc>
        <w:tc>
          <w:tcPr>
            <w:tcW w:w="0" w:type="auto"/>
            <w:hideMark/>
          </w:tcPr>
          <w:p w14:paraId="285ADBBC" w14:textId="77777777" w:rsidR="00B30EF0" w:rsidRPr="004D4CC9" w:rsidRDefault="00D8685D" w:rsidP="00E115A5">
            <w:pPr>
              <w:pStyle w:val="NoSpacing"/>
              <w:rPr>
                <w:sz w:val="18"/>
                <w:szCs w:val="18"/>
              </w:rPr>
            </w:pPr>
            <w:hyperlink r:id="rId97" w:anchor="t2" w:history="1">
              <w:r w:rsidR="00B30EF0" w:rsidRPr="004D4CC9">
                <w:rPr>
                  <w:rStyle w:val="Hyperlink"/>
                  <w:rFonts w:cstheme="minorHAnsi"/>
                  <w:color w:val="005274"/>
                  <w:sz w:val="18"/>
                  <w:szCs w:val="18"/>
                </w:rPr>
                <w:t>*</w:t>
              </w:r>
            </w:hyperlink>
          </w:p>
        </w:tc>
        <w:tc>
          <w:tcPr>
            <w:tcW w:w="0" w:type="auto"/>
            <w:hideMark/>
          </w:tcPr>
          <w:p w14:paraId="40AC874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5CE6950" w14:textId="77777777" w:rsidR="00B30EF0" w:rsidRPr="004D4CC9" w:rsidRDefault="00D8685D" w:rsidP="00E115A5">
            <w:pPr>
              <w:pStyle w:val="NoSpacing"/>
              <w:rPr>
                <w:sz w:val="18"/>
                <w:szCs w:val="18"/>
              </w:rPr>
            </w:pPr>
            <w:hyperlink r:id="rId98" w:anchor="t2" w:history="1">
              <w:r w:rsidR="00B30EF0" w:rsidRPr="004D4CC9">
                <w:rPr>
                  <w:rStyle w:val="Hyperlink"/>
                  <w:rFonts w:cstheme="minorHAnsi"/>
                  <w:color w:val="005274"/>
                  <w:sz w:val="18"/>
                  <w:szCs w:val="18"/>
                </w:rPr>
                <w:t>*</w:t>
              </w:r>
            </w:hyperlink>
          </w:p>
        </w:tc>
        <w:tc>
          <w:tcPr>
            <w:tcW w:w="0" w:type="auto"/>
            <w:hideMark/>
          </w:tcPr>
          <w:p w14:paraId="4AAAF695"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BC287C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10DF8203" w14:textId="77777777" w:rsidR="00B30EF0" w:rsidRPr="004D4CC9" w:rsidRDefault="00B30EF0" w:rsidP="00E115A5">
            <w:pPr>
              <w:pStyle w:val="NoSpacing"/>
              <w:rPr>
                <w:sz w:val="18"/>
                <w:szCs w:val="18"/>
              </w:rPr>
            </w:pPr>
            <w:r w:rsidRPr="004D4CC9">
              <w:rPr>
                <w:sz w:val="18"/>
                <w:szCs w:val="18"/>
              </w:rPr>
              <w:t>0.023</w:t>
            </w:r>
          </w:p>
        </w:tc>
        <w:tc>
          <w:tcPr>
            <w:tcW w:w="0" w:type="auto"/>
            <w:hideMark/>
          </w:tcPr>
          <w:p w14:paraId="698B60B7"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30A2C17"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84A3F80"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37306D7"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EDA2AD0"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2A95D0E"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27BDD71B" w14:textId="77777777" w:rsidTr="00E115A5">
        <w:tc>
          <w:tcPr>
            <w:tcW w:w="0" w:type="auto"/>
            <w:hideMark/>
          </w:tcPr>
          <w:p w14:paraId="1CCB3239" w14:textId="77777777" w:rsidR="00B30EF0" w:rsidRPr="004D4CC9" w:rsidRDefault="00B30EF0" w:rsidP="00E115A5">
            <w:pPr>
              <w:pStyle w:val="NoSpacing"/>
              <w:rPr>
                <w:sz w:val="18"/>
                <w:szCs w:val="18"/>
              </w:rPr>
            </w:pPr>
            <w:r w:rsidRPr="004D4CC9">
              <w:rPr>
                <w:sz w:val="18"/>
                <w:szCs w:val="18"/>
              </w:rPr>
              <w:t>Pin mass year 3</w:t>
            </w:r>
          </w:p>
        </w:tc>
        <w:tc>
          <w:tcPr>
            <w:tcW w:w="0" w:type="auto"/>
            <w:hideMark/>
          </w:tcPr>
          <w:p w14:paraId="3A528315"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A7B9652"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2428B8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DEF7551" w14:textId="77777777" w:rsidR="00B30EF0" w:rsidRPr="004D4CC9" w:rsidRDefault="00B30EF0" w:rsidP="00E115A5">
            <w:pPr>
              <w:pStyle w:val="NoSpacing"/>
              <w:rPr>
                <w:sz w:val="18"/>
                <w:szCs w:val="18"/>
              </w:rPr>
            </w:pPr>
            <w:r w:rsidRPr="004D4CC9">
              <w:rPr>
                <w:sz w:val="18"/>
                <w:szCs w:val="18"/>
              </w:rPr>
              <w:t> 0.0028</w:t>
            </w:r>
          </w:p>
        </w:tc>
        <w:tc>
          <w:tcPr>
            <w:tcW w:w="0" w:type="auto"/>
            <w:hideMark/>
          </w:tcPr>
          <w:p w14:paraId="36744B8A"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682BFEE"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109DC4A"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254B9A7"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7633368"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3B7E5D5"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0F92066"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05CEB5B"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r w:rsidR="00B30EF0" w:rsidRPr="004D4CC9" w14:paraId="18D4DC04" w14:textId="77777777" w:rsidTr="00E115A5">
        <w:tc>
          <w:tcPr>
            <w:tcW w:w="0" w:type="auto"/>
            <w:hideMark/>
          </w:tcPr>
          <w:p w14:paraId="38F1E081" w14:textId="77777777" w:rsidR="00B30EF0" w:rsidRPr="004D4CC9" w:rsidRDefault="00B30EF0" w:rsidP="00E115A5">
            <w:pPr>
              <w:pStyle w:val="NoSpacing"/>
              <w:rPr>
                <w:sz w:val="18"/>
                <w:szCs w:val="18"/>
              </w:rPr>
            </w:pPr>
            <w:r w:rsidRPr="004D4CC9">
              <w:rPr>
                <w:sz w:val="18"/>
                <w:szCs w:val="18"/>
              </w:rPr>
              <w:t>Bur mass year 3</w:t>
            </w:r>
          </w:p>
        </w:tc>
        <w:tc>
          <w:tcPr>
            <w:tcW w:w="0" w:type="auto"/>
            <w:hideMark/>
          </w:tcPr>
          <w:p w14:paraId="323E8975"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242C2A1E"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D5887DB"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860B6EC" w14:textId="77777777" w:rsidR="00B30EF0" w:rsidRPr="004D4CC9" w:rsidRDefault="00B30EF0" w:rsidP="00E115A5">
            <w:pPr>
              <w:pStyle w:val="NoSpacing"/>
              <w:rPr>
                <w:sz w:val="18"/>
                <w:szCs w:val="18"/>
              </w:rPr>
            </w:pPr>
            <w:r w:rsidRPr="004D4CC9">
              <w:rPr>
                <w:sz w:val="18"/>
                <w:szCs w:val="18"/>
              </w:rPr>
              <w:t> 0.0007</w:t>
            </w:r>
          </w:p>
        </w:tc>
        <w:tc>
          <w:tcPr>
            <w:tcW w:w="0" w:type="auto"/>
            <w:hideMark/>
          </w:tcPr>
          <w:p w14:paraId="115657D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3873F632"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53B8AD03"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6ED2258D"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EF78DC8"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4A06F95D"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0899381C" w14:textId="77777777" w:rsidR="00B30EF0" w:rsidRPr="004D4CC9" w:rsidRDefault="00B30EF0" w:rsidP="00E115A5">
            <w:pPr>
              <w:pStyle w:val="NoSpacing"/>
              <w:rPr>
                <w:sz w:val="18"/>
                <w:szCs w:val="18"/>
              </w:rPr>
            </w:pPr>
            <w:r w:rsidRPr="004D4CC9">
              <w:rPr>
                <w:sz w:val="18"/>
                <w:szCs w:val="18"/>
              </w:rPr>
              <w:t>.</w:t>
            </w:r>
          </w:p>
        </w:tc>
        <w:tc>
          <w:tcPr>
            <w:tcW w:w="0" w:type="auto"/>
            <w:hideMark/>
          </w:tcPr>
          <w:p w14:paraId="790A3D0C" w14:textId="77777777" w:rsidR="00B30EF0" w:rsidRPr="004D4CC9" w:rsidRDefault="00B30EF0">
            <w:pPr>
              <w:spacing w:before="225" w:after="225" w:line="360" w:lineRule="atLeast"/>
              <w:jc w:val="center"/>
              <w:rPr>
                <w:rFonts w:cstheme="minorHAnsi"/>
                <w:color w:val="000000"/>
                <w:sz w:val="18"/>
                <w:szCs w:val="18"/>
              </w:rPr>
            </w:pPr>
            <w:r w:rsidRPr="004D4CC9">
              <w:rPr>
                <w:rFonts w:cstheme="minorHAnsi"/>
                <w:color w:val="000000"/>
                <w:sz w:val="18"/>
                <w:szCs w:val="18"/>
              </w:rPr>
              <w:t>.</w:t>
            </w:r>
          </w:p>
        </w:tc>
      </w:tr>
    </w:tbl>
    <w:p w14:paraId="3909333C" w14:textId="77777777" w:rsidR="00B30EF0" w:rsidRPr="004D4CC9" w:rsidRDefault="00B30EF0" w:rsidP="00ED48B7">
      <w:pPr>
        <w:rPr>
          <w:rFonts w:cstheme="minorHAnsi"/>
          <w:sz w:val="24"/>
          <w:szCs w:val="24"/>
        </w:rPr>
      </w:pPr>
      <w:r w:rsidRPr="004D4CC9">
        <w:rPr>
          <w:rStyle w:val="number"/>
          <w:rFonts w:cstheme="minorHAnsi"/>
          <w:color w:val="1C1D1E"/>
        </w:rPr>
        <w:t>† </w:t>
      </w:r>
      <w:r w:rsidRPr="004D4CC9">
        <w:rPr>
          <w:rFonts w:cstheme="minorHAnsi"/>
        </w:rPr>
        <w:t>Foliar N contents measured only in the control and +W resource‐addition treatments in year 1, and only in control treatments in year 3.</w:t>
      </w:r>
    </w:p>
    <w:p w14:paraId="30FF5DF6" w14:textId="77777777" w:rsidR="00B30EF0" w:rsidRPr="004D4CC9" w:rsidRDefault="00B30EF0" w:rsidP="00ED48B7">
      <w:pPr>
        <w:rPr>
          <w:rFonts w:cstheme="minorHAnsi"/>
        </w:rPr>
      </w:pPr>
      <w:r w:rsidRPr="004D4CC9">
        <w:rPr>
          <w:rFonts w:cstheme="minorHAnsi"/>
        </w:rPr>
        <w:t>All hypotheses were tested across full factorial design for interactions. Unless specifically mentioned, reported effects were significant across (and did not interact with) other experimental treatments.</w:t>
      </w:r>
    </w:p>
    <w:p w14:paraId="4FC4860D" w14:textId="77777777" w:rsidR="00B30EF0" w:rsidRPr="004D4CC9" w:rsidRDefault="00B30EF0" w:rsidP="00ED48B7">
      <w:pPr>
        <w:pStyle w:val="Heading1"/>
        <w:rPr>
          <w:rFonts w:asciiTheme="minorHAnsi" w:hAnsiTheme="minorHAnsi" w:cstheme="minorHAnsi"/>
        </w:rPr>
      </w:pPr>
      <w:r w:rsidRPr="004D4CC9">
        <w:rPr>
          <w:rFonts w:asciiTheme="minorHAnsi" w:hAnsiTheme="minorHAnsi" w:cstheme="minorHAnsi"/>
        </w:rPr>
        <w:t>Results</w:t>
      </w:r>
    </w:p>
    <w:p w14:paraId="415778D7" w14:textId="77777777" w:rsidR="00B30EF0" w:rsidRPr="004D4CC9" w:rsidRDefault="00B30EF0" w:rsidP="00ED48B7">
      <w:pPr>
        <w:rPr>
          <w:rFonts w:cstheme="minorHAnsi"/>
          <w:color w:val="1C1D1E"/>
        </w:rPr>
      </w:pPr>
      <w:r w:rsidRPr="004D4CC9">
        <w:rPr>
          <w:rFonts w:cstheme="minorHAnsi"/>
          <w:color w:val="1C1D1E"/>
        </w:rPr>
        <w:t>Distance from trees (</w:t>
      </w:r>
      <w:hyperlink r:id="rId99" w:anchor="f3" w:history="1">
        <w:r w:rsidRPr="004D4CC9">
          <w:rPr>
            <w:rStyle w:val="Hyperlink"/>
            <w:rFonts w:eastAsiaTheme="majorEastAsia" w:cstheme="minorHAnsi"/>
            <w:b/>
            <w:bCs/>
            <w:color w:val="005274"/>
          </w:rPr>
          <w:t>Fig. 3</w:t>
        </w:r>
      </w:hyperlink>
      <w:r w:rsidRPr="004D4CC9">
        <w:rPr>
          <w:rFonts w:cstheme="minorHAnsi"/>
          <w:color w:val="1C1D1E"/>
        </w:rPr>
        <w:t>) and clipping of herbaceous vegetation (</w:t>
      </w:r>
      <w:hyperlink r:id="rId100" w:anchor="f4" w:history="1">
        <w:r w:rsidRPr="004D4CC9">
          <w:rPr>
            <w:rStyle w:val="Hyperlink"/>
            <w:rFonts w:eastAsiaTheme="majorEastAsia" w:cstheme="minorHAnsi"/>
            <w:b/>
            <w:bCs/>
            <w:color w:val="005274"/>
          </w:rPr>
          <w:t>Fig. 4</w:t>
        </w:r>
      </w:hyperlink>
      <w:r w:rsidRPr="004D4CC9">
        <w:rPr>
          <w:rFonts w:cstheme="minorHAnsi"/>
          <w:color w:val="1C1D1E"/>
        </w:rPr>
        <w:t>) both had many significant main effects, and relatively few interactions with other treatments (</w:t>
      </w:r>
      <w:hyperlink r:id="rId101" w:anchor="t2" w:history="1">
        <w:r w:rsidRPr="004D4CC9">
          <w:rPr>
            <w:rStyle w:val="Hyperlink"/>
            <w:rFonts w:eastAsiaTheme="majorEastAsia" w:cstheme="minorHAnsi"/>
            <w:b/>
            <w:bCs/>
            <w:color w:val="005274"/>
          </w:rPr>
          <w:t>Table 2</w:t>
        </w:r>
      </w:hyperlink>
      <w:r w:rsidRPr="004D4CC9">
        <w:rPr>
          <w:rFonts w:cstheme="minorHAnsi"/>
          <w:color w:val="1C1D1E"/>
        </w:rPr>
        <w:t>). Distance primarily influenced survival, mycorrhizal infection and foliar nutrient concentrations, while clipping influenced germination and survival of pin oaks, and the growth of both oak species. Resource addition (</w:t>
      </w:r>
      <w:hyperlink r:id="rId102" w:anchor="f5" w:history="1">
        <w:r w:rsidRPr="004D4CC9">
          <w:rPr>
            <w:rStyle w:val="Hyperlink"/>
            <w:rFonts w:eastAsiaTheme="majorEastAsia" w:cstheme="minorHAnsi"/>
            <w:b/>
            <w:bCs/>
            <w:color w:val="005274"/>
          </w:rPr>
          <w:t>Fig. 5</w:t>
        </w:r>
      </w:hyperlink>
      <w:r w:rsidRPr="004D4CC9">
        <w:rPr>
          <w:rFonts w:cstheme="minorHAnsi"/>
          <w:color w:val="1C1D1E"/>
        </w:rPr>
        <w:t>) had fewer significant effects, most of which were marginal‐to‐significant interactions, with more‐significant effects for pin oaks (significant effects on germination, survival, above‐ground mass in year 1 and heights in year 3) than for bur oaks (significant effects only on mycorrhizal infection in year 1 and heights in year 3).</w:t>
      </w:r>
    </w:p>
    <w:p w14:paraId="53C39AF5" w14:textId="26C620F6" w:rsidR="00B30EF0" w:rsidRPr="004D4CC9" w:rsidRDefault="00B30EF0" w:rsidP="002F642D">
      <w:pPr>
        <w:shd w:val="clear" w:color="auto" w:fill="FFFFFF"/>
        <w:spacing w:after="0"/>
        <w:rPr>
          <w:rFonts w:cstheme="minorHAnsi"/>
          <w:color w:val="1C1D1E"/>
        </w:rPr>
      </w:pPr>
      <w:r w:rsidRPr="004D4CC9">
        <w:rPr>
          <w:rFonts w:cstheme="minorHAnsi"/>
          <w:noProof/>
          <w:color w:val="005274"/>
        </w:rPr>
        <w:drawing>
          <wp:inline distT="0" distB="0" distL="0" distR="0" wp14:anchorId="501F5C20" wp14:editId="7624D39D">
            <wp:extent cx="2743200" cy="6784848"/>
            <wp:effectExtent l="0" t="0" r="0" b="0"/>
            <wp:docPr id="3" name="Picture 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743200" cy="6784848"/>
                    </a:xfrm>
                    <a:prstGeom prst="rect">
                      <a:avLst/>
                    </a:prstGeom>
                    <a:noFill/>
                    <a:ln>
                      <a:noFill/>
                    </a:ln>
                  </pic:spPr>
                </pic:pic>
              </a:graphicData>
            </a:graphic>
          </wp:inline>
        </w:drawing>
      </w:r>
    </w:p>
    <w:p w14:paraId="2C9BF4C6" w14:textId="376CBDAC" w:rsidR="00B30EF0" w:rsidRDefault="00B30EF0" w:rsidP="002F642D">
      <w:pPr>
        <w:pStyle w:val="NoSpacing"/>
      </w:pPr>
      <w:r w:rsidRPr="004D4CC9">
        <w:rPr>
          <w:rStyle w:val="Strong"/>
          <w:rFonts w:cstheme="minorHAnsi"/>
          <w:color w:val="212121"/>
        </w:rPr>
        <w:t>Figure 3</w:t>
      </w:r>
      <w:r w:rsidR="002F642D">
        <w:rPr>
          <w:rStyle w:val="Strong"/>
          <w:rFonts w:cstheme="minorHAnsi"/>
          <w:color w:val="212121"/>
        </w:rPr>
        <w:t xml:space="preserve"> </w:t>
      </w:r>
      <w:r w:rsidRPr="004D4CC9">
        <w:t>Significant effects of distance from trees on mycorrhizal infection (a–d), foliar N concentrations (e–g), survival to year 3 (h, i) and height (j, k) of pin and bur oak seedlings. Error bars are 1 SE. In b and j, C = resource addition control, +W = water addition treatment and +N (j only) = nitrogen addition treatment. All effects shown significant at </w:t>
      </w:r>
      <w:r w:rsidRPr="004D4CC9">
        <w:rPr>
          <w:i/>
          <w:iCs/>
        </w:rPr>
        <w:t>P</w:t>
      </w:r>
      <w:r w:rsidRPr="004D4CC9">
        <w:t> &lt; 0.05, except significant three‐way interactions, which were significant at </w:t>
      </w:r>
      <w:r w:rsidRPr="004D4CC9">
        <w:rPr>
          <w:i/>
          <w:iCs/>
        </w:rPr>
        <w:t>P</w:t>
      </w:r>
      <w:r w:rsidRPr="004D4CC9">
        <w:t> &lt; 0.01; see </w:t>
      </w:r>
      <w:hyperlink r:id="rId104" w:anchor="t2" w:history="1">
        <w:r w:rsidRPr="004D4CC9">
          <w:rPr>
            <w:rStyle w:val="Hyperlink"/>
            <w:rFonts w:eastAsiaTheme="majorEastAsia" w:cstheme="minorHAnsi"/>
            <w:b/>
            <w:bCs/>
            <w:color w:val="005274"/>
          </w:rPr>
          <w:t>Table 2</w:t>
        </w:r>
      </w:hyperlink>
      <w:r w:rsidRPr="004D4CC9">
        <w:t> for exact </w:t>
      </w:r>
      <w:r w:rsidRPr="004D4CC9">
        <w:rPr>
          <w:i/>
          <w:iCs/>
        </w:rPr>
        <w:t>P</w:t>
      </w:r>
      <w:r w:rsidRPr="004D4CC9">
        <w:t>‐values.</w:t>
      </w:r>
    </w:p>
    <w:p w14:paraId="61B53E9B" w14:textId="77777777" w:rsidR="002F642D" w:rsidRPr="004D4CC9" w:rsidRDefault="002F642D" w:rsidP="00ED48B7">
      <w:pPr>
        <w:rPr>
          <w:rFonts w:cstheme="minorHAnsi"/>
          <w:color w:val="1C1D1E"/>
        </w:rPr>
      </w:pPr>
    </w:p>
    <w:p w14:paraId="760A2977" w14:textId="419E6EA0" w:rsidR="00B30EF0" w:rsidRPr="004D4CC9" w:rsidRDefault="00B30EF0" w:rsidP="002F642D">
      <w:pPr>
        <w:shd w:val="clear" w:color="auto" w:fill="FFFFFF"/>
        <w:spacing w:after="0"/>
        <w:rPr>
          <w:rFonts w:cstheme="minorHAnsi"/>
          <w:color w:val="1C1D1E"/>
        </w:rPr>
      </w:pPr>
      <w:r w:rsidRPr="004D4CC9">
        <w:rPr>
          <w:rFonts w:cstheme="minorHAnsi"/>
          <w:noProof/>
          <w:color w:val="005274"/>
        </w:rPr>
        <w:drawing>
          <wp:inline distT="0" distB="0" distL="0" distR="0" wp14:anchorId="5E1E125D" wp14:editId="1EE53FAE">
            <wp:extent cx="2743200" cy="5586984"/>
            <wp:effectExtent l="0" t="0" r="0" b="0"/>
            <wp:docPr id="2" name="Picture 2"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4"/>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2743200" cy="5586984"/>
                    </a:xfrm>
                    <a:prstGeom prst="rect">
                      <a:avLst/>
                    </a:prstGeom>
                    <a:noFill/>
                    <a:ln>
                      <a:noFill/>
                    </a:ln>
                  </pic:spPr>
                </pic:pic>
              </a:graphicData>
            </a:graphic>
          </wp:inline>
        </w:drawing>
      </w:r>
    </w:p>
    <w:p w14:paraId="31357374" w14:textId="1818E734" w:rsidR="00B30EF0" w:rsidRPr="004D4CC9" w:rsidRDefault="00B30EF0" w:rsidP="002F642D">
      <w:pPr>
        <w:pStyle w:val="NoSpacing"/>
      </w:pPr>
      <w:r w:rsidRPr="004D4CC9">
        <w:rPr>
          <w:rStyle w:val="Strong"/>
          <w:rFonts w:cstheme="minorHAnsi"/>
          <w:color w:val="212121"/>
        </w:rPr>
        <w:t>Figure 4</w:t>
      </w:r>
      <w:r w:rsidR="002F642D">
        <w:rPr>
          <w:rStyle w:val="Strong"/>
          <w:rFonts w:cstheme="minorHAnsi"/>
          <w:color w:val="212121"/>
        </w:rPr>
        <w:t xml:space="preserve"> </w:t>
      </w:r>
      <w:r w:rsidRPr="004D4CC9">
        <w:t>Significant effects of clipping on germination (a), survival to year 3 (b, c), height (d–g), and mass (h, i) of pin and bur oak seedlings. In a and b, C = resource addition control, +W = water addition treatment and +N = nitrogen addition treatment. All effects shown significant at </w:t>
      </w:r>
      <w:r w:rsidRPr="004D4CC9">
        <w:rPr>
          <w:i/>
          <w:iCs/>
        </w:rPr>
        <w:t>P</w:t>
      </w:r>
      <w:r w:rsidRPr="004D4CC9">
        <w:t> &lt; 0.05; see </w:t>
      </w:r>
      <w:hyperlink r:id="rId106" w:anchor="t2" w:history="1">
        <w:r w:rsidRPr="004D4CC9">
          <w:rPr>
            <w:rStyle w:val="Hyperlink"/>
            <w:rFonts w:eastAsiaTheme="majorEastAsia" w:cstheme="minorHAnsi"/>
            <w:b/>
            <w:bCs/>
            <w:color w:val="005274"/>
          </w:rPr>
          <w:t>Table 2</w:t>
        </w:r>
      </w:hyperlink>
      <w:r w:rsidRPr="004D4CC9">
        <w:t> for exact </w:t>
      </w:r>
      <w:r w:rsidRPr="004D4CC9">
        <w:rPr>
          <w:i/>
          <w:iCs/>
        </w:rPr>
        <w:t>P</w:t>
      </w:r>
      <w:r w:rsidRPr="004D4CC9">
        <w:t>‐values.</w:t>
      </w:r>
    </w:p>
    <w:p w14:paraId="6A9B01B4" w14:textId="2B9A8512" w:rsidR="00B30EF0" w:rsidRPr="004D4CC9" w:rsidRDefault="00B30EF0" w:rsidP="002F642D">
      <w:pPr>
        <w:shd w:val="clear" w:color="auto" w:fill="FFFFFF"/>
        <w:spacing w:after="0"/>
        <w:rPr>
          <w:rFonts w:cstheme="minorHAnsi"/>
          <w:color w:val="1C1D1E"/>
        </w:rPr>
      </w:pPr>
      <w:r w:rsidRPr="004D4CC9">
        <w:rPr>
          <w:rFonts w:cstheme="minorHAnsi"/>
          <w:noProof/>
          <w:color w:val="005274"/>
        </w:rPr>
        <w:drawing>
          <wp:inline distT="0" distB="0" distL="0" distR="0" wp14:anchorId="42B3525A" wp14:editId="24BD7CC9">
            <wp:extent cx="2743200" cy="1188720"/>
            <wp:effectExtent l="0" t="0" r="0" b="0"/>
            <wp:docPr id="1" name="Picture 1"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2743200" cy="1188720"/>
                    </a:xfrm>
                    <a:prstGeom prst="rect">
                      <a:avLst/>
                    </a:prstGeom>
                    <a:noFill/>
                    <a:ln>
                      <a:noFill/>
                    </a:ln>
                  </pic:spPr>
                </pic:pic>
              </a:graphicData>
            </a:graphic>
          </wp:inline>
        </w:drawing>
      </w:r>
    </w:p>
    <w:p w14:paraId="06580F0F" w14:textId="122D7296" w:rsidR="00B30EF0" w:rsidRPr="004D4CC9" w:rsidRDefault="00B30EF0" w:rsidP="002F642D">
      <w:pPr>
        <w:pStyle w:val="NoSpacing"/>
      </w:pPr>
      <w:r w:rsidRPr="004D4CC9">
        <w:rPr>
          <w:rStyle w:val="Strong"/>
          <w:rFonts w:cstheme="minorHAnsi"/>
          <w:color w:val="212121"/>
        </w:rPr>
        <w:t>Figure 5</w:t>
      </w:r>
      <w:r w:rsidR="002F642D">
        <w:rPr>
          <w:rStyle w:val="Strong"/>
          <w:rFonts w:cstheme="minorHAnsi"/>
          <w:color w:val="212121"/>
        </w:rPr>
        <w:t xml:space="preserve"> </w:t>
      </w:r>
      <w:r w:rsidRPr="004D4CC9">
        <w:t>Significant effects of resource addition on year 3 bur oak heights (a) and year 1 pin oak shoot mass (b). Significant interactions of resource addition with distance are shown in </w:t>
      </w:r>
      <w:hyperlink r:id="rId108" w:anchor="f3" w:history="1">
        <w:r w:rsidRPr="004D4CC9">
          <w:rPr>
            <w:rStyle w:val="Hyperlink"/>
            <w:rFonts w:eastAsiaTheme="majorEastAsia" w:cstheme="minorHAnsi"/>
            <w:b/>
            <w:bCs/>
            <w:color w:val="005274"/>
          </w:rPr>
          <w:t>Figure 3</w:t>
        </w:r>
      </w:hyperlink>
      <w:r w:rsidRPr="004D4CC9">
        <w:t>(b, j); and significant interactions with clipping are shown in </w:t>
      </w:r>
      <w:hyperlink r:id="rId109" w:anchor="f4" w:history="1">
        <w:r w:rsidRPr="004D4CC9">
          <w:rPr>
            <w:rStyle w:val="Hyperlink"/>
            <w:rFonts w:eastAsiaTheme="majorEastAsia" w:cstheme="minorHAnsi"/>
            <w:b/>
            <w:bCs/>
            <w:color w:val="005274"/>
          </w:rPr>
          <w:t>Figure 4</w:t>
        </w:r>
      </w:hyperlink>
      <w:r w:rsidRPr="004D4CC9">
        <w:t>(a, b). Treatment codes are C = resource addition control, +W = water addition treatment and +N = nitrogen addition treatment. All effects shown significant at </w:t>
      </w:r>
      <w:r w:rsidRPr="004D4CC9">
        <w:rPr>
          <w:i/>
          <w:iCs/>
        </w:rPr>
        <w:t>P</w:t>
      </w:r>
      <w:r w:rsidRPr="004D4CC9">
        <w:t> &lt; 0.05; see </w:t>
      </w:r>
      <w:hyperlink r:id="rId110" w:anchor="t2" w:history="1">
        <w:r w:rsidRPr="004D4CC9">
          <w:rPr>
            <w:rStyle w:val="Hyperlink"/>
            <w:rFonts w:eastAsiaTheme="majorEastAsia" w:cstheme="minorHAnsi"/>
            <w:b/>
            <w:bCs/>
            <w:color w:val="005274"/>
          </w:rPr>
          <w:t>Table 2</w:t>
        </w:r>
      </w:hyperlink>
      <w:r w:rsidRPr="004D4CC9">
        <w:t> for exact </w:t>
      </w:r>
      <w:r w:rsidRPr="004D4CC9">
        <w:rPr>
          <w:i/>
          <w:iCs/>
        </w:rPr>
        <w:t>P</w:t>
      </w:r>
      <w:r w:rsidRPr="004D4CC9">
        <w:t>‐values.</w:t>
      </w:r>
    </w:p>
    <w:p w14:paraId="7B466D57"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distance from trees</w:t>
      </w:r>
    </w:p>
    <w:p w14:paraId="57DD99F7" w14:textId="77777777" w:rsidR="00B30EF0" w:rsidRPr="004D4CC9" w:rsidRDefault="00B30EF0" w:rsidP="00ED48B7">
      <w:pPr>
        <w:rPr>
          <w:rFonts w:cstheme="minorHAnsi"/>
        </w:rPr>
      </w:pPr>
      <w:r w:rsidRPr="004D4CC9">
        <w:rPr>
          <w:rFonts w:cstheme="minorHAnsi"/>
        </w:rPr>
        <w:t>Mycorrhizal infection was higher near trees for both pin and bur oak seedlings at both year 1 and year 3 (</w:t>
      </w:r>
      <w:hyperlink r:id="rId111" w:anchor="f3" w:history="1">
        <w:r w:rsidRPr="004D4CC9">
          <w:rPr>
            <w:rStyle w:val="Hyperlink"/>
            <w:rFonts w:eastAsiaTheme="majorEastAsia" w:cstheme="minorHAnsi"/>
            <w:b/>
            <w:bCs/>
            <w:color w:val="005274"/>
          </w:rPr>
          <w:t>Fig. 3a–d</w:t>
        </w:r>
      </w:hyperlink>
      <w:r w:rsidRPr="004D4CC9">
        <w:rPr>
          <w:rFonts w:cstheme="minorHAnsi"/>
        </w:rPr>
        <w:t>; pin oaks year 1, </w:t>
      </w:r>
      <w:r w:rsidRPr="004D4CC9">
        <w:rPr>
          <w:rFonts w:cstheme="minorHAnsi"/>
          <w:i/>
          <w:iCs/>
        </w:rPr>
        <w:t>F</w:t>
      </w:r>
      <w:r w:rsidRPr="004D4CC9">
        <w:rPr>
          <w:rFonts w:cstheme="minorHAnsi"/>
        </w:rPr>
        <w:t> = 154.12, </w:t>
      </w:r>
      <w:r w:rsidRPr="004D4CC9">
        <w:rPr>
          <w:rFonts w:cstheme="minorHAnsi"/>
          <w:i/>
          <w:iCs/>
        </w:rPr>
        <w:t>P</w:t>
      </w:r>
      <w:r w:rsidRPr="004D4CC9">
        <w:rPr>
          <w:rFonts w:cstheme="minorHAnsi"/>
          <w:sz w:val="18"/>
          <w:szCs w:val="18"/>
          <w:vertAlign w:val="subscript"/>
        </w:rPr>
        <w:t>1,11</w:t>
      </w:r>
      <w:r w:rsidRPr="004D4CC9">
        <w:rPr>
          <w:rFonts w:cstheme="minorHAnsi"/>
        </w:rPr>
        <w:t> &lt; 0.0001; pin oaks year 3, </w:t>
      </w:r>
      <w:r w:rsidRPr="004D4CC9">
        <w:rPr>
          <w:rFonts w:cstheme="minorHAnsi"/>
          <w:i/>
          <w:iCs/>
        </w:rPr>
        <w:t>F</w:t>
      </w:r>
      <w:r w:rsidRPr="004D4CC9">
        <w:rPr>
          <w:rFonts w:cstheme="minorHAnsi"/>
        </w:rPr>
        <w:t> = 41.70, </w:t>
      </w:r>
      <w:r w:rsidRPr="004D4CC9">
        <w:rPr>
          <w:rFonts w:cstheme="minorHAnsi"/>
          <w:i/>
          <w:iCs/>
        </w:rPr>
        <w:t>P</w:t>
      </w:r>
      <w:r w:rsidRPr="004D4CC9">
        <w:rPr>
          <w:rFonts w:cstheme="minorHAnsi"/>
          <w:sz w:val="18"/>
          <w:szCs w:val="18"/>
          <w:vertAlign w:val="subscript"/>
        </w:rPr>
        <w:t>1,10</w:t>
      </w:r>
      <w:r w:rsidRPr="004D4CC9">
        <w:rPr>
          <w:rFonts w:cstheme="minorHAnsi"/>
        </w:rPr>
        <w:t> = 0.0001). Mycorrhizal infection of bur oak in year 1 showed a significant interaction between distance, clipping and resource addition (</w:t>
      </w:r>
      <w:hyperlink r:id="rId112" w:anchor="f3" w:history="1">
        <w:r w:rsidRPr="004D4CC9">
          <w:rPr>
            <w:rStyle w:val="Hyperlink"/>
            <w:rFonts w:eastAsiaTheme="majorEastAsia" w:cstheme="minorHAnsi"/>
            <w:b/>
            <w:bCs/>
            <w:color w:val="005274"/>
          </w:rPr>
          <w:t>Fig. 3b</w:t>
        </w:r>
      </w:hyperlink>
      <w:r w:rsidRPr="004D4CC9">
        <w:rPr>
          <w:rFonts w:cstheme="minorHAnsi"/>
        </w:rPr>
        <w:t>; </w:t>
      </w:r>
      <w:r w:rsidRPr="004D4CC9">
        <w:rPr>
          <w:rFonts w:cstheme="minorHAnsi"/>
          <w:i/>
          <w:iCs/>
        </w:rPr>
        <w:t>F</w:t>
      </w:r>
      <w:r w:rsidRPr="004D4CC9">
        <w:rPr>
          <w:rFonts w:cstheme="minorHAnsi"/>
        </w:rPr>
        <w:t> = 8.48; </w:t>
      </w:r>
      <w:r w:rsidRPr="004D4CC9">
        <w:rPr>
          <w:rFonts w:cstheme="minorHAnsi"/>
          <w:i/>
          <w:iCs/>
        </w:rPr>
        <w:t>P</w:t>
      </w:r>
      <w:r w:rsidRPr="004D4CC9">
        <w:rPr>
          <w:rFonts w:cstheme="minorHAnsi"/>
          <w:sz w:val="18"/>
          <w:szCs w:val="18"/>
          <w:vertAlign w:val="subscript"/>
        </w:rPr>
        <w:t>1,34</w:t>
      </w:r>
      <w:r w:rsidRPr="004D4CC9">
        <w:rPr>
          <w:rFonts w:cstheme="minorHAnsi"/>
        </w:rPr>
        <w:t> = 0.0063), while mycorrhizal infection of bur oak at year 3 had a significant main effect of distance (</w:t>
      </w:r>
      <w:hyperlink r:id="rId113" w:anchor="f3" w:history="1">
        <w:r w:rsidRPr="004D4CC9">
          <w:rPr>
            <w:rStyle w:val="Hyperlink"/>
            <w:rFonts w:eastAsiaTheme="majorEastAsia" w:cstheme="minorHAnsi"/>
            <w:b/>
            <w:bCs/>
            <w:color w:val="005274"/>
          </w:rPr>
          <w:t>Fig. 3d</w:t>
        </w:r>
      </w:hyperlink>
      <w:r w:rsidRPr="004D4CC9">
        <w:rPr>
          <w:rFonts w:cstheme="minorHAnsi"/>
        </w:rPr>
        <w:t>; </w:t>
      </w:r>
      <w:r w:rsidRPr="004D4CC9">
        <w:rPr>
          <w:rFonts w:cstheme="minorHAnsi"/>
          <w:i/>
          <w:iCs/>
        </w:rPr>
        <w:t>F</w:t>
      </w:r>
      <w:r w:rsidRPr="004D4CC9">
        <w:rPr>
          <w:rFonts w:cstheme="minorHAnsi"/>
        </w:rPr>
        <w:t> = 32.59, </w:t>
      </w:r>
      <w:r w:rsidRPr="004D4CC9">
        <w:rPr>
          <w:rFonts w:cstheme="minorHAnsi"/>
          <w:i/>
          <w:iCs/>
        </w:rPr>
        <w:t>P</w:t>
      </w:r>
      <w:r w:rsidRPr="004D4CC9">
        <w:rPr>
          <w:rFonts w:cstheme="minorHAnsi"/>
          <w:sz w:val="18"/>
          <w:szCs w:val="18"/>
          <w:vertAlign w:val="subscript"/>
        </w:rPr>
        <w:t>1,11</w:t>
      </w:r>
      <w:r w:rsidRPr="004D4CC9">
        <w:rPr>
          <w:rFonts w:cstheme="minorHAnsi"/>
        </w:rPr>
        <w:t> = 0.0001).</w:t>
      </w:r>
    </w:p>
    <w:p w14:paraId="6B688034" w14:textId="77777777" w:rsidR="00B30EF0" w:rsidRPr="004D4CC9" w:rsidRDefault="00B30EF0" w:rsidP="00ED48B7">
      <w:pPr>
        <w:rPr>
          <w:rFonts w:cstheme="minorHAnsi"/>
        </w:rPr>
      </w:pPr>
      <w:r w:rsidRPr="004D4CC9">
        <w:rPr>
          <w:rFonts w:cstheme="minorHAnsi"/>
        </w:rPr>
        <w:t>Foliar N concentrations were higher in seedlings near trees than distant from trees in year 1 for both pin oak seedlings (</w:t>
      </w:r>
      <w:hyperlink r:id="rId114" w:anchor="f3" w:history="1">
        <w:r w:rsidRPr="004D4CC9">
          <w:rPr>
            <w:rStyle w:val="Hyperlink"/>
            <w:rFonts w:eastAsiaTheme="majorEastAsia" w:cstheme="minorHAnsi"/>
            <w:b/>
            <w:bCs/>
            <w:color w:val="005274"/>
          </w:rPr>
          <w:t>Fig. 3e</w:t>
        </w:r>
      </w:hyperlink>
      <w:r w:rsidRPr="004D4CC9">
        <w:rPr>
          <w:rFonts w:cstheme="minorHAnsi"/>
        </w:rPr>
        <w:t>; </w:t>
      </w:r>
      <w:r w:rsidRPr="004D4CC9">
        <w:rPr>
          <w:rFonts w:cstheme="minorHAnsi"/>
          <w:i/>
          <w:iCs/>
        </w:rPr>
        <w:t>F</w:t>
      </w:r>
      <w:r w:rsidRPr="004D4CC9">
        <w:rPr>
          <w:rFonts w:cstheme="minorHAnsi"/>
        </w:rPr>
        <w:t> = 14.25, </w:t>
      </w:r>
      <w:r w:rsidRPr="004D4CC9">
        <w:rPr>
          <w:rFonts w:cstheme="minorHAnsi"/>
          <w:i/>
          <w:iCs/>
        </w:rPr>
        <w:t>P</w:t>
      </w:r>
      <w:r w:rsidRPr="004D4CC9">
        <w:rPr>
          <w:rFonts w:cstheme="minorHAnsi"/>
          <w:sz w:val="18"/>
          <w:szCs w:val="18"/>
          <w:vertAlign w:val="subscript"/>
        </w:rPr>
        <w:t>1,10</w:t>
      </w:r>
      <w:r w:rsidRPr="004D4CC9">
        <w:rPr>
          <w:rFonts w:cstheme="minorHAnsi"/>
        </w:rPr>
        <w:t> = 0.0036) and bur oak seedlings (</w:t>
      </w:r>
      <w:hyperlink r:id="rId115" w:anchor="f3" w:history="1">
        <w:r w:rsidRPr="004D4CC9">
          <w:rPr>
            <w:rStyle w:val="Hyperlink"/>
            <w:rFonts w:eastAsiaTheme="majorEastAsia" w:cstheme="minorHAnsi"/>
            <w:b/>
            <w:bCs/>
            <w:color w:val="005274"/>
          </w:rPr>
          <w:t>Fig. 3f</w:t>
        </w:r>
      </w:hyperlink>
      <w:r w:rsidRPr="004D4CC9">
        <w:rPr>
          <w:rFonts w:cstheme="minorHAnsi"/>
        </w:rPr>
        <w:t>; </w:t>
      </w:r>
      <w:r w:rsidRPr="004D4CC9">
        <w:rPr>
          <w:rFonts w:cstheme="minorHAnsi"/>
          <w:i/>
          <w:iCs/>
        </w:rPr>
        <w:t>F</w:t>
      </w:r>
      <w:r w:rsidRPr="004D4CC9">
        <w:rPr>
          <w:rFonts w:cstheme="minorHAnsi"/>
        </w:rPr>
        <w:t> = 18.52, </w:t>
      </w:r>
      <w:r w:rsidRPr="004D4CC9">
        <w:rPr>
          <w:rFonts w:cstheme="minorHAnsi"/>
          <w:i/>
          <w:iCs/>
        </w:rPr>
        <w:t>P</w:t>
      </w:r>
      <w:r w:rsidRPr="004D4CC9">
        <w:rPr>
          <w:rFonts w:cstheme="minorHAnsi"/>
          <w:sz w:val="18"/>
          <w:szCs w:val="18"/>
          <w:vertAlign w:val="subscript"/>
        </w:rPr>
        <w:t>1,10</w:t>
      </w:r>
      <w:r w:rsidRPr="004D4CC9">
        <w:rPr>
          <w:rFonts w:cstheme="minorHAnsi"/>
        </w:rPr>
        <w:t> = 0.0016). At year 3 the pattern had reversed for pin oaks (</w:t>
      </w:r>
      <w:hyperlink r:id="rId116" w:anchor="f3" w:history="1">
        <w:r w:rsidRPr="004D4CC9">
          <w:rPr>
            <w:rStyle w:val="Hyperlink"/>
            <w:rFonts w:eastAsiaTheme="majorEastAsia" w:cstheme="minorHAnsi"/>
            <w:b/>
            <w:bCs/>
            <w:color w:val="005274"/>
          </w:rPr>
          <w:t>Fig. 3g</w:t>
        </w:r>
      </w:hyperlink>
      <w:r w:rsidRPr="004D4CC9">
        <w:rPr>
          <w:rFonts w:cstheme="minorHAnsi"/>
        </w:rPr>
        <w:t>, </w:t>
      </w:r>
      <w:r w:rsidRPr="004D4CC9">
        <w:rPr>
          <w:rFonts w:cstheme="minorHAnsi"/>
          <w:i/>
          <w:iCs/>
        </w:rPr>
        <w:t>F</w:t>
      </w:r>
      <w:r w:rsidRPr="004D4CC9">
        <w:rPr>
          <w:rFonts w:cstheme="minorHAnsi"/>
        </w:rPr>
        <w:t> = 7.86; </w:t>
      </w:r>
      <w:r w:rsidRPr="004D4CC9">
        <w:rPr>
          <w:rFonts w:cstheme="minorHAnsi"/>
          <w:i/>
          <w:iCs/>
        </w:rPr>
        <w:t>P</w:t>
      </w:r>
      <w:r w:rsidRPr="004D4CC9">
        <w:rPr>
          <w:rFonts w:cstheme="minorHAnsi"/>
          <w:sz w:val="18"/>
          <w:szCs w:val="18"/>
          <w:vertAlign w:val="subscript"/>
        </w:rPr>
        <w:t>1,9</w:t>
      </w:r>
      <w:r w:rsidRPr="004D4CC9">
        <w:rPr>
          <w:rFonts w:cstheme="minorHAnsi"/>
        </w:rPr>
        <w:t> = 0.021), while foliar N of bur oak at year 3 was not significantly affected by distance.</w:t>
      </w:r>
    </w:p>
    <w:p w14:paraId="230B452D" w14:textId="77777777" w:rsidR="00B30EF0" w:rsidRPr="004D4CC9" w:rsidRDefault="00B30EF0" w:rsidP="00ED48B7">
      <w:pPr>
        <w:rPr>
          <w:rFonts w:cstheme="minorHAnsi"/>
        </w:rPr>
      </w:pPr>
      <w:r w:rsidRPr="004D4CC9">
        <w:rPr>
          <w:rFonts w:cstheme="minorHAnsi"/>
        </w:rPr>
        <w:t>Survival was higher near trees than distant from trees for pin oaks in both sites (</w:t>
      </w:r>
      <w:hyperlink r:id="rId117" w:anchor="f3" w:history="1">
        <w:r w:rsidRPr="004D4CC9">
          <w:rPr>
            <w:rStyle w:val="Hyperlink"/>
            <w:rFonts w:eastAsiaTheme="majorEastAsia" w:cstheme="minorHAnsi"/>
            <w:b/>
            <w:bCs/>
            <w:color w:val="005274"/>
          </w:rPr>
          <w:t>Fig. 3h</w:t>
        </w:r>
      </w:hyperlink>
      <w:r w:rsidRPr="004D4CC9">
        <w:rPr>
          <w:rFonts w:cstheme="minorHAnsi"/>
        </w:rPr>
        <w:t>; </w:t>
      </w:r>
      <w:r w:rsidRPr="004D4CC9">
        <w:rPr>
          <w:rFonts w:cstheme="minorHAnsi"/>
          <w:i/>
          <w:iCs/>
        </w:rPr>
        <w:t>F</w:t>
      </w:r>
      <w:r w:rsidRPr="004D4CC9">
        <w:rPr>
          <w:rFonts w:cstheme="minorHAnsi"/>
        </w:rPr>
        <w:t> = 11.49, </w:t>
      </w:r>
      <w:r w:rsidRPr="004D4CC9">
        <w:rPr>
          <w:rFonts w:cstheme="minorHAnsi"/>
          <w:i/>
          <w:iCs/>
        </w:rPr>
        <w:t>P</w:t>
      </w:r>
      <w:r w:rsidRPr="004D4CC9">
        <w:rPr>
          <w:rFonts w:cstheme="minorHAnsi"/>
          <w:sz w:val="18"/>
          <w:szCs w:val="18"/>
          <w:vertAlign w:val="subscript"/>
        </w:rPr>
        <w:t>1,11</w:t>
      </w:r>
      <w:r w:rsidRPr="004D4CC9">
        <w:rPr>
          <w:rFonts w:cstheme="minorHAnsi"/>
        </w:rPr>
        <w:t> = 0.0060) and for bur oaks only in old‐fields (</w:t>
      </w:r>
      <w:hyperlink r:id="rId118" w:anchor="f3" w:history="1">
        <w:r w:rsidRPr="004D4CC9">
          <w:rPr>
            <w:rStyle w:val="Hyperlink"/>
            <w:rFonts w:eastAsiaTheme="majorEastAsia" w:cstheme="minorHAnsi"/>
            <w:b/>
            <w:bCs/>
            <w:color w:val="005274"/>
          </w:rPr>
          <w:t>Fig. 3i</w:t>
        </w:r>
      </w:hyperlink>
      <w:r w:rsidRPr="004D4CC9">
        <w:rPr>
          <w:rFonts w:cstheme="minorHAnsi"/>
        </w:rPr>
        <w:t>; Site × Distance interaction, </w:t>
      </w:r>
      <w:r w:rsidRPr="004D4CC9">
        <w:rPr>
          <w:rFonts w:cstheme="minorHAnsi"/>
          <w:i/>
          <w:iCs/>
        </w:rPr>
        <w:t>F</w:t>
      </w:r>
      <w:r w:rsidRPr="004D4CC9">
        <w:rPr>
          <w:rFonts w:cstheme="minorHAnsi"/>
        </w:rPr>
        <w:t> = 5.02; </w:t>
      </w:r>
      <w:r w:rsidRPr="004D4CC9">
        <w:rPr>
          <w:rFonts w:cstheme="minorHAnsi"/>
          <w:i/>
          <w:iCs/>
        </w:rPr>
        <w:t>P</w:t>
      </w:r>
      <w:r w:rsidRPr="004D4CC9">
        <w:rPr>
          <w:rFonts w:cstheme="minorHAnsi"/>
          <w:sz w:val="18"/>
          <w:szCs w:val="18"/>
          <w:vertAlign w:val="subscript"/>
        </w:rPr>
        <w:t>1,10</w:t>
      </w:r>
      <w:r w:rsidRPr="004D4CC9">
        <w:rPr>
          <w:rFonts w:cstheme="minorHAnsi"/>
        </w:rPr>
        <w:t> = 0.049). There was no effect of distance from trees on growth of either oak species at year 1. Bur oak height at year 3 was lower in near‐trees in unclipped plots, but showed no response to distance in clipped plots (</w:t>
      </w:r>
      <w:hyperlink r:id="rId119" w:anchor="f3" w:history="1">
        <w:r w:rsidRPr="004D4CC9">
          <w:rPr>
            <w:rStyle w:val="Hyperlink"/>
            <w:rFonts w:eastAsiaTheme="majorEastAsia" w:cstheme="minorHAnsi"/>
            <w:b/>
            <w:bCs/>
            <w:color w:val="005274"/>
          </w:rPr>
          <w:t>Fig. 3k</w:t>
        </w:r>
      </w:hyperlink>
      <w:r w:rsidRPr="004D4CC9">
        <w:rPr>
          <w:rFonts w:cstheme="minorHAnsi"/>
        </w:rPr>
        <w:t>; </w:t>
      </w:r>
      <w:r w:rsidRPr="004D4CC9">
        <w:rPr>
          <w:rFonts w:cstheme="minorHAnsi"/>
          <w:i/>
          <w:iCs/>
        </w:rPr>
        <w:t>F</w:t>
      </w:r>
      <w:r w:rsidRPr="004D4CC9">
        <w:rPr>
          <w:rFonts w:cstheme="minorHAnsi"/>
        </w:rPr>
        <w:t> = 4.31, </w:t>
      </w:r>
      <w:r w:rsidRPr="004D4CC9">
        <w:rPr>
          <w:rFonts w:cstheme="minorHAnsi"/>
          <w:i/>
          <w:iCs/>
        </w:rPr>
        <w:t>P</w:t>
      </w:r>
      <w:r w:rsidRPr="004D4CC9">
        <w:rPr>
          <w:rFonts w:cstheme="minorHAnsi"/>
          <w:sz w:val="18"/>
          <w:szCs w:val="18"/>
          <w:vertAlign w:val="subscript"/>
        </w:rPr>
        <w:t>1,51</w:t>
      </w:r>
      <w:r w:rsidRPr="004D4CC9">
        <w:rPr>
          <w:rFonts w:cstheme="minorHAnsi"/>
        </w:rPr>
        <w:t> = 0.043). Distance from trees influenced how heights of pin oaks at year 3 responded to resource addition and site, but had no clear direct effect (</w:t>
      </w:r>
      <w:hyperlink r:id="rId120" w:anchor="f3" w:history="1">
        <w:r w:rsidRPr="004D4CC9">
          <w:rPr>
            <w:rStyle w:val="Hyperlink"/>
            <w:rFonts w:eastAsiaTheme="majorEastAsia" w:cstheme="minorHAnsi"/>
            <w:b/>
            <w:bCs/>
            <w:color w:val="005274"/>
          </w:rPr>
          <w:t>Fig. 3j</w:t>
        </w:r>
      </w:hyperlink>
      <w:r w:rsidRPr="004D4CC9">
        <w:rPr>
          <w:rFonts w:cstheme="minorHAnsi"/>
        </w:rPr>
        <w:t>; significant three‐way interaction, </w:t>
      </w:r>
      <w:r w:rsidRPr="004D4CC9">
        <w:rPr>
          <w:rFonts w:cstheme="minorHAnsi"/>
          <w:i/>
          <w:iCs/>
        </w:rPr>
        <w:t>F</w:t>
      </w:r>
      <w:r w:rsidRPr="004D4CC9">
        <w:rPr>
          <w:rFonts w:cstheme="minorHAnsi"/>
        </w:rPr>
        <w:t> = 4.88, </w:t>
      </w:r>
      <w:r w:rsidRPr="004D4CC9">
        <w:rPr>
          <w:rFonts w:cstheme="minorHAnsi"/>
          <w:i/>
          <w:iCs/>
        </w:rPr>
        <w:t>P</w:t>
      </w:r>
      <w:r w:rsidRPr="004D4CC9">
        <w:rPr>
          <w:rFonts w:cstheme="minorHAnsi"/>
          <w:sz w:val="18"/>
          <w:szCs w:val="18"/>
          <w:vertAlign w:val="subscript"/>
        </w:rPr>
        <w:t>3,31</w:t>
      </w:r>
      <w:r w:rsidRPr="004D4CC9">
        <w:rPr>
          <w:rFonts w:cstheme="minorHAnsi"/>
        </w:rPr>
        <w:t> = 0.0068). In control plots there was no effect of distance on pin oak seedling heights; watering increased height growth in near‐tree plots in old‐fields, and in distant plots in savannas; while N additions increased heights of pin oaks at year 3 in distant plots in old‐fields and to a lesser degree in near‐tree plots in savannas, but had a small negative effect on heights in distant plots in savannas.</w:t>
      </w:r>
    </w:p>
    <w:p w14:paraId="0269939D"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clipping of herbaceous competition</w:t>
      </w:r>
    </w:p>
    <w:p w14:paraId="27508D5B" w14:textId="77777777" w:rsidR="00B30EF0" w:rsidRPr="004D4CC9" w:rsidRDefault="00B30EF0" w:rsidP="00ED48B7">
      <w:pPr>
        <w:rPr>
          <w:rFonts w:cstheme="minorHAnsi"/>
        </w:rPr>
      </w:pPr>
      <w:r w:rsidRPr="004D4CC9">
        <w:rPr>
          <w:rFonts w:cstheme="minorHAnsi"/>
        </w:rPr>
        <w:t>Germination of pin oaks was greater in unclipped plots with water and unclipped plots with nitrogen additions than in clipped plots or unclipped control plots (</w:t>
      </w:r>
      <w:hyperlink r:id="rId121" w:anchor="f4" w:history="1">
        <w:r w:rsidRPr="004D4CC9">
          <w:rPr>
            <w:rStyle w:val="Hyperlink"/>
            <w:rFonts w:eastAsiaTheme="majorEastAsia" w:cstheme="minorHAnsi"/>
            <w:b/>
            <w:bCs/>
            <w:color w:val="005274"/>
          </w:rPr>
          <w:t>Fig. 4a</w:t>
        </w:r>
      </w:hyperlink>
      <w:r w:rsidRPr="004D4CC9">
        <w:rPr>
          <w:rFonts w:cstheme="minorHAnsi"/>
        </w:rPr>
        <w:t>; </w:t>
      </w:r>
      <w:r w:rsidRPr="004D4CC9">
        <w:rPr>
          <w:rFonts w:cstheme="minorHAnsi"/>
          <w:i/>
          <w:iCs/>
        </w:rPr>
        <w:t>F</w:t>
      </w:r>
      <w:r w:rsidRPr="004D4CC9">
        <w:rPr>
          <w:rFonts w:cstheme="minorHAnsi"/>
        </w:rPr>
        <w:t> = 5.6; </w:t>
      </w:r>
      <w:r w:rsidRPr="004D4CC9">
        <w:rPr>
          <w:rFonts w:cstheme="minorHAnsi"/>
          <w:i/>
          <w:iCs/>
        </w:rPr>
        <w:t>P</w:t>
      </w:r>
      <w:r w:rsidRPr="004D4CC9">
        <w:rPr>
          <w:rFonts w:cstheme="minorHAnsi"/>
          <w:sz w:val="18"/>
          <w:szCs w:val="18"/>
          <w:vertAlign w:val="subscript"/>
        </w:rPr>
        <w:t>2,69</w:t>
      </w:r>
      <w:r w:rsidRPr="004D4CC9">
        <w:rPr>
          <w:rFonts w:cstheme="minorHAnsi"/>
        </w:rPr>
        <w:t> = 0.0045). Germination of bur oaks was also marginally higher in unclipped than clipped plots, but this relationship was not significant (</w:t>
      </w:r>
      <w:r w:rsidRPr="004D4CC9">
        <w:rPr>
          <w:rFonts w:cstheme="minorHAnsi"/>
          <w:i/>
          <w:iCs/>
        </w:rPr>
        <w:t>P =</w:t>
      </w:r>
      <w:r w:rsidRPr="004D4CC9">
        <w:rPr>
          <w:rFonts w:cstheme="minorHAnsi"/>
        </w:rPr>
        <w:t> 0.058; data not shown).</w:t>
      </w:r>
    </w:p>
    <w:p w14:paraId="584BB30D" w14:textId="77777777" w:rsidR="00B30EF0" w:rsidRPr="004D4CC9" w:rsidRDefault="00B30EF0" w:rsidP="00ED48B7">
      <w:pPr>
        <w:rPr>
          <w:rFonts w:cstheme="minorHAnsi"/>
        </w:rPr>
      </w:pPr>
      <w:r w:rsidRPr="004D4CC9">
        <w:rPr>
          <w:rFonts w:cstheme="minorHAnsi"/>
        </w:rPr>
        <w:t>Survival of pin oaks was significantly higher in clipped +W and +N plots than controls, and lower in unclipped +N plots than in unclipped +W or control plots (</w:t>
      </w:r>
      <w:hyperlink r:id="rId122" w:anchor="f4" w:history="1">
        <w:r w:rsidRPr="004D4CC9">
          <w:rPr>
            <w:rStyle w:val="Hyperlink"/>
            <w:rFonts w:eastAsiaTheme="majorEastAsia" w:cstheme="minorHAnsi"/>
            <w:b/>
            <w:bCs/>
            <w:color w:val="005274"/>
          </w:rPr>
          <w:t>Fig. 4b</w:t>
        </w:r>
      </w:hyperlink>
      <w:r w:rsidRPr="004D4CC9">
        <w:rPr>
          <w:rFonts w:cstheme="minorHAnsi"/>
        </w:rPr>
        <w:t>; </w:t>
      </w:r>
      <w:r w:rsidRPr="004D4CC9">
        <w:rPr>
          <w:rFonts w:cstheme="minorHAnsi"/>
          <w:i/>
          <w:iCs/>
        </w:rPr>
        <w:t>F</w:t>
      </w:r>
      <w:r w:rsidRPr="004D4CC9">
        <w:rPr>
          <w:rFonts w:cstheme="minorHAnsi"/>
        </w:rPr>
        <w:t> = 5.46, </w:t>
      </w:r>
      <w:r w:rsidRPr="004D4CC9">
        <w:rPr>
          <w:rFonts w:cstheme="minorHAnsi"/>
          <w:i/>
          <w:iCs/>
        </w:rPr>
        <w:t>P</w:t>
      </w:r>
      <w:r w:rsidRPr="004D4CC9">
        <w:rPr>
          <w:rFonts w:cstheme="minorHAnsi"/>
          <w:sz w:val="18"/>
          <w:szCs w:val="18"/>
          <w:vertAlign w:val="subscript"/>
        </w:rPr>
        <w:t>2,66</w:t>
      </w:r>
      <w:r w:rsidRPr="004D4CC9">
        <w:rPr>
          <w:rFonts w:cstheme="minorHAnsi"/>
        </w:rPr>
        <w:t> = 0.0064). Survival was also higher in clipped savanna than unclipped savanna plots (</w:t>
      </w:r>
      <w:hyperlink r:id="rId123" w:anchor="f4" w:history="1">
        <w:r w:rsidRPr="004D4CC9">
          <w:rPr>
            <w:rStyle w:val="Hyperlink"/>
            <w:rFonts w:eastAsiaTheme="majorEastAsia" w:cstheme="minorHAnsi"/>
            <w:b/>
            <w:bCs/>
            <w:color w:val="005274"/>
          </w:rPr>
          <w:t>Fig. 4c</w:t>
        </w:r>
      </w:hyperlink>
      <w:r w:rsidRPr="004D4CC9">
        <w:rPr>
          <w:rFonts w:cstheme="minorHAnsi"/>
        </w:rPr>
        <w:t>; </w:t>
      </w:r>
      <w:r w:rsidRPr="004D4CC9">
        <w:rPr>
          <w:rFonts w:cstheme="minorHAnsi"/>
          <w:i/>
          <w:iCs/>
        </w:rPr>
        <w:t>F</w:t>
      </w:r>
      <w:r w:rsidRPr="004D4CC9">
        <w:rPr>
          <w:rFonts w:cstheme="minorHAnsi"/>
        </w:rPr>
        <w:t> = 0.019, </w:t>
      </w:r>
      <w:r w:rsidRPr="004D4CC9">
        <w:rPr>
          <w:rFonts w:cstheme="minorHAnsi"/>
          <w:i/>
          <w:iCs/>
        </w:rPr>
        <w:t>P</w:t>
      </w:r>
      <w:r w:rsidRPr="004D4CC9">
        <w:rPr>
          <w:rFonts w:cstheme="minorHAnsi"/>
          <w:sz w:val="18"/>
          <w:szCs w:val="18"/>
          <w:vertAlign w:val="subscript"/>
        </w:rPr>
        <w:t>1,66</w:t>
      </w:r>
      <w:r w:rsidRPr="004D4CC9">
        <w:rPr>
          <w:rFonts w:cstheme="minorHAnsi"/>
        </w:rPr>
        <w:t> = 0.019), but there was no difference in survival in old‐fields.</w:t>
      </w:r>
    </w:p>
    <w:p w14:paraId="6B20E624" w14:textId="77777777" w:rsidR="00B30EF0" w:rsidRPr="004D4CC9" w:rsidRDefault="00B30EF0" w:rsidP="00ED48B7">
      <w:pPr>
        <w:rPr>
          <w:rFonts w:cstheme="minorHAnsi"/>
          <w:color w:val="1C1D1E"/>
        </w:rPr>
      </w:pPr>
      <w:r w:rsidRPr="004D4CC9">
        <w:rPr>
          <w:rFonts w:cstheme="minorHAnsi"/>
          <w:color w:val="1C1D1E"/>
        </w:rPr>
        <w:t>In year 1, clipping reduced heights of both pin (</w:t>
      </w:r>
      <w:hyperlink r:id="rId124" w:anchor="f4" w:history="1">
        <w:r w:rsidRPr="004D4CC9">
          <w:rPr>
            <w:rStyle w:val="Hyperlink"/>
            <w:rFonts w:eastAsiaTheme="majorEastAsia" w:cstheme="minorHAnsi"/>
            <w:b/>
            <w:bCs/>
            <w:color w:val="005274"/>
          </w:rPr>
          <w:t>Fig. 4d</w:t>
        </w:r>
      </w:hyperlink>
      <w:r w:rsidRPr="004D4CC9">
        <w:rPr>
          <w:rFonts w:cstheme="minorHAnsi"/>
          <w:color w:val="1C1D1E"/>
        </w:rPr>
        <w:t>; </w:t>
      </w:r>
      <w:r w:rsidRPr="004D4CC9">
        <w:rPr>
          <w:rFonts w:cstheme="minorHAnsi"/>
          <w:i/>
          <w:iCs/>
          <w:color w:val="1C1D1E"/>
        </w:rPr>
        <w:t>F</w:t>
      </w:r>
      <w:r w:rsidRPr="004D4CC9">
        <w:rPr>
          <w:rFonts w:cstheme="minorHAnsi"/>
          <w:color w:val="1C1D1E"/>
        </w:rPr>
        <w:t> = 19.59, </w:t>
      </w:r>
      <w:r w:rsidRPr="004D4CC9">
        <w:rPr>
          <w:rFonts w:cstheme="minorHAnsi"/>
          <w:i/>
          <w:iCs/>
          <w:color w:val="1C1D1E"/>
        </w:rPr>
        <w:t>P</w:t>
      </w:r>
      <w:r w:rsidRPr="004D4CC9">
        <w:rPr>
          <w:rFonts w:cstheme="minorHAnsi"/>
          <w:color w:val="1C1D1E"/>
          <w:sz w:val="18"/>
          <w:szCs w:val="18"/>
          <w:vertAlign w:val="subscript"/>
        </w:rPr>
        <w:t>1,64</w:t>
      </w:r>
      <w:r w:rsidRPr="004D4CC9">
        <w:rPr>
          <w:rFonts w:cstheme="minorHAnsi"/>
          <w:color w:val="1C1D1E"/>
        </w:rPr>
        <w:t> &lt; 0.0001) and bur (</w:t>
      </w:r>
      <w:hyperlink r:id="rId125" w:anchor="f4" w:history="1">
        <w:r w:rsidRPr="004D4CC9">
          <w:rPr>
            <w:rStyle w:val="Hyperlink"/>
            <w:rFonts w:eastAsiaTheme="majorEastAsia" w:cstheme="minorHAnsi"/>
            <w:b/>
            <w:bCs/>
            <w:color w:val="005274"/>
          </w:rPr>
          <w:t>Fig. 4e</w:t>
        </w:r>
      </w:hyperlink>
      <w:r w:rsidRPr="004D4CC9">
        <w:rPr>
          <w:rFonts w:cstheme="minorHAnsi"/>
          <w:color w:val="1C1D1E"/>
        </w:rPr>
        <w:t>; </w:t>
      </w:r>
      <w:r w:rsidRPr="004D4CC9">
        <w:rPr>
          <w:rFonts w:cstheme="minorHAnsi"/>
          <w:i/>
          <w:iCs/>
          <w:color w:val="1C1D1E"/>
        </w:rPr>
        <w:t>F</w:t>
      </w:r>
      <w:r w:rsidRPr="004D4CC9">
        <w:rPr>
          <w:rFonts w:cstheme="minorHAnsi"/>
          <w:color w:val="1C1D1E"/>
        </w:rPr>
        <w:t> = 12.51; </w:t>
      </w:r>
      <w:r w:rsidRPr="004D4CC9">
        <w:rPr>
          <w:rFonts w:cstheme="minorHAnsi"/>
          <w:i/>
          <w:iCs/>
          <w:color w:val="1C1D1E"/>
        </w:rPr>
        <w:t>P</w:t>
      </w:r>
      <w:r w:rsidRPr="004D4CC9">
        <w:rPr>
          <w:rFonts w:cstheme="minorHAnsi"/>
          <w:color w:val="1C1D1E"/>
          <w:sz w:val="18"/>
          <w:szCs w:val="18"/>
          <w:vertAlign w:val="subscript"/>
        </w:rPr>
        <w:t>1,65</w:t>
      </w:r>
      <w:r w:rsidRPr="004D4CC9">
        <w:rPr>
          <w:rFonts w:cstheme="minorHAnsi"/>
          <w:color w:val="1C1D1E"/>
        </w:rPr>
        <w:t> = 0.0008) oak seedlings. In year 3, clipping reduced heights of pin oak (</w:t>
      </w:r>
      <w:hyperlink r:id="rId126" w:anchor="f4" w:history="1">
        <w:r w:rsidRPr="004D4CC9">
          <w:rPr>
            <w:rStyle w:val="Hyperlink"/>
            <w:rFonts w:eastAsiaTheme="majorEastAsia" w:cstheme="minorHAnsi"/>
            <w:b/>
            <w:bCs/>
            <w:color w:val="005274"/>
          </w:rPr>
          <w:t>Fig. 4f</w:t>
        </w:r>
      </w:hyperlink>
      <w:r w:rsidRPr="004D4CC9">
        <w:rPr>
          <w:rFonts w:cstheme="minorHAnsi"/>
          <w:color w:val="1C1D1E"/>
        </w:rPr>
        <w:t>; </w:t>
      </w:r>
      <w:r w:rsidRPr="004D4CC9">
        <w:rPr>
          <w:rFonts w:cstheme="minorHAnsi"/>
          <w:i/>
          <w:iCs/>
          <w:color w:val="1C1D1E"/>
        </w:rPr>
        <w:t>F</w:t>
      </w:r>
      <w:r w:rsidRPr="004D4CC9">
        <w:rPr>
          <w:rFonts w:cstheme="minorHAnsi"/>
          <w:color w:val="1C1D1E"/>
        </w:rPr>
        <w:t> = 14.45; </w:t>
      </w:r>
      <w:r w:rsidRPr="004D4CC9">
        <w:rPr>
          <w:rFonts w:cstheme="minorHAnsi"/>
          <w:i/>
          <w:iCs/>
          <w:color w:val="1C1D1E"/>
        </w:rPr>
        <w:t>P</w:t>
      </w:r>
      <w:r w:rsidRPr="004D4CC9">
        <w:rPr>
          <w:rFonts w:cstheme="minorHAnsi"/>
          <w:color w:val="1C1D1E"/>
          <w:sz w:val="18"/>
          <w:szCs w:val="18"/>
          <w:vertAlign w:val="subscript"/>
        </w:rPr>
        <w:t>1,50</w:t>
      </w:r>
      <w:r w:rsidRPr="004D4CC9">
        <w:rPr>
          <w:rFonts w:cstheme="minorHAnsi"/>
          <w:color w:val="1C1D1E"/>
        </w:rPr>
        <w:t> = 0.0004), and bur oak in near‐tree plots but not distant plots (</w:t>
      </w:r>
      <w:hyperlink r:id="rId127" w:anchor="f4" w:history="1">
        <w:r w:rsidRPr="004D4CC9">
          <w:rPr>
            <w:rStyle w:val="Hyperlink"/>
            <w:rFonts w:eastAsiaTheme="majorEastAsia" w:cstheme="minorHAnsi"/>
            <w:b/>
            <w:bCs/>
            <w:color w:val="005274"/>
          </w:rPr>
          <w:t>Fig. 4g</w:t>
        </w:r>
      </w:hyperlink>
      <w:r w:rsidRPr="004D4CC9">
        <w:rPr>
          <w:rFonts w:cstheme="minorHAnsi"/>
          <w:color w:val="1C1D1E"/>
        </w:rPr>
        <w:t>; </w:t>
      </w:r>
      <w:r w:rsidRPr="004D4CC9">
        <w:rPr>
          <w:rFonts w:cstheme="minorHAnsi"/>
          <w:i/>
          <w:iCs/>
          <w:color w:val="1C1D1E"/>
        </w:rPr>
        <w:t>F</w:t>
      </w:r>
      <w:r w:rsidRPr="004D4CC9">
        <w:rPr>
          <w:rFonts w:cstheme="minorHAnsi"/>
          <w:color w:val="1C1D1E"/>
        </w:rPr>
        <w:t> = 4.31, </w:t>
      </w:r>
      <w:r w:rsidRPr="004D4CC9">
        <w:rPr>
          <w:rFonts w:cstheme="minorHAnsi"/>
          <w:i/>
          <w:iCs/>
          <w:color w:val="1C1D1E"/>
        </w:rPr>
        <w:t>P</w:t>
      </w:r>
      <w:r w:rsidRPr="004D4CC9">
        <w:rPr>
          <w:rFonts w:cstheme="minorHAnsi"/>
          <w:color w:val="1C1D1E"/>
          <w:sz w:val="18"/>
          <w:szCs w:val="18"/>
          <w:vertAlign w:val="subscript"/>
        </w:rPr>
        <w:t>1,51</w:t>
      </w:r>
      <w:r w:rsidRPr="004D4CC9">
        <w:rPr>
          <w:rFonts w:cstheme="minorHAnsi"/>
          <w:color w:val="1C1D1E"/>
        </w:rPr>
        <w:t> = 0.043). In contrast to the effects of clipping on height, in year 3 clipping increased above‐ground biomass of both pin (</w:t>
      </w:r>
      <w:hyperlink r:id="rId128" w:anchor="f4" w:history="1">
        <w:r w:rsidRPr="004D4CC9">
          <w:rPr>
            <w:rStyle w:val="Hyperlink"/>
            <w:rFonts w:eastAsiaTheme="majorEastAsia" w:cstheme="minorHAnsi"/>
            <w:b/>
            <w:bCs/>
            <w:color w:val="005274"/>
          </w:rPr>
          <w:t>Fig. 4h</w:t>
        </w:r>
      </w:hyperlink>
      <w:r w:rsidRPr="004D4CC9">
        <w:rPr>
          <w:rFonts w:cstheme="minorHAnsi"/>
          <w:color w:val="1C1D1E"/>
        </w:rPr>
        <w:t>; </w:t>
      </w:r>
      <w:r w:rsidRPr="004D4CC9">
        <w:rPr>
          <w:rFonts w:cstheme="minorHAnsi"/>
          <w:i/>
          <w:iCs/>
          <w:color w:val="1C1D1E"/>
        </w:rPr>
        <w:t>F</w:t>
      </w:r>
      <w:r w:rsidRPr="004D4CC9">
        <w:rPr>
          <w:rFonts w:cstheme="minorHAnsi"/>
          <w:color w:val="1C1D1E"/>
        </w:rPr>
        <w:t> = 9.59, </w:t>
      </w:r>
      <w:r w:rsidRPr="004D4CC9">
        <w:rPr>
          <w:rFonts w:cstheme="minorHAnsi"/>
          <w:i/>
          <w:iCs/>
          <w:color w:val="1C1D1E"/>
        </w:rPr>
        <w:t>P</w:t>
      </w:r>
      <w:r w:rsidRPr="004D4CC9">
        <w:rPr>
          <w:rFonts w:cstheme="minorHAnsi"/>
          <w:color w:val="1C1D1E"/>
          <w:sz w:val="18"/>
          <w:szCs w:val="18"/>
          <w:vertAlign w:val="subscript"/>
        </w:rPr>
        <w:t>1,71</w:t>
      </w:r>
      <w:r w:rsidRPr="004D4CC9">
        <w:rPr>
          <w:rFonts w:cstheme="minorHAnsi"/>
          <w:color w:val="1C1D1E"/>
        </w:rPr>
        <w:t> = 0.0028) and bur oak seedlings (</w:t>
      </w:r>
      <w:hyperlink r:id="rId129" w:anchor="f4" w:history="1">
        <w:r w:rsidRPr="004D4CC9">
          <w:rPr>
            <w:rStyle w:val="Hyperlink"/>
            <w:rFonts w:eastAsiaTheme="majorEastAsia" w:cstheme="minorHAnsi"/>
            <w:b/>
            <w:bCs/>
            <w:color w:val="005274"/>
          </w:rPr>
          <w:t>Fig. 4i</w:t>
        </w:r>
      </w:hyperlink>
      <w:r w:rsidRPr="004D4CC9">
        <w:rPr>
          <w:rFonts w:cstheme="minorHAnsi"/>
          <w:color w:val="1C1D1E"/>
        </w:rPr>
        <w:t>; </w:t>
      </w:r>
      <w:r w:rsidRPr="004D4CC9">
        <w:rPr>
          <w:rFonts w:cstheme="minorHAnsi"/>
          <w:i/>
          <w:iCs/>
          <w:color w:val="1C1D1E"/>
        </w:rPr>
        <w:t>F</w:t>
      </w:r>
      <w:r w:rsidRPr="004D4CC9">
        <w:rPr>
          <w:rFonts w:cstheme="minorHAnsi"/>
          <w:color w:val="1C1D1E"/>
        </w:rPr>
        <w:t> = 12.53, </w:t>
      </w:r>
      <w:r w:rsidRPr="004D4CC9">
        <w:rPr>
          <w:rFonts w:cstheme="minorHAnsi"/>
          <w:i/>
          <w:iCs/>
          <w:color w:val="1C1D1E"/>
        </w:rPr>
        <w:t>P</w:t>
      </w:r>
      <w:r w:rsidRPr="004D4CC9">
        <w:rPr>
          <w:rFonts w:cstheme="minorHAnsi"/>
          <w:color w:val="1C1D1E"/>
          <w:sz w:val="18"/>
          <w:szCs w:val="18"/>
          <w:vertAlign w:val="subscript"/>
        </w:rPr>
        <w:t>1,71</w:t>
      </w:r>
      <w:r w:rsidRPr="004D4CC9">
        <w:rPr>
          <w:rFonts w:cstheme="minorHAnsi"/>
          <w:color w:val="1C1D1E"/>
        </w:rPr>
        <w:t> = 0.0007). Thus, seedlings were shorter but had more above‐ground biomass in clipped plots than in unclipped plots; seedlings in unclipped plots were often noticeably etiolated.</w:t>
      </w:r>
    </w:p>
    <w:p w14:paraId="6829ECE9" w14:textId="77777777" w:rsidR="00B30EF0" w:rsidRPr="004D4CC9" w:rsidRDefault="00B30EF0" w:rsidP="00ED48B7">
      <w:pPr>
        <w:rPr>
          <w:rFonts w:cstheme="minorHAnsi"/>
        </w:rPr>
      </w:pPr>
      <w:r w:rsidRPr="004D4CC9">
        <w:rPr>
          <w:rFonts w:cstheme="minorHAnsi"/>
        </w:rPr>
        <w:t>Ectomycorrhizal infection of pin oaks at year 3 was higher in clipped than unclipped plots (49.4 ± 2.9% and 43.6 ± 2.9% of root tips, respectively; </w:t>
      </w:r>
      <w:r w:rsidRPr="004D4CC9">
        <w:rPr>
          <w:rFonts w:cstheme="minorHAnsi"/>
          <w:i/>
          <w:iCs/>
        </w:rPr>
        <w:t>F</w:t>
      </w:r>
      <w:r w:rsidRPr="004D4CC9">
        <w:rPr>
          <w:rFonts w:cstheme="minorHAnsi"/>
        </w:rPr>
        <w:t> = 5.14, </w:t>
      </w:r>
      <w:r w:rsidRPr="004D4CC9">
        <w:rPr>
          <w:rFonts w:cstheme="minorHAnsi"/>
          <w:i/>
          <w:iCs/>
        </w:rPr>
        <w:t>P</w:t>
      </w:r>
      <w:r w:rsidRPr="004D4CC9">
        <w:rPr>
          <w:rFonts w:cstheme="minorHAnsi"/>
          <w:sz w:val="18"/>
          <w:szCs w:val="18"/>
          <w:vertAlign w:val="subscript"/>
        </w:rPr>
        <w:t>1,53</w:t>
      </w:r>
      <w:r w:rsidRPr="004D4CC9">
        <w:rPr>
          <w:rFonts w:cstheme="minorHAnsi"/>
        </w:rPr>
        <w:t> = 0.027), while ectomycorrhizal infection of bur oaks at year 1 was also higher in clipped plots than unclipped plots, except in near‐tree C plots, where the extent of infection was similar in clipped and unclipped plots (</w:t>
      </w:r>
      <w:hyperlink r:id="rId130" w:anchor="f3" w:history="1">
        <w:r w:rsidRPr="004D4CC9">
          <w:rPr>
            <w:rStyle w:val="Hyperlink"/>
            <w:rFonts w:eastAsiaTheme="majorEastAsia" w:cstheme="minorHAnsi"/>
            <w:b/>
            <w:bCs/>
            <w:color w:val="005274"/>
          </w:rPr>
          <w:t>Fig. 3b</w:t>
        </w:r>
      </w:hyperlink>
      <w:r w:rsidRPr="004D4CC9">
        <w:rPr>
          <w:rFonts w:cstheme="minorHAnsi"/>
        </w:rPr>
        <w:t>; </w:t>
      </w:r>
      <w:r w:rsidRPr="004D4CC9">
        <w:rPr>
          <w:rFonts w:cstheme="minorHAnsi"/>
          <w:i/>
          <w:iCs/>
        </w:rPr>
        <w:t>F</w:t>
      </w:r>
      <w:r w:rsidRPr="004D4CC9">
        <w:rPr>
          <w:rFonts w:cstheme="minorHAnsi"/>
        </w:rPr>
        <w:t> = 8.48; </w:t>
      </w:r>
      <w:r w:rsidRPr="004D4CC9">
        <w:rPr>
          <w:rFonts w:cstheme="minorHAnsi"/>
          <w:i/>
          <w:iCs/>
        </w:rPr>
        <w:t>P</w:t>
      </w:r>
      <w:r w:rsidRPr="004D4CC9">
        <w:rPr>
          <w:rFonts w:cstheme="minorHAnsi"/>
          <w:sz w:val="18"/>
          <w:szCs w:val="18"/>
          <w:vertAlign w:val="subscript"/>
        </w:rPr>
        <w:t>1,34</w:t>
      </w:r>
      <w:r w:rsidRPr="004D4CC9">
        <w:rPr>
          <w:rFonts w:cstheme="minorHAnsi"/>
        </w:rPr>
        <w:t> = 0.0063).</w:t>
      </w:r>
    </w:p>
    <w:p w14:paraId="2B728DF9"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resource addition</w:t>
      </w:r>
      <w:r w:rsidRPr="004D4CC9">
        <w:rPr>
          <w:rFonts w:asciiTheme="minorHAnsi" w:hAnsiTheme="minorHAnsi" w:cstheme="minorHAnsi"/>
        </w:rPr>
        <w:t> (</w:t>
      </w:r>
      <w:r w:rsidRPr="004D4CC9">
        <w:rPr>
          <w:rStyle w:val="smallcaps"/>
          <w:rFonts w:asciiTheme="minorHAnsi" w:hAnsiTheme="minorHAnsi" w:cstheme="minorHAnsi"/>
        </w:rPr>
        <w:t>water and nitrogen</w:t>
      </w:r>
      <w:r w:rsidRPr="004D4CC9">
        <w:rPr>
          <w:rFonts w:asciiTheme="minorHAnsi" w:hAnsiTheme="minorHAnsi" w:cstheme="minorHAnsi"/>
        </w:rPr>
        <w:t>)</w:t>
      </w:r>
    </w:p>
    <w:p w14:paraId="64BD4F70" w14:textId="77777777" w:rsidR="00B30EF0" w:rsidRPr="004D4CC9" w:rsidRDefault="00B30EF0" w:rsidP="00ED48B7">
      <w:pPr>
        <w:rPr>
          <w:rFonts w:cstheme="minorHAnsi"/>
        </w:rPr>
      </w:pPr>
      <w:r w:rsidRPr="004D4CC9">
        <w:rPr>
          <w:rFonts w:cstheme="minorHAnsi"/>
        </w:rPr>
        <w:t>The effects of resource addition were largely as part of significant interactions (</w:t>
      </w:r>
      <w:hyperlink r:id="rId131" w:anchor="t2" w:history="1">
        <w:r w:rsidRPr="004D4CC9">
          <w:rPr>
            <w:rStyle w:val="Hyperlink"/>
            <w:rFonts w:eastAsiaTheme="majorEastAsia" w:cstheme="minorHAnsi"/>
            <w:b/>
            <w:bCs/>
            <w:color w:val="005274"/>
          </w:rPr>
          <w:t>Table 2</w:t>
        </w:r>
      </w:hyperlink>
      <w:r w:rsidRPr="004D4CC9">
        <w:rPr>
          <w:rFonts w:cstheme="minorHAnsi"/>
        </w:rPr>
        <w:t>), with the sole exception of heights of bur oaks at year 3, which were higher in +N plots than controls, with +W plots intermediate (</w:t>
      </w:r>
      <w:hyperlink r:id="rId132" w:anchor="f5" w:history="1">
        <w:r w:rsidRPr="004D4CC9">
          <w:rPr>
            <w:rStyle w:val="Hyperlink"/>
            <w:rFonts w:eastAsiaTheme="majorEastAsia" w:cstheme="minorHAnsi"/>
            <w:b/>
            <w:bCs/>
            <w:color w:val="005274"/>
          </w:rPr>
          <w:t>Fig. 5a</w:t>
        </w:r>
      </w:hyperlink>
      <w:r w:rsidRPr="004D4CC9">
        <w:rPr>
          <w:rFonts w:cstheme="minorHAnsi"/>
        </w:rPr>
        <w:t>; </w:t>
      </w:r>
      <w:r w:rsidRPr="004D4CC9">
        <w:rPr>
          <w:rFonts w:cstheme="minorHAnsi"/>
          <w:i/>
          <w:iCs/>
        </w:rPr>
        <w:t>F</w:t>
      </w:r>
      <w:r w:rsidRPr="004D4CC9">
        <w:rPr>
          <w:rFonts w:cstheme="minorHAnsi"/>
        </w:rPr>
        <w:t> = 3.93, </w:t>
      </w:r>
      <w:r w:rsidRPr="004D4CC9">
        <w:rPr>
          <w:rFonts w:cstheme="minorHAnsi"/>
          <w:i/>
          <w:iCs/>
        </w:rPr>
        <w:t>P</w:t>
      </w:r>
      <w:r w:rsidRPr="004D4CC9">
        <w:rPr>
          <w:rFonts w:cstheme="minorHAnsi"/>
          <w:sz w:val="18"/>
          <w:szCs w:val="18"/>
          <w:vertAlign w:val="subscript"/>
        </w:rPr>
        <w:t>2,40</w:t>
      </w:r>
      <w:r w:rsidRPr="004D4CC9">
        <w:rPr>
          <w:rFonts w:cstheme="minorHAnsi"/>
        </w:rPr>
        <w:t> = 0.0276). The +W treatment and to a lesser extent the +N treatment resulted in increased germination of pin oaks in unclipped but not clipped plots (</w:t>
      </w:r>
      <w:hyperlink r:id="rId133" w:anchor="f4" w:history="1">
        <w:r w:rsidRPr="004D4CC9">
          <w:rPr>
            <w:rStyle w:val="Hyperlink"/>
            <w:rFonts w:eastAsiaTheme="majorEastAsia" w:cstheme="minorHAnsi"/>
            <w:b/>
            <w:bCs/>
            <w:color w:val="005274"/>
          </w:rPr>
          <w:t>Fig. 4a</w:t>
        </w:r>
      </w:hyperlink>
      <w:r w:rsidRPr="004D4CC9">
        <w:rPr>
          <w:rFonts w:cstheme="minorHAnsi"/>
        </w:rPr>
        <w:t>; </w:t>
      </w:r>
      <w:r w:rsidRPr="004D4CC9">
        <w:rPr>
          <w:rFonts w:cstheme="minorHAnsi"/>
          <w:i/>
          <w:iCs/>
        </w:rPr>
        <w:t>F</w:t>
      </w:r>
      <w:r w:rsidRPr="004D4CC9">
        <w:rPr>
          <w:rFonts w:cstheme="minorHAnsi"/>
        </w:rPr>
        <w:t> = 5.6; </w:t>
      </w:r>
      <w:r w:rsidRPr="004D4CC9">
        <w:rPr>
          <w:rFonts w:cstheme="minorHAnsi"/>
          <w:i/>
          <w:iCs/>
        </w:rPr>
        <w:t>P</w:t>
      </w:r>
      <w:r w:rsidRPr="004D4CC9">
        <w:rPr>
          <w:rFonts w:cstheme="minorHAnsi"/>
          <w:sz w:val="18"/>
          <w:szCs w:val="18"/>
          <w:vertAlign w:val="subscript"/>
        </w:rPr>
        <w:t>2,69</w:t>
      </w:r>
      <w:r w:rsidRPr="004D4CC9">
        <w:rPr>
          <w:rFonts w:cstheme="minorHAnsi"/>
        </w:rPr>
        <w:t> = 0.0045). In clipped plots, both +W and +N increased survival of pin oaks, while in unclipped plots survival was higher in control and +W plots than in +N plots (</w:t>
      </w:r>
      <w:hyperlink r:id="rId134" w:anchor="f4" w:history="1">
        <w:r w:rsidRPr="004D4CC9">
          <w:rPr>
            <w:rStyle w:val="Hyperlink"/>
            <w:rFonts w:eastAsiaTheme="majorEastAsia" w:cstheme="minorHAnsi"/>
            <w:b/>
            <w:bCs/>
            <w:color w:val="005274"/>
          </w:rPr>
          <w:t>Fig. 4b</w:t>
        </w:r>
      </w:hyperlink>
      <w:r w:rsidRPr="004D4CC9">
        <w:rPr>
          <w:rFonts w:cstheme="minorHAnsi"/>
        </w:rPr>
        <w:t>; </w:t>
      </w:r>
      <w:r w:rsidRPr="004D4CC9">
        <w:rPr>
          <w:rFonts w:cstheme="minorHAnsi"/>
          <w:i/>
          <w:iCs/>
        </w:rPr>
        <w:t>F</w:t>
      </w:r>
      <w:r w:rsidRPr="004D4CC9">
        <w:rPr>
          <w:rFonts w:cstheme="minorHAnsi"/>
        </w:rPr>
        <w:t> = 5.46, </w:t>
      </w:r>
      <w:r w:rsidRPr="004D4CC9">
        <w:rPr>
          <w:rFonts w:cstheme="minorHAnsi"/>
          <w:i/>
          <w:iCs/>
        </w:rPr>
        <w:t>P</w:t>
      </w:r>
      <w:r w:rsidRPr="004D4CC9">
        <w:rPr>
          <w:rFonts w:cstheme="minorHAnsi"/>
          <w:sz w:val="18"/>
          <w:szCs w:val="18"/>
          <w:vertAlign w:val="subscript"/>
        </w:rPr>
        <w:t>2,66</w:t>
      </w:r>
      <w:r w:rsidRPr="004D4CC9">
        <w:rPr>
          <w:rFonts w:cstheme="minorHAnsi"/>
        </w:rPr>
        <w:t> = 0.0064).</w:t>
      </w:r>
    </w:p>
    <w:p w14:paraId="4D9D6E8D" w14:textId="77777777" w:rsidR="00B30EF0" w:rsidRPr="004D4CC9" w:rsidRDefault="00B30EF0" w:rsidP="00ED48B7">
      <w:pPr>
        <w:rPr>
          <w:rFonts w:cstheme="minorHAnsi"/>
        </w:rPr>
      </w:pPr>
      <w:r w:rsidRPr="004D4CC9">
        <w:rPr>
          <w:rFonts w:cstheme="minorHAnsi"/>
        </w:rPr>
        <w:t>Nitrogen addition strongly reduced above‐ground biomass of pin oaks at year 1 in old‐fields, with a smaller negative effect in savannas, while water addition caused a small increase in above‐ground biomass of pin oak at year 1 in old‐fields and a small decrease in above‐ground biomass of pin oak at year 1 in savannas (</w:t>
      </w:r>
      <w:hyperlink r:id="rId135" w:anchor="f5" w:history="1">
        <w:r w:rsidRPr="004D4CC9">
          <w:rPr>
            <w:rStyle w:val="Hyperlink"/>
            <w:rFonts w:eastAsiaTheme="majorEastAsia" w:cstheme="minorHAnsi"/>
            <w:b/>
            <w:bCs/>
            <w:color w:val="005274"/>
          </w:rPr>
          <w:t>Fig. 5b</w:t>
        </w:r>
      </w:hyperlink>
      <w:r w:rsidRPr="004D4CC9">
        <w:rPr>
          <w:rFonts w:cstheme="minorHAnsi"/>
        </w:rPr>
        <w:t>; </w:t>
      </w:r>
      <w:r w:rsidRPr="004D4CC9">
        <w:rPr>
          <w:rFonts w:cstheme="minorHAnsi"/>
          <w:i/>
          <w:iCs/>
        </w:rPr>
        <w:t>F</w:t>
      </w:r>
      <w:r w:rsidRPr="004D4CC9">
        <w:rPr>
          <w:rFonts w:cstheme="minorHAnsi"/>
        </w:rPr>
        <w:t> = 4.14, </w:t>
      </w:r>
      <w:r w:rsidRPr="004D4CC9">
        <w:rPr>
          <w:rFonts w:cstheme="minorHAnsi"/>
          <w:i/>
          <w:iCs/>
        </w:rPr>
        <w:t>P</w:t>
      </w:r>
      <w:r w:rsidRPr="004D4CC9">
        <w:rPr>
          <w:rFonts w:cstheme="minorHAnsi"/>
          <w:sz w:val="18"/>
          <w:szCs w:val="18"/>
          <w:vertAlign w:val="subscript"/>
        </w:rPr>
        <w:t>2,44</w:t>
      </w:r>
      <w:r w:rsidRPr="004D4CC9">
        <w:rPr>
          <w:rFonts w:cstheme="minorHAnsi"/>
        </w:rPr>
        <w:t> = 0.023). Heights of pin oaks at year 3 showed a significant three‐way interaction of site, distance and resource addition (</w:t>
      </w:r>
      <w:hyperlink r:id="rId136" w:anchor="f3" w:history="1">
        <w:r w:rsidRPr="004D4CC9">
          <w:rPr>
            <w:rStyle w:val="Hyperlink"/>
            <w:rFonts w:eastAsiaTheme="majorEastAsia" w:cstheme="minorHAnsi"/>
            <w:b/>
            <w:bCs/>
            <w:color w:val="005274"/>
          </w:rPr>
          <w:t>Fig. 3j</w:t>
        </w:r>
      </w:hyperlink>
      <w:r w:rsidRPr="004D4CC9">
        <w:rPr>
          <w:rFonts w:cstheme="minorHAnsi"/>
        </w:rPr>
        <w:t>; </w:t>
      </w:r>
      <w:r w:rsidRPr="004D4CC9">
        <w:rPr>
          <w:rFonts w:cstheme="minorHAnsi"/>
          <w:i/>
          <w:iCs/>
        </w:rPr>
        <w:t>F</w:t>
      </w:r>
      <w:r w:rsidRPr="004D4CC9">
        <w:rPr>
          <w:rFonts w:cstheme="minorHAnsi"/>
        </w:rPr>
        <w:t> = 4.88, </w:t>
      </w:r>
      <w:r w:rsidRPr="004D4CC9">
        <w:rPr>
          <w:rFonts w:cstheme="minorHAnsi"/>
          <w:i/>
          <w:iCs/>
        </w:rPr>
        <w:t>P</w:t>
      </w:r>
      <w:r w:rsidRPr="004D4CC9">
        <w:rPr>
          <w:rFonts w:cstheme="minorHAnsi"/>
          <w:sz w:val="18"/>
          <w:szCs w:val="18"/>
          <w:vertAlign w:val="subscript"/>
        </w:rPr>
        <w:t>3,31</w:t>
      </w:r>
      <w:r w:rsidRPr="004D4CC9">
        <w:rPr>
          <w:rFonts w:cstheme="minorHAnsi"/>
        </w:rPr>
        <w:t> = 0.0068); watering increased heights at year 3 in near‐tree plots in old‐fields, and in distant‐from‐tree plots in savannas, while N additions increased heights of pin oaks at year 3 distant‐from‐tree plots in old‐fields and to a lesser degree in near‐tree plots in savannas, but had a small negative effect on height, distant from trees in savannas.</w:t>
      </w:r>
    </w:p>
    <w:p w14:paraId="2BA70286"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site</w:t>
      </w:r>
      <w:r w:rsidRPr="004D4CC9">
        <w:rPr>
          <w:rFonts w:asciiTheme="minorHAnsi" w:hAnsiTheme="minorHAnsi" w:cstheme="minorHAnsi"/>
        </w:rPr>
        <w:t> (</w:t>
      </w:r>
      <w:r w:rsidRPr="004D4CC9">
        <w:rPr>
          <w:rStyle w:val="smallcaps"/>
          <w:rFonts w:asciiTheme="minorHAnsi" w:hAnsiTheme="minorHAnsi" w:cstheme="minorHAnsi"/>
        </w:rPr>
        <w:t>old</w:t>
      </w:r>
      <w:r w:rsidRPr="004D4CC9">
        <w:rPr>
          <w:rFonts w:asciiTheme="minorHAnsi" w:hAnsiTheme="minorHAnsi" w:cstheme="minorHAnsi"/>
        </w:rPr>
        <w:t>‐</w:t>
      </w:r>
      <w:r w:rsidRPr="004D4CC9">
        <w:rPr>
          <w:rStyle w:val="smallcaps"/>
          <w:rFonts w:asciiTheme="minorHAnsi" w:hAnsiTheme="minorHAnsi" w:cstheme="minorHAnsi"/>
        </w:rPr>
        <w:t>fields vs</w:t>
      </w:r>
      <w:r w:rsidRPr="004D4CC9">
        <w:rPr>
          <w:rFonts w:asciiTheme="minorHAnsi" w:hAnsiTheme="minorHAnsi" w:cstheme="minorHAnsi"/>
        </w:rPr>
        <w:t>. </w:t>
      </w:r>
      <w:r w:rsidRPr="004D4CC9">
        <w:rPr>
          <w:rStyle w:val="smallcaps"/>
          <w:rFonts w:asciiTheme="minorHAnsi" w:hAnsiTheme="minorHAnsi" w:cstheme="minorHAnsi"/>
        </w:rPr>
        <w:t>savannas</w:t>
      </w:r>
      <w:r w:rsidRPr="004D4CC9">
        <w:rPr>
          <w:rFonts w:asciiTheme="minorHAnsi" w:hAnsiTheme="minorHAnsi" w:cstheme="minorHAnsi"/>
        </w:rPr>
        <w:t>)</w:t>
      </w:r>
    </w:p>
    <w:p w14:paraId="4118865A" w14:textId="77777777" w:rsidR="00B30EF0" w:rsidRPr="004D4CC9" w:rsidRDefault="00B30EF0" w:rsidP="00ED48B7">
      <w:pPr>
        <w:rPr>
          <w:rFonts w:cstheme="minorHAnsi"/>
        </w:rPr>
      </w:pPr>
      <w:r w:rsidRPr="004D4CC9">
        <w:rPr>
          <w:rFonts w:cstheme="minorHAnsi"/>
        </w:rPr>
        <w:t>The only significant main effect of site was on foliar N concentrations at year 3, which were lower in savannas than in old‐fields for both pin oaks and bur oaks (pin oaks: old‐fields, 2.07 ± 0.11%; savannas, 1.67 ± 0.10%; </w:t>
      </w:r>
      <w:r w:rsidRPr="004D4CC9">
        <w:rPr>
          <w:rFonts w:cstheme="minorHAnsi"/>
          <w:i/>
          <w:iCs/>
        </w:rPr>
        <w:t>F</w:t>
      </w:r>
      <w:r w:rsidRPr="004D4CC9">
        <w:rPr>
          <w:rFonts w:cstheme="minorHAnsi"/>
        </w:rPr>
        <w:t> = 8.03, </w:t>
      </w:r>
      <w:r w:rsidRPr="004D4CC9">
        <w:rPr>
          <w:rFonts w:cstheme="minorHAnsi"/>
          <w:i/>
          <w:iCs/>
        </w:rPr>
        <w:t>P</w:t>
      </w:r>
      <w:r w:rsidRPr="004D4CC9">
        <w:rPr>
          <w:rFonts w:cstheme="minorHAnsi"/>
        </w:rPr>
        <w:t>1,</w:t>
      </w:r>
      <w:r w:rsidRPr="004D4CC9">
        <w:rPr>
          <w:rFonts w:cstheme="minorHAnsi"/>
          <w:sz w:val="18"/>
          <w:szCs w:val="18"/>
          <w:vertAlign w:val="subscript"/>
        </w:rPr>
        <w:t>4</w:t>
      </w:r>
      <w:r w:rsidRPr="004D4CC9">
        <w:rPr>
          <w:rFonts w:cstheme="minorHAnsi"/>
        </w:rPr>
        <w:t> = 0.047; and bur oaks: old‐fields, 2.01 ± 0.11%; savannas, 1.57 ± 0.11%; </w:t>
      </w:r>
      <w:r w:rsidRPr="004D4CC9">
        <w:rPr>
          <w:rFonts w:cstheme="minorHAnsi"/>
          <w:i/>
          <w:iCs/>
        </w:rPr>
        <w:t>F</w:t>
      </w:r>
      <w:r w:rsidRPr="004D4CC9">
        <w:rPr>
          <w:rFonts w:cstheme="minorHAnsi"/>
        </w:rPr>
        <w:t> = 8.07, </w:t>
      </w:r>
      <w:r w:rsidRPr="004D4CC9">
        <w:rPr>
          <w:rFonts w:cstheme="minorHAnsi"/>
          <w:i/>
          <w:iCs/>
        </w:rPr>
        <w:t>P</w:t>
      </w:r>
      <w:r w:rsidRPr="004D4CC9">
        <w:rPr>
          <w:rFonts w:cstheme="minorHAnsi"/>
          <w:sz w:val="18"/>
          <w:szCs w:val="18"/>
          <w:vertAlign w:val="subscript"/>
        </w:rPr>
        <w:t>1,4</w:t>
      </w:r>
      <w:r w:rsidRPr="004D4CC9">
        <w:rPr>
          <w:rFonts w:cstheme="minorHAnsi"/>
        </w:rPr>
        <w:t> = 0.047). There were also significant interactions of site with distance, clipping and resource addition (</w:t>
      </w:r>
      <w:hyperlink r:id="rId137" w:anchor="t2" w:history="1">
        <w:r w:rsidRPr="004D4CC9">
          <w:rPr>
            <w:rStyle w:val="Hyperlink"/>
            <w:rFonts w:eastAsiaTheme="majorEastAsia" w:cstheme="minorHAnsi"/>
            <w:b/>
            <w:bCs/>
            <w:color w:val="005274"/>
          </w:rPr>
          <w:t>Table 2</w:t>
        </w:r>
      </w:hyperlink>
      <w:r w:rsidRPr="004D4CC9">
        <w:rPr>
          <w:rFonts w:cstheme="minorHAnsi"/>
        </w:rPr>
        <w:t>), described above and in </w:t>
      </w:r>
      <w:hyperlink r:id="rId138" w:anchor="f3%20#f4%20#f5" w:history="1">
        <w:r w:rsidRPr="004D4CC9">
          <w:rPr>
            <w:rStyle w:val="Hyperlink"/>
            <w:rFonts w:eastAsiaTheme="majorEastAsia" w:cstheme="minorHAnsi"/>
            <w:b/>
            <w:bCs/>
            <w:color w:val="005274"/>
          </w:rPr>
          <w:t>Figs 3(i,j), 4(c) and 5(b</w:t>
        </w:r>
      </w:hyperlink>
      <w:r w:rsidRPr="004D4CC9">
        <w:rPr>
          <w:rFonts w:cstheme="minorHAnsi"/>
        </w:rPr>
        <w:t>).</w:t>
      </w:r>
    </w:p>
    <w:p w14:paraId="64E702F5"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site variables</w:t>
      </w:r>
    </w:p>
    <w:p w14:paraId="0D697029" w14:textId="77777777" w:rsidR="00B30EF0" w:rsidRPr="004D4CC9" w:rsidRDefault="00B30EF0" w:rsidP="00ED48B7">
      <w:pPr>
        <w:rPr>
          <w:rFonts w:cstheme="minorHAnsi"/>
        </w:rPr>
      </w:pPr>
      <w:r w:rsidRPr="004D4CC9">
        <w:rPr>
          <w:rFonts w:cstheme="minorHAnsi"/>
        </w:rPr>
        <w:t>Maximum soil moisture TDR measurements were slightly higher near trees than distant from trees (21.0 ± 0.8% near trees vs. 20.2 ± 0.8% distant; </w:t>
      </w:r>
      <w:r w:rsidRPr="004D4CC9">
        <w:rPr>
          <w:rFonts w:cstheme="minorHAnsi"/>
          <w:i/>
          <w:iCs/>
        </w:rPr>
        <w:t>F</w:t>
      </w:r>
      <w:r w:rsidRPr="004D4CC9">
        <w:rPr>
          <w:rFonts w:cstheme="minorHAnsi"/>
        </w:rPr>
        <w:t> = 5.25, </w:t>
      </w:r>
      <w:r w:rsidRPr="004D4CC9">
        <w:rPr>
          <w:rFonts w:cstheme="minorHAnsi"/>
          <w:i/>
          <w:iCs/>
        </w:rPr>
        <w:t>P</w:t>
      </w:r>
      <w:r w:rsidRPr="004D4CC9">
        <w:rPr>
          <w:rFonts w:cstheme="minorHAnsi"/>
          <w:sz w:val="18"/>
          <w:szCs w:val="18"/>
          <w:vertAlign w:val="subscript"/>
        </w:rPr>
        <w:t>1, 11</w:t>
      </w:r>
      <w:r w:rsidRPr="004D4CC9">
        <w:rPr>
          <w:rFonts w:cstheme="minorHAnsi"/>
        </w:rPr>
        <w:t> = 0.043). However, mean and minimum soil moisture did not vary between site types or distances, and there were no obvious differences in drying and wetting trends. There were no significant differences between sites or distances in ion‐exchange‐resin‐available NO</w:t>
      </w:r>
      <w:r w:rsidRPr="004D4CC9">
        <w:rPr>
          <w:rFonts w:cstheme="minorHAnsi"/>
          <w:sz w:val="18"/>
          <w:szCs w:val="18"/>
          <w:vertAlign w:val="subscript"/>
        </w:rPr>
        <w:t>3</w:t>
      </w:r>
      <w:r w:rsidRPr="004D4CC9">
        <w:rPr>
          <w:rFonts w:cstheme="minorHAnsi"/>
        </w:rPr>
        <w:t>‐N, NH</w:t>
      </w:r>
      <w:r w:rsidRPr="004D4CC9">
        <w:rPr>
          <w:rFonts w:cstheme="minorHAnsi"/>
          <w:sz w:val="18"/>
          <w:szCs w:val="18"/>
          <w:vertAlign w:val="subscript"/>
        </w:rPr>
        <w:t>4</w:t>
      </w:r>
      <w:r w:rsidRPr="004D4CC9">
        <w:rPr>
          <w:rFonts w:cstheme="minorHAnsi"/>
        </w:rPr>
        <w:t>‐N and PO</w:t>
      </w:r>
      <w:r w:rsidRPr="004D4CC9">
        <w:rPr>
          <w:rFonts w:cstheme="minorHAnsi"/>
          <w:sz w:val="18"/>
          <w:szCs w:val="18"/>
          <w:vertAlign w:val="subscript"/>
        </w:rPr>
        <w:t>4</w:t>
      </w:r>
      <w:r w:rsidRPr="004D4CC9">
        <w:rPr>
          <w:rFonts w:cstheme="minorHAnsi"/>
        </w:rPr>
        <w:t>‐P measurements.</w:t>
      </w:r>
    </w:p>
    <w:p w14:paraId="210091BD" w14:textId="77777777" w:rsidR="00B30EF0" w:rsidRPr="004D4CC9" w:rsidRDefault="00B30EF0" w:rsidP="00ED48B7">
      <w:pPr>
        <w:rPr>
          <w:rFonts w:cstheme="minorHAnsi"/>
        </w:rPr>
      </w:pPr>
      <w:r w:rsidRPr="004D4CC9">
        <w:rPr>
          <w:rFonts w:cstheme="minorHAnsi"/>
        </w:rPr>
        <w:t>Herbaceous vegetation was influenced by site habitat type, and in savannas, by watering. Principal component axes one and two explained 50.0% and 30.0% of the variance, respectively. There were no significant effects of site or resource addition on PCA axis 1, but there was a significant site effect and interaction of site with resource‐addition on axis 2 (</w:t>
      </w:r>
      <w:r w:rsidRPr="004D4CC9">
        <w:rPr>
          <w:rFonts w:cstheme="minorHAnsi"/>
          <w:i/>
          <w:iCs/>
        </w:rPr>
        <w:t>F =</w:t>
      </w:r>
      <w:r w:rsidRPr="004D4CC9">
        <w:rPr>
          <w:rFonts w:cstheme="minorHAnsi"/>
        </w:rPr>
        <w:t> 47.86, </w:t>
      </w:r>
      <w:r w:rsidRPr="004D4CC9">
        <w:rPr>
          <w:rFonts w:cstheme="minorHAnsi"/>
          <w:i/>
          <w:iCs/>
        </w:rPr>
        <w:t>P</w:t>
      </w:r>
      <w:r w:rsidRPr="004D4CC9">
        <w:rPr>
          <w:rFonts w:cstheme="minorHAnsi"/>
          <w:sz w:val="18"/>
          <w:szCs w:val="18"/>
          <w:vertAlign w:val="subscript"/>
        </w:rPr>
        <w:t>1,4</w:t>
      </w:r>
      <w:r w:rsidRPr="004D4CC9">
        <w:rPr>
          <w:rFonts w:cstheme="minorHAnsi"/>
        </w:rPr>
        <w:t> = 0.0023 and </w:t>
      </w:r>
      <w:r w:rsidRPr="004D4CC9">
        <w:rPr>
          <w:rFonts w:cstheme="minorHAnsi"/>
          <w:i/>
          <w:iCs/>
        </w:rPr>
        <w:t>F</w:t>
      </w:r>
      <w:r w:rsidRPr="004D4CC9">
        <w:rPr>
          <w:rFonts w:cstheme="minorHAnsi"/>
        </w:rPr>
        <w:t> = 3.4, </w:t>
      </w:r>
      <w:r w:rsidRPr="004D4CC9">
        <w:rPr>
          <w:rFonts w:cstheme="minorHAnsi"/>
          <w:i/>
          <w:iCs/>
        </w:rPr>
        <w:t>P</w:t>
      </w:r>
      <w:r w:rsidRPr="004D4CC9">
        <w:rPr>
          <w:rFonts w:cstheme="minorHAnsi"/>
          <w:sz w:val="18"/>
          <w:szCs w:val="18"/>
          <w:vertAlign w:val="subscript"/>
        </w:rPr>
        <w:t>3,66</w:t>
      </w:r>
      <w:r w:rsidRPr="004D4CC9">
        <w:rPr>
          <w:rFonts w:cstheme="minorHAnsi"/>
        </w:rPr>
        <w:t> = 0.023, respectively).</w:t>
      </w:r>
    </w:p>
    <w:p w14:paraId="2DE3C605"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cage effects</w:t>
      </w:r>
    </w:p>
    <w:p w14:paraId="163076CD" w14:textId="77777777" w:rsidR="00B30EF0" w:rsidRPr="004D4CC9" w:rsidRDefault="00B30EF0" w:rsidP="00ED48B7">
      <w:pPr>
        <w:rPr>
          <w:rFonts w:cstheme="minorHAnsi"/>
        </w:rPr>
      </w:pPr>
      <w:r w:rsidRPr="004D4CC9">
        <w:rPr>
          <w:rFonts w:cstheme="minorHAnsi"/>
        </w:rPr>
        <w:t>The only significant effects of cages were on germination of pin oaks and height growth of bur oak (at both year 1 and 3). Germination of pin oaks was higher in uncaged controls than caged controls (74 ± 3% and 59 ± 5%, respectively, </w:t>
      </w:r>
      <w:r w:rsidRPr="004D4CC9">
        <w:rPr>
          <w:rFonts w:cstheme="minorHAnsi"/>
          <w:i/>
          <w:iCs/>
        </w:rPr>
        <w:t>P</w:t>
      </w:r>
      <w:r w:rsidRPr="004D4CC9">
        <w:rPr>
          <w:rFonts w:cstheme="minorHAnsi"/>
          <w:sz w:val="18"/>
          <w:szCs w:val="18"/>
          <w:vertAlign w:val="subscript"/>
        </w:rPr>
        <w:t>1,23</w:t>
      </w:r>
      <w:r w:rsidRPr="004D4CC9">
        <w:rPr>
          <w:rFonts w:cstheme="minorHAnsi"/>
        </w:rPr>
        <w:t> = 0.047; not shown). There was a significant interaction between cages and distance for heights of bur oak at year 1 and year 3, with a negative effect of cages on heights at year 1 distant from trees, but a positive effect on heights at year 1 near trees (Distance × Cage interaction; </w:t>
      </w:r>
      <w:r w:rsidRPr="004D4CC9">
        <w:rPr>
          <w:rFonts w:cstheme="minorHAnsi"/>
          <w:i/>
          <w:iCs/>
        </w:rPr>
        <w:t>F</w:t>
      </w:r>
      <w:r w:rsidRPr="004D4CC9">
        <w:rPr>
          <w:rFonts w:cstheme="minorHAnsi"/>
        </w:rPr>
        <w:t> = 9.70, </w:t>
      </w:r>
      <w:r w:rsidRPr="004D4CC9">
        <w:rPr>
          <w:rFonts w:cstheme="minorHAnsi"/>
          <w:i/>
          <w:iCs/>
        </w:rPr>
        <w:t>P</w:t>
      </w:r>
      <w:r w:rsidRPr="004D4CC9">
        <w:rPr>
          <w:rFonts w:cstheme="minorHAnsi"/>
          <w:sz w:val="18"/>
          <w:szCs w:val="18"/>
          <w:vertAlign w:val="subscript"/>
        </w:rPr>
        <w:t>1,20</w:t>
      </w:r>
      <w:r w:rsidRPr="004D4CC9">
        <w:rPr>
          <w:rFonts w:cstheme="minorHAnsi"/>
        </w:rPr>
        <w:t> = 0.0055; data not shown), and a positive effect of cages on heights of bur oak at year 3 (</w:t>
      </w:r>
      <w:r w:rsidRPr="004D4CC9">
        <w:rPr>
          <w:rFonts w:cstheme="minorHAnsi"/>
          <w:i/>
          <w:iCs/>
        </w:rPr>
        <w:t>F =</w:t>
      </w:r>
      <w:r w:rsidRPr="004D4CC9">
        <w:rPr>
          <w:rFonts w:cstheme="minorHAnsi"/>
        </w:rPr>
        <w:t> 6.99, </w:t>
      </w:r>
      <w:r w:rsidRPr="004D4CC9">
        <w:rPr>
          <w:rFonts w:cstheme="minorHAnsi"/>
          <w:i/>
          <w:iCs/>
        </w:rPr>
        <w:t>P</w:t>
      </w:r>
      <w:r w:rsidRPr="004D4CC9">
        <w:rPr>
          <w:rFonts w:cstheme="minorHAnsi"/>
          <w:sz w:val="18"/>
          <w:szCs w:val="18"/>
          <w:vertAlign w:val="subscript"/>
        </w:rPr>
        <w:t>1,18</w:t>
      </w:r>
      <w:r w:rsidRPr="004D4CC9">
        <w:rPr>
          <w:rFonts w:cstheme="minorHAnsi"/>
        </w:rPr>
        <w:t> = 0.017; data not shown).</w:t>
      </w:r>
    </w:p>
    <w:p w14:paraId="5C4A46CD" w14:textId="77777777" w:rsidR="00B30EF0" w:rsidRPr="004D4CC9" w:rsidRDefault="00B30EF0" w:rsidP="00ED48B7">
      <w:pPr>
        <w:pStyle w:val="Heading1"/>
        <w:rPr>
          <w:rFonts w:asciiTheme="minorHAnsi" w:hAnsiTheme="minorHAnsi" w:cstheme="minorHAnsi"/>
        </w:rPr>
      </w:pPr>
      <w:r w:rsidRPr="004D4CC9">
        <w:rPr>
          <w:rFonts w:asciiTheme="minorHAnsi" w:hAnsiTheme="minorHAnsi" w:cstheme="minorHAnsi"/>
        </w:rPr>
        <w:t>Discussion</w:t>
      </w:r>
    </w:p>
    <w:p w14:paraId="288B0662" w14:textId="77777777" w:rsidR="00B30EF0" w:rsidRPr="004D4CC9" w:rsidRDefault="00B30EF0" w:rsidP="00ED48B7">
      <w:pPr>
        <w:rPr>
          <w:rFonts w:cstheme="minorHAnsi"/>
        </w:rPr>
      </w:pPr>
      <w:r w:rsidRPr="004D4CC9">
        <w:rPr>
          <w:rFonts w:cstheme="minorHAnsi"/>
        </w:rPr>
        <w:t>The factors limiting oak seedling establishment can be conceptualized as a series of largely independent environmental filters, the combination of which determines if tree seedlings establish and survive. Both herbaceous competition and distance from trees influenced seedling survival and growth, yet there was little evidence of interactions between them. Thus, while being near trees benefited seedlings, probably via increased mycorrhizal infection, competition from herbaceous vegetation remains an important limitation on seedlings regardless of distance from trees. The effects of resource addition, in contrast, appeared to be largely dependent on herbaceous context and on site. Adding resources had strong indirect effects by increasing competition from herbaceous vegetation (</w:t>
      </w:r>
      <w:hyperlink r:id="rId139" w:anchor="b12"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1999</w:t>
        </w:r>
      </w:hyperlink>
      <w:r w:rsidRPr="004D4CC9">
        <w:rPr>
          <w:rFonts w:cstheme="minorHAnsi"/>
        </w:rPr>
        <w:t>; </w:t>
      </w:r>
      <w:hyperlink r:id="rId140" w:anchor="b37" w:history="1">
        <w:r w:rsidRPr="004D4CC9">
          <w:rPr>
            <w:rStyle w:val="Hyperlink"/>
            <w:rFonts w:eastAsiaTheme="majorEastAsia" w:cstheme="minorHAnsi"/>
            <w:b/>
            <w:bCs/>
            <w:color w:val="000000"/>
          </w:rPr>
          <w:t>Turkington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2002</w:t>
        </w:r>
      </w:hyperlink>
      <w:r w:rsidRPr="004D4CC9">
        <w:rPr>
          <w:rFonts w:cstheme="minorHAnsi"/>
        </w:rPr>
        <w:t>). Overall, the effects of resource addition were less important than distance from trees or clipping herbaceous‐competition in influencing seedling success.</w:t>
      </w:r>
    </w:p>
    <w:p w14:paraId="7880A441"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distance from trees</w:t>
      </w:r>
    </w:p>
    <w:p w14:paraId="7A2A5CD4" w14:textId="77777777" w:rsidR="00B30EF0" w:rsidRPr="004D4CC9" w:rsidRDefault="00B30EF0" w:rsidP="00ED48B7">
      <w:pPr>
        <w:rPr>
          <w:rFonts w:cstheme="minorHAnsi"/>
        </w:rPr>
      </w:pPr>
      <w:r w:rsidRPr="004D4CC9">
        <w:rPr>
          <w:rFonts w:cstheme="minorHAnsi"/>
        </w:rPr>
        <w:t>The increased mycorrhizal infection and foliar N concentrations of seedlings near adult trees was largely consistent with prior studies of oaks (</w:t>
      </w:r>
      <w:hyperlink r:id="rId141" w:anchor="b38" w:history="1">
        <w:r w:rsidRPr="004D4CC9">
          <w:rPr>
            <w:rStyle w:val="Hyperlink"/>
            <w:rFonts w:eastAsiaTheme="majorEastAsia" w:cstheme="minorHAnsi"/>
            <w:b/>
            <w:bCs/>
            <w:color w:val="000000"/>
          </w:rPr>
          <w:t>Dickie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2002</w:t>
        </w:r>
      </w:hyperlink>
      <w:r w:rsidRPr="004D4CC9">
        <w:rPr>
          <w:rFonts w:cstheme="minorHAnsi"/>
        </w:rPr>
        <w:t>; </w:t>
      </w:r>
      <w:hyperlink r:id="rId142" w:anchor="b11" w:history="1">
        <w:r w:rsidRPr="004D4CC9">
          <w:rPr>
            <w:rStyle w:val="Hyperlink"/>
            <w:rFonts w:eastAsiaTheme="majorEastAsia" w:cstheme="minorHAnsi"/>
            <w:b/>
            <w:bCs/>
            <w:color w:val="000000"/>
          </w:rPr>
          <w:t>Dickie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and other species (</w:t>
      </w:r>
      <w:hyperlink r:id="rId143" w:anchor="b16" w:history="1">
        <w:r w:rsidRPr="004D4CC9">
          <w:rPr>
            <w:rStyle w:val="Hyperlink"/>
            <w:rFonts w:eastAsiaTheme="majorEastAsia" w:cstheme="minorHAnsi"/>
            <w:b/>
            <w:bCs/>
            <w:color w:val="000000"/>
          </w:rPr>
          <w:t>Baylis 1980</w:t>
        </w:r>
      </w:hyperlink>
      <w:r w:rsidRPr="004D4CC9">
        <w:rPr>
          <w:rFonts w:cstheme="minorHAnsi"/>
        </w:rPr>
        <w:t>; </w:t>
      </w:r>
      <w:hyperlink r:id="rId144" w:anchor="b17" w:history="1">
        <w:r w:rsidRPr="004D4CC9">
          <w:rPr>
            <w:rStyle w:val="Hyperlink"/>
            <w:rFonts w:eastAsiaTheme="majorEastAsia" w:cstheme="minorHAnsi"/>
            <w:b/>
            <w:bCs/>
            <w:color w:val="000000"/>
          </w:rPr>
          <w:t>Perry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1989</w:t>
        </w:r>
      </w:hyperlink>
      <w:r w:rsidRPr="004D4CC9">
        <w:rPr>
          <w:rFonts w:cstheme="minorHAnsi"/>
        </w:rPr>
        <w:t>; </w:t>
      </w:r>
      <w:hyperlink r:id="rId145" w:anchor="b18" w:history="1">
        <w:r w:rsidRPr="004D4CC9">
          <w:rPr>
            <w:rStyle w:val="Hyperlink"/>
            <w:rFonts w:eastAsiaTheme="majorEastAsia" w:cstheme="minorHAnsi"/>
            <w:b/>
            <w:bCs/>
            <w:color w:val="000000"/>
          </w:rPr>
          <w:t>Terwilliger &amp; Pastor 1999</w:t>
        </w:r>
      </w:hyperlink>
      <w:r w:rsidRPr="004D4CC9">
        <w:rPr>
          <w:rFonts w:cstheme="minorHAnsi"/>
        </w:rPr>
        <w:t>; </w:t>
      </w:r>
      <w:hyperlink r:id="rId146" w:anchor="b30" w:history="1">
        <w:r w:rsidRPr="004D4CC9">
          <w:rPr>
            <w:rStyle w:val="Hyperlink"/>
            <w:rFonts w:eastAsiaTheme="majorEastAsia" w:cstheme="minorHAnsi"/>
            <w:b/>
            <w:bCs/>
            <w:color w:val="000000"/>
          </w:rPr>
          <w:t>Simard &amp; Durall 2004</w:t>
        </w:r>
      </w:hyperlink>
      <w:r w:rsidRPr="004D4CC9">
        <w:rPr>
          <w:rFonts w:cstheme="minorHAnsi"/>
        </w:rPr>
        <w:t>; </w:t>
      </w:r>
      <w:hyperlink r:id="rId147" w:anchor="b20" w:history="1">
        <w:r w:rsidRPr="004D4CC9">
          <w:rPr>
            <w:rStyle w:val="Hyperlink"/>
            <w:rFonts w:eastAsiaTheme="majorEastAsia" w:cstheme="minorHAnsi"/>
            <w:b/>
            <w:bCs/>
            <w:color w:val="000000"/>
          </w:rPr>
          <w:t>Nara 2005</w:t>
        </w:r>
      </w:hyperlink>
      <w:r w:rsidRPr="004D4CC9">
        <w:rPr>
          <w:rFonts w:cstheme="minorHAnsi"/>
        </w:rPr>
        <w:t>), although the present study was the first time increased survival of oak seedlings near established trees has been observed. This contrasts with the expectation that survival will be lower in seedlings near conspecific trees due to disease (</w:t>
      </w:r>
      <w:hyperlink r:id="rId148" w:anchor="b39" w:history="1">
        <w:r w:rsidRPr="004D4CC9">
          <w:rPr>
            <w:rStyle w:val="Hyperlink"/>
            <w:rFonts w:eastAsiaTheme="majorEastAsia" w:cstheme="minorHAnsi"/>
            <w:b/>
            <w:bCs/>
            <w:color w:val="000000"/>
          </w:rPr>
          <w:t>Connell 1970</w:t>
        </w:r>
      </w:hyperlink>
      <w:r w:rsidRPr="004D4CC9">
        <w:rPr>
          <w:rFonts w:cstheme="minorHAnsi"/>
        </w:rPr>
        <w:t>; </w:t>
      </w:r>
      <w:hyperlink r:id="rId149" w:anchor="b40" w:history="1">
        <w:r w:rsidRPr="004D4CC9">
          <w:rPr>
            <w:rStyle w:val="Hyperlink"/>
            <w:rFonts w:eastAsiaTheme="majorEastAsia" w:cstheme="minorHAnsi"/>
            <w:b/>
            <w:bCs/>
            <w:color w:val="000000"/>
          </w:rPr>
          <w:t>Janzen 1970</w:t>
        </w:r>
      </w:hyperlink>
      <w:r w:rsidRPr="004D4CC9">
        <w:rPr>
          <w:rFonts w:cstheme="minorHAnsi"/>
        </w:rPr>
        <w:t>; </w:t>
      </w:r>
      <w:hyperlink r:id="rId150" w:anchor="b28" w:history="1">
        <w:r w:rsidRPr="004D4CC9">
          <w:rPr>
            <w:rStyle w:val="Hyperlink"/>
            <w:rFonts w:eastAsiaTheme="majorEastAsia" w:cstheme="minorHAnsi"/>
            <w:b/>
            <w:bCs/>
            <w:color w:val="000000"/>
          </w:rPr>
          <w:t>Packer &amp; Clay 2000</w:t>
        </w:r>
      </w:hyperlink>
      <w:r w:rsidRPr="004D4CC9">
        <w:rPr>
          <w:rFonts w:cstheme="minorHAnsi"/>
        </w:rPr>
        <w:t>; </w:t>
      </w:r>
      <w:hyperlink r:id="rId151" w:anchor="b41" w:history="1">
        <w:r w:rsidRPr="004D4CC9">
          <w:rPr>
            <w:rStyle w:val="Hyperlink"/>
            <w:rFonts w:eastAsiaTheme="majorEastAsia" w:cstheme="minorHAnsi"/>
            <w:b/>
            <w:bCs/>
            <w:color w:val="000000"/>
          </w:rPr>
          <w:t>Wills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2006</w:t>
        </w:r>
      </w:hyperlink>
      <w:r w:rsidRPr="004D4CC9">
        <w:rPr>
          <w:rFonts w:cstheme="minorHAnsi"/>
        </w:rPr>
        <w:t>). The difference between savannas and old‐fields in the effect of proximity to trees on bur oak survival is particularly interesting: facilitation is generally expected to be more important in harsh sites (</w:t>
      </w:r>
      <w:hyperlink r:id="rId152" w:anchor="b1" w:history="1">
        <w:r w:rsidRPr="004D4CC9">
          <w:rPr>
            <w:rStyle w:val="Hyperlink"/>
            <w:rFonts w:eastAsiaTheme="majorEastAsia" w:cstheme="minorHAnsi"/>
            <w:b/>
            <w:bCs/>
            <w:color w:val="000000"/>
          </w:rPr>
          <w:t>Callaway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2002</w:t>
        </w:r>
      </w:hyperlink>
      <w:r w:rsidRPr="004D4CC9">
        <w:rPr>
          <w:rFonts w:cstheme="minorHAnsi"/>
        </w:rPr>
        <w:t>; </w:t>
      </w:r>
      <w:hyperlink r:id="rId153" w:anchor="b42" w:history="1">
        <w:r w:rsidRPr="004D4CC9">
          <w:rPr>
            <w:rStyle w:val="Hyperlink"/>
            <w:rFonts w:eastAsiaTheme="majorEastAsia" w:cstheme="minorHAnsi"/>
            <w:b/>
            <w:bCs/>
            <w:color w:val="000000"/>
          </w:rPr>
          <w:t>Lortie &amp; Callaway 2006</w:t>
        </w:r>
      </w:hyperlink>
      <w:r w:rsidRPr="004D4CC9">
        <w:rPr>
          <w:rFonts w:cstheme="minorHAnsi"/>
        </w:rPr>
        <w:t>), yet for bur oaks facilitation was found in old‐fields (which had higher overall survival) and not in savannas. This finding supports suggestions that there may be limitations to the hypothesis that facilitation is more important in stressful sites (</w:t>
      </w:r>
      <w:hyperlink r:id="rId154" w:anchor="b2" w:history="1">
        <w:r w:rsidRPr="004D4CC9">
          <w:rPr>
            <w:rStyle w:val="Hyperlink"/>
            <w:rFonts w:eastAsiaTheme="majorEastAsia" w:cstheme="minorHAnsi"/>
            <w:b/>
            <w:bCs/>
            <w:color w:val="000000"/>
          </w:rPr>
          <w:t>Maestre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w:t>
      </w:r>
      <w:hyperlink r:id="rId155" w:anchor="b43" w:history="1">
        <w:r w:rsidRPr="004D4CC9">
          <w:rPr>
            <w:rStyle w:val="Hyperlink"/>
            <w:rFonts w:eastAsiaTheme="majorEastAsia" w:cstheme="minorHAnsi"/>
            <w:b/>
            <w:bCs/>
            <w:color w:val="000000"/>
          </w:rPr>
          <w:t>Riginos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w:t>
      </w:r>
      <w:hyperlink r:id="rId156" w:anchor="b44" w:history="1">
        <w:r w:rsidRPr="004D4CC9">
          <w:rPr>
            <w:rStyle w:val="Hyperlink"/>
            <w:rFonts w:eastAsiaTheme="majorEastAsia" w:cstheme="minorHAnsi"/>
            <w:b/>
            <w:bCs/>
            <w:color w:val="000000"/>
          </w:rPr>
          <w:t>Maestre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2006</w:t>
        </w:r>
      </w:hyperlink>
      <w:r w:rsidRPr="004D4CC9">
        <w:rPr>
          <w:rFonts w:cstheme="minorHAnsi"/>
        </w:rPr>
        <w:t>).</w:t>
      </w:r>
    </w:p>
    <w:p w14:paraId="46381DBD" w14:textId="77777777" w:rsidR="00B30EF0" w:rsidRPr="004D4CC9" w:rsidRDefault="00B30EF0" w:rsidP="00ED48B7">
      <w:pPr>
        <w:rPr>
          <w:rFonts w:cstheme="minorHAnsi"/>
        </w:rPr>
      </w:pPr>
      <w:r w:rsidRPr="004D4CC9">
        <w:rPr>
          <w:rFonts w:cstheme="minorHAnsi"/>
        </w:rPr>
        <w:t>The positive effects of being near established trees were probably due to increased mycorrhizal infection (</w:t>
      </w:r>
      <w:hyperlink r:id="rId157" w:anchor="b34" w:history="1">
        <w:r w:rsidRPr="004D4CC9">
          <w:rPr>
            <w:rStyle w:val="Hyperlink"/>
            <w:rFonts w:eastAsiaTheme="majorEastAsia" w:cstheme="minorHAnsi"/>
            <w:b/>
            <w:bCs/>
            <w:color w:val="000000"/>
          </w:rPr>
          <w:t>Dickie &amp; Reich 2005</w:t>
        </w:r>
      </w:hyperlink>
      <w:r w:rsidRPr="004D4CC9">
        <w:rPr>
          <w:rFonts w:cstheme="minorHAnsi"/>
        </w:rPr>
        <w:t>), which would explain increased foliar N concentrations in seedlings in year 1. Other studies have found higher N availability near trees than distant from trees (</w:t>
      </w:r>
      <w:hyperlink r:id="rId158" w:anchor="b10" w:history="1">
        <w:r w:rsidRPr="004D4CC9">
          <w:rPr>
            <w:rStyle w:val="Hyperlink"/>
            <w:rFonts w:eastAsiaTheme="majorEastAsia" w:cstheme="minorHAnsi"/>
            <w:b/>
            <w:bCs/>
            <w:color w:val="000000"/>
          </w:rPr>
          <w:t>Weltzin &amp; McPherson 1999</w:t>
        </w:r>
      </w:hyperlink>
      <w:r w:rsidRPr="004D4CC9">
        <w:rPr>
          <w:rFonts w:cstheme="minorHAnsi"/>
        </w:rPr>
        <w:t>; </w:t>
      </w:r>
      <w:hyperlink r:id="rId159" w:anchor="b26" w:history="1">
        <w:r w:rsidRPr="004D4CC9">
          <w:rPr>
            <w:rStyle w:val="Hyperlink"/>
            <w:rFonts w:eastAsiaTheme="majorEastAsia" w:cstheme="minorHAnsi"/>
            <w:b/>
            <w:bCs/>
            <w:color w:val="000000"/>
          </w:rPr>
          <w:t>Reich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2001</w:t>
        </w:r>
      </w:hyperlink>
      <w:r w:rsidRPr="004D4CC9">
        <w:rPr>
          <w:rFonts w:cstheme="minorHAnsi"/>
        </w:rPr>
        <w:t>; </w:t>
      </w:r>
      <w:hyperlink r:id="rId160" w:anchor="b27" w:history="1">
        <w:r w:rsidRPr="004D4CC9">
          <w:rPr>
            <w:rStyle w:val="Hyperlink"/>
            <w:rFonts w:eastAsiaTheme="majorEastAsia" w:cstheme="minorHAnsi"/>
            <w:b/>
            <w:bCs/>
            <w:color w:val="000000"/>
          </w:rPr>
          <w:t>Dijkstra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2006</w:t>
        </w:r>
      </w:hyperlink>
      <w:r w:rsidRPr="004D4CC9">
        <w:rPr>
          <w:rFonts w:cstheme="minorHAnsi"/>
        </w:rPr>
        <w:t>), which could also explain higher seedling foliar N near trees; however, using ion‐exchange‐resin measurements, we did not detect a significant effect of distance on available N, nor did bio‐indicators of available N show a distance effect in earlier studies at this site (</w:t>
      </w:r>
      <w:hyperlink r:id="rId161" w:anchor="b11" w:history="1">
        <w:r w:rsidRPr="004D4CC9">
          <w:rPr>
            <w:rStyle w:val="Hyperlink"/>
            <w:rFonts w:eastAsiaTheme="majorEastAsia" w:cstheme="minorHAnsi"/>
            <w:b/>
            <w:bCs/>
            <w:color w:val="000000"/>
          </w:rPr>
          <w:t>Dickie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Our near‐tree plots were just outside drip‐line, while previous measures of soil N near trees were taken under canopy. Assuming that our measurements at the actual locations of the plots are the best indication of available N, increased mycorrhizal infection is the most likely explanation for elevated foliar N concentrations in seedlings near adult trees.</w:t>
      </w:r>
    </w:p>
    <w:p w14:paraId="71D9A4B6" w14:textId="77777777" w:rsidR="00B30EF0" w:rsidRPr="004D4CC9" w:rsidRDefault="00B30EF0" w:rsidP="00ED48B7">
      <w:pPr>
        <w:rPr>
          <w:rFonts w:cstheme="minorHAnsi"/>
        </w:rPr>
      </w:pPr>
      <w:r w:rsidRPr="004D4CC9">
        <w:rPr>
          <w:rFonts w:cstheme="minorHAnsi"/>
        </w:rPr>
        <w:t>In other studies, low mycorrhizal infection distant from established ectomycorrhizal vegetation has been linked to reduced growth of seedlings (</w:t>
      </w:r>
      <w:hyperlink r:id="rId162" w:anchor="b16" w:history="1">
        <w:r w:rsidRPr="004D4CC9">
          <w:rPr>
            <w:rStyle w:val="Hyperlink"/>
            <w:rFonts w:eastAsiaTheme="majorEastAsia" w:cstheme="minorHAnsi"/>
            <w:b/>
            <w:bCs/>
            <w:color w:val="000000"/>
          </w:rPr>
          <w:t>Baylis 1980</w:t>
        </w:r>
      </w:hyperlink>
      <w:r w:rsidRPr="004D4CC9">
        <w:rPr>
          <w:rFonts w:cstheme="minorHAnsi"/>
        </w:rPr>
        <w:t>; </w:t>
      </w:r>
      <w:hyperlink r:id="rId163" w:anchor="b17" w:history="1">
        <w:r w:rsidRPr="004D4CC9">
          <w:rPr>
            <w:rStyle w:val="Hyperlink"/>
            <w:rFonts w:eastAsiaTheme="majorEastAsia" w:cstheme="minorHAnsi"/>
            <w:b/>
            <w:bCs/>
            <w:color w:val="000000"/>
          </w:rPr>
          <w:t>Perry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1989</w:t>
        </w:r>
      </w:hyperlink>
      <w:r w:rsidRPr="004D4CC9">
        <w:rPr>
          <w:rFonts w:cstheme="minorHAnsi"/>
        </w:rPr>
        <w:t>; </w:t>
      </w:r>
      <w:hyperlink r:id="rId164" w:anchor="b38" w:history="1">
        <w:r w:rsidRPr="004D4CC9">
          <w:rPr>
            <w:rStyle w:val="Hyperlink"/>
            <w:rFonts w:eastAsiaTheme="majorEastAsia" w:cstheme="minorHAnsi"/>
            <w:b/>
            <w:bCs/>
            <w:color w:val="000000"/>
          </w:rPr>
          <w:t>Dickie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2002</w:t>
        </w:r>
      </w:hyperlink>
      <w:r w:rsidRPr="004D4CC9">
        <w:rPr>
          <w:rFonts w:cstheme="minorHAnsi"/>
        </w:rPr>
        <w:t>; </w:t>
      </w:r>
      <w:hyperlink r:id="rId165" w:anchor="b30" w:history="1">
        <w:r w:rsidRPr="004D4CC9">
          <w:rPr>
            <w:rStyle w:val="Hyperlink"/>
            <w:rFonts w:eastAsiaTheme="majorEastAsia" w:cstheme="minorHAnsi"/>
            <w:b/>
            <w:bCs/>
            <w:color w:val="000000"/>
          </w:rPr>
          <w:t>Simard &amp; Durall 2004</w:t>
        </w:r>
      </w:hyperlink>
      <w:r w:rsidRPr="004D4CC9">
        <w:rPr>
          <w:rFonts w:cstheme="minorHAnsi"/>
        </w:rPr>
        <w:t>; </w:t>
      </w:r>
      <w:hyperlink r:id="rId166" w:anchor="b11" w:history="1">
        <w:r w:rsidRPr="004D4CC9">
          <w:rPr>
            <w:rStyle w:val="Hyperlink"/>
            <w:rFonts w:eastAsiaTheme="majorEastAsia" w:cstheme="minorHAnsi"/>
            <w:b/>
            <w:bCs/>
            <w:color w:val="000000"/>
          </w:rPr>
          <w:t>Dickie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this phenomenon was not observed in the present study. Pin oak foliar N concentration also showed a reversal of pattern by year 3, with higher N distant from trees than near trees, which is inconsistent with prior results (</w:t>
      </w:r>
      <w:hyperlink r:id="rId167" w:anchor="b11" w:history="1">
        <w:r w:rsidRPr="004D4CC9">
          <w:rPr>
            <w:rStyle w:val="Hyperlink"/>
            <w:rFonts w:eastAsiaTheme="majorEastAsia" w:cstheme="minorHAnsi"/>
            <w:b/>
            <w:bCs/>
            <w:color w:val="000000"/>
          </w:rPr>
          <w:t>Dickie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These contrasting results may reflect the complex interactions of trees with seedlings: while trees may facilitate seedling mycorrhizal infection they are also competing with seedlings for light, soil nutrients and water. The net outcome of these interactions may depend on the distance between trees and seedlings and available resource levels (</w:t>
      </w:r>
      <w:hyperlink r:id="rId168" w:anchor="b11" w:history="1">
        <w:r w:rsidRPr="004D4CC9">
          <w:rPr>
            <w:rStyle w:val="Hyperlink"/>
            <w:rFonts w:eastAsiaTheme="majorEastAsia" w:cstheme="minorHAnsi"/>
            <w:b/>
            <w:bCs/>
            <w:color w:val="000000"/>
          </w:rPr>
          <w:t>Dickie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w:t>
      </w:r>
    </w:p>
    <w:p w14:paraId="4590DE24"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clipping of herbaceous competition</w:t>
      </w:r>
    </w:p>
    <w:p w14:paraId="61A6E703" w14:textId="77777777" w:rsidR="00B30EF0" w:rsidRPr="004D4CC9" w:rsidRDefault="00B30EF0" w:rsidP="00ED48B7">
      <w:pPr>
        <w:rPr>
          <w:rFonts w:cstheme="minorHAnsi"/>
        </w:rPr>
      </w:pPr>
      <w:r w:rsidRPr="004D4CC9">
        <w:rPr>
          <w:rFonts w:cstheme="minorHAnsi"/>
        </w:rPr>
        <w:t>There were positive effects of clipping on seed‐ ling survival and growth, with increased biomass but reduced heights in clipped plots for both pin oak and bur oak. We had expected that the effect of clipping would be greater in old‐fields than in savannas based on the suggestion by </w:t>
      </w:r>
      <w:hyperlink r:id="rId169" w:anchor="b8"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that non‐indigenous grasses in old‐fields inhibit oak seedling growth more than the native herbaceous vegetation of savannas. This was not found to be true. It should be noted, however, that our treatment (above‐ground clipping) probably reduced, but may not have entirely removed, below‐ground influences, which Davis and colleagues suggest are the primary mechanism of oak growth inhibition by non‐native grasses (</w:t>
      </w:r>
      <w:hyperlink r:id="rId170" w:anchor="b8"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w:t>
      </w:r>
    </w:p>
    <w:p w14:paraId="5AF9596C" w14:textId="77777777" w:rsidR="00B30EF0" w:rsidRPr="004D4CC9" w:rsidRDefault="00B30EF0" w:rsidP="00ED48B7">
      <w:pPr>
        <w:rPr>
          <w:rFonts w:cstheme="minorHAnsi"/>
        </w:rPr>
      </w:pPr>
      <w:r w:rsidRPr="004D4CC9">
        <w:rPr>
          <w:rFonts w:cstheme="minorHAnsi"/>
        </w:rPr>
        <w:t>Higher germination of pin oaks in unclipped +W and +N plots than in clipped plots was likely related to soil moisture. In unclipped plots herbaceous vegetation shaded the ground, creating better conditions for germination and protecting young seedlings from desiccation. This pattern was not observed for bur oaks, perhaps because bur oak germinates in the autumn, when moisture is typically less limiting. Adding resources may have benefited herbaceous vegetation more than oak seedlings (</w:t>
      </w:r>
      <w:hyperlink r:id="rId171" w:anchor="b12"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1999</w:t>
        </w:r>
      </w:hyperlink>
      <w:r w:rsidRPr="004D4CC9">
        <w:rPr>
          <w:rFonts w:cstheme="minorHAnsi"/>
        </w:rPr>
        <w:t>); increased herbaceous growth would explain increased germination in +N and +W plots (via increased shading creating cooler, moister conditions in surface soils).</w:t>
      </w:r>
    </w:p>
    <w:p w14:paraId="2AE85D53" w14:textId="77777777" w:rsidR="00B30EF0" w:rsidRPr="004D4CC9" w:rsidRDefault="00B30EF0" w:rsidP="00ED48B7">
      <w:pPr>
        <w:rPr>
          <w:rFonts w:cstheme="minorHAnsi"/>
        </w:rPr>
      </w:pPr>
      <w:r w:rsidRPr="004D4CC9">
        <w:rPr>
          <w:rFonts w:cstheme="minorHAnsi"/>
        </w:rPr>
        <w:t>Clipping also increased mycorrhizal infection of pin oak at year 3 and of bur oak at year 1 (except in +W near‐tree plots). This is consistent with observations of increased mycorrhizal infection of oak seedlings following partial canopy removals (</w:t>
      </w:r>
      <w:hyperlink r:id="rId172" w:anchor="b45" w:history="1">
        <w:r w:rsidRPr="004D4CC9">
          <w:rPr>
            <w:rStyle w:val="Hyperlink"/>
            <w:rFonts w:eastAsiaTheme="majorEastAsia" w:cstheme="minorHAnsi"/>
            <w:b/>
            <w:bCs/>
            <w:color w:val="000000"/>
          </w:rPr>
          <w:t>Zhou &amp; Sharik 1997</w:t>
        </w:r>
      </w:hyperlink>
      <w:r w:rsidRPr="004D4CC9">
        <w:rPr>
          <w:rFonts w:cstheme="minorHAnsi"/>
        </w:rPr>
        <w:t>) and may reflect competition for light reducing the availability of photosynthate to support the costs of supporting mycorrhizal fungi (</w:t>
      </w:r>
      <w:hyperlink r:id="rId173" w:anchor="b46" w:history="1">
        <w:r w:rsidRPr="004D4CC9">
          <w:rPr>
            <w:rStyle w:val="Hyperlink"/>
            <w:rFonts w:eastAsiaTheme="majorEastAsia" w:cstheme="minorHAnsi"/>
            <w:b/>
            <w:bCs/>
            <w:color w:val="000000"/>
          </w:rPr>
          <w:t>Haskins &amp; Gehring 2005</w:t>
        </w:r>
      </w:hyperlink>
      <w:r w:rsidRPr="004D4CC9">
        <w:rPr>
          <w:rFonts w:cstheme="minorHAnsi"/>
        </w:rPr>
        <w:t>; </w:t>
      </w:r>
      <w:hyperlink r:id="rId174" w:anchor="b47" w:history="1">
        <w:r w:rsidRPr="004D4CC9">
          <w:rPr>
            <w:rStyle w:val="Hyperlink"/>
            <w:rFonts w:eastAsiaTheme="majorEastAsia" w:cstheme="minorHAnsi"/>
            <w:b/>
            <w:bCs/>
            <w:color w:val="000000"/>
          </w:rPr>
          <w:t>Corrêa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2006</w:t>
        </w:r>
      </w:hyperlink>
      <w:r w:rsidRPr="004D4CC9">
        <w:rPr>
          <w:rFonts w:cstheme="minorHAnsi"/>
        </w:rPr>
        <w:t>).</w:t>
      </w:r>
    </w:p>
    <w:p w14:paraId="2F5111DE"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resource</w:t>
      </w:r>
      <w:r w:rsidRPr="004D4CC9">
        <w:rPr>
          <w:rFonts w:asciiTheme="minorHAnsi" w:hAnsiTheme="minorHAnsi" w:cstheme="minorHAnsi"/>
        </w:rPr>
        <w:t> (</w:t>
      </w:r>
      <w:r w:rsidRPr="004D4CC9">
        <w:rPr>
          <w:rStyle w:val="smallcaps"/>
          <w:rFonts w:asciiTheme="minorHAnsi" w:hAnsiTheme="minorHAnsi" w:cstheme="minorHAnsi"/>
        </w:rPr>
        <w:t>water and nitrogen</w:t>
      </w:r>
      <w:r w:rsidRPr="004D4CC9">
        <w:rPr>
          <w:rFonts w:asciiTheme="minorHAnsi" w:hAnsiTheme="minorHAnsi" w:cstheme="minorHAnsi"/>
        </w:rPr>
        <w:t>) </w:t>
      </w:r>
      <w:r w:rsidRPr="004D4CC9">
        <w:rPr>
          <w:rStyle w:val="smallcaps"/>
          <w:rFonts w:asciiTheme="minorHAnsi" w:hAnsiTheme="minorHAnsi" w:cstheme="minorHAnsi"/>
        </w:rPr>
        <w:t>addition</w:t>
      </w:r>
    </w:p>
    <w:p w14:paraId="54274DE2" w14:textId="77777777" w:rsidR="00B30EF0" w:rsidRPr="004D4CC9" w:rsidRDefault="00B30EF0" w:rsidP="00ED48B7">
      <w:pPr>
        <w:rPr>
          <w:rFonts w:cstheme="minorHAnsi"/>
        </w:rPr>
      </w:pPr>
      <w:r w:rsidRPr="004D4CC9">
        <w:rPr>
          <w:rFonts w:cstheme="minorHAnsi"/>
        </w:rPr>
        <w:t>Resource addition had few direct effects (only an increase in heights of bur oak at year 3 in the +N treatment), but had a number of interactions with other treatments. These complex interactions may reflect the opposing direct effects and indirect effects of resource addition: adding water and nitrogen influenced both pin oak seedlings and herbaceous competition. Grasses can compete strongly with trees for nitrogen (</w:t>
      </w:r>
      <w:hyperlink r:id="rId175" w:anchor="b48" w:history="1">
        <w:r w:rsidRPr="004D4CC9">
          <w:rPr>
            <w:rStyle w:val="Hyperlink"/>
            <w:rFonts w:eastAsiaTheme="majorEastAsia" w:cstheme="minorHAnsi"/>
            <w:b/>
            <w:bCs/>
            <w:color w:val="000000"/>
          </w:rPr>
          <w:t>Clinton &amp; Mead 1994</w:t>
        </w:r>
      </w:hyperlink>
      <w:r w:rsidRPr="004D4CC9">
        <w:rPr>
          <w:rFonts w:cstheme="minorHAnsi"/>
        </w:rPr>
        <w:t>) and in some cases the indirect effect of adding resources via increased competition with herbaceous vegetation may result in a net negative effect on oak seedlings (</w:t>
      </w:r>
      <w:hyperlink r:id="rId176" w:anchor="b12"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1999</w:t>
        </w:r>
      </w:hyperlink>
      <w:r w:rsidRPr="004D4CC9">
        <w:rPr>
          <w:rFonts w:cstheme="minorHAnsi"/>
        </w:rPr>
        <w:t>; </w:t>
      </w:r>
      <w:hyperlink r:id="rId177" w:anchor="b37" w:history="1">
        <w:r w:rsidRPr="004D4CC9">
          <w:rPr>
            <w:rStyle w:val="Hyperlink"/>
            <w:rFonts w:eastAsiaTheme="majorEastAsia" w:cstheme="minorHAnsi"/>
            <w:b/>
            <w:bCs/>
            <w:color w:val="000000"/>
          </w:rPr>
          <w:t>Turkington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2002</w:t>
        </w:r>
      </w:hyperlink>
      <w:r w:rsidRPr="004D4CC9">
        <w:rPr>
          <w:rFonts w:cstheme="minorHAnsi"/>
        </w:rPr>
        <w:t>). This could be considered as evidence for weak context dependency; the local competitive context of seedlings determines their response to nutrients. Most of the effects of resource addition were apparent only on pin oak seedlings, with few effects of resource addition on bur oak seedlings. Bur oaks germinate in the autumn and quickly establish a deep taproot. Thus, bur oaks may be less responsive to resource addition (both direct and indirect effects).</w:t>
      </w:r>
    </w:p>
    <w:p w14:paraId="02E3C7F3" w14:textId="77777777" w:rsidR="00B30EF0" w:rsidRPr="004D4CC9" w:rsidRDefault="00B30EF0" w:rsidP="00ED48B7">
      <w:pPr>
        <w:pStyle w:val="Heading2"/>
        <w:rPr>
          <w:rFonts w:asciiTheme="minorHAnsi" w:hAnsiTheme="minorHAnsi" w:cstheme="minorHAnsi"/>
        </w:rPr>
      </w:pPr>
      <w:r w:rsidRPr="004D4CC9">
        <w:rPr>
          <w:rStyle w:val="smallcaps"/>
          <w:rFonts w:asciiTheme="minorHAnsi" w:hAnsiTheme="minorHAnsi" w:cstheme="minorHAnsi"/>
        </w:rPr>
        <w:t>site effects</w:t>
      </w:r>
    </w:p>
    <w:p w14:paraId="777A5784" w14:textId="77777777" w:rsidR="00B30EF0" w:rsidRPr="004D4CC9" w:rsidRDefault="00B30EF0" w:rsidP="00ED48B7">
      <w:pPr>
        <w:rPr>
          <w:rFonts w:cstheme="minorHAnsi"/>
        </w:rPr>
      </w:pPr>
      <w:r w:rsidRPr="004D4CC9">
        <w:rPr>
          <w:rFonts w:cstheme="minorHAnsi"/>
        </w:rPr>
        <w:t>Where significant site effects were found, seedlings were generally favoured in old‐fields as compared with savannas. Both pin and bur oak survival were higher in old‐fields, pin oak shoot mass was generally higher at both year 1 and 3, and year 3 foliar N was higher in old‐fields.</w:t>
      </w:r>
    </w:p>
    <w:p w14:paraId="2B7C6389" w14:textId="77777777" w:rsidR="00B30EF0" w:rsidRPr="004D4CC9" w:rsidRDefault="00B30EF0" w:rsidP="00ED48B7">
      <w:pPr>
        <w:rPr>
          <w:rFonts w:cstheme="minorHAnsi"/>
        </w:rPr>
      </w:pPr>
      <w:r w:rsidRPr="004D4CC9">
        <w:rPr>
          <w:rFonts w:cstheme="minorHAnsi"/>
        </w:rPr>
        <w:t>Our selection of large openings in savannas may have biased our sample towards particularly harsh sites: the absence of oak regeneration in these sites may reflect poor conditions for oak establishment. At least two of our savanna sites also had some evidence of past agricultural use and it is likely that the third site may also have been grazed or otherwise influenced in the past (although probably much longer ago than in the old‐fields). Nonetheless, the vegetation in all three savanna sites was distinct from old‐fields, with greater dominance by native species and fewer non‐indigenous grasses. Site differences in herbaceous communities (apparent as significant Site × Distance interaction on PCA axis 2) were mainly driven by a higher abundance of </w:t>
      </w:r>
      <w:r w:rsidRPr="004D4CC9">
        <w:rPr>
          <w:rFonts w:cstheme="minorHAnsi"/>
          <w:i/>
          <w:iCs/>
        </w:rPr>
        <w:t>Poa</w:t>
      </w:r>
      <w:r w:rsidRPr="004D4CC9">
        <w:rPr>
          <w:rFonts w:cstheme="minorHAnsi"/>
        </w:rPr>
        <w:t> in old‐fields and </w:t>
      </w:r>
      <w:r w:rsidRPr="004D4CC9">
        <w:rPr>
          <w:rFonts w:cstheme="minorHAnsi"/>
          <w:i/>
          <w:iCs/>
        </w:rPr>
        <w:t>Andropogon</w:t>
      </w:r>
      <w:r w:rsidRPr="004D4CC9">
        <w:rPr>
          <w:rFonts w:cstheme="minorHAnsi"/>
        </w:rPr>
        <w:t> and </w:t>
      </w:r>
      <w:r w:rsidRPr="004D4CC9">
        <w:rPr>
          <w:rFonts w:cstheme="minorHAnsi"/>
          <w:i/>
          <w:iCs/>
        </w:rPr>
        <w:t>Carex</w:t>
      </w:r>
      <w:r w:rsidRPr="004D4CC9">
        <w:rPr>
          <w:rFonts w:cstheme="minorHAnsi"/>
        </w:rPr>
        <w:t> in savannas. The significant interaction of site and resource‐addition treatment was the result of a reduction in the abundance of </w:t>
      </w:r>
      <w:r w:rsidRPr="004D4CC9">
        <w:rPr>
          <w:rFonts w:cstheme="minorHAnsi"/>
          <w:i/>
          <w:iCs/>
        </w:rPr>
        <w:t>Helianthus</w:t>
      </w:r>
      <w:r w:rsidRPr="004D4CC9">
        <w:rPr>
          <w:rFonts w:cstheme="minorHAnsi"/>
        </w:rPr>
        <w:t> in watered savanna plots, while </w:t>
      </w:r>
      <w:r w:rsidRPr="004D4CC9">
        <w:rPr>
          <w:rFonts w:cstheme="minorHAnsi"/>
          <w:i/>
          <w:iCs/>
        </w:rPr>
        <w:t>Helianthus</w:t>
      </w:r>
      <w:r w:rsidRPr="004D4CC9">
        <w:rPr>
          <w:rFonts w:cstheme="minorHAnsi"/>
        </w:rPr>
        <w:t> was largely absent from old‐fields regardless of watering.</w:t>
      </w:r>
    </w:p>
    <w:p w14:paraId="5E033DA2" w14:textId="77777777" w:rsidR="00B30EF0" w:rsidRPr="004D4CC9" w:rsidRDefault="00B30EF0" w:rsidP="00ED48B7">
      <w:pPr>
        <w:pStyle w:val="Heading1"/>
        <w:rPr>
          <w:rFonts w:asciiTheme="minorHAnsi" w:hAnsiTheme="minorHAnsi" w:cstheme="minorHAnsi"/>
        </w:rPr>
      </w:pPr>
      <w:r w:rsidRPr="004D4CC9">
        <w:rPr>
          <w:rFonts w:asciiTheme="minorHAnsi" w:hAnsiTheme="minorHAnsi" w:cstheme="minorHAnsi"/>
        </w:rPr>
        <w:t>Conclusions</w:t>
      </w:r>
    </w:p>
    <w:p w14:paraId="3D6058E7" w14:textId="77777777" w:rsidR="00B30EF0" w:rsidRPr="004D4CC9" w:rsidRDefault="00B30EF0" w:rsidP="00ED48B7">
      <w:pPr>
        <w:rPr>
          <w:rFonts w:cstheme="minorHAnsi"/>
        </w:rPr>
      </w:pPr>
      <w:r w:rsidRPr="004D4CC9">
        <w:rPr>
          <w:rFonts w:cstheme="minorHAnsi"/>
        </w:rPr>
        <w:t>Proximity to established trees and competition from herbaceous vegetation both had strong effects on seedling survival and growth, but with little evidence of interaction with each other. This implies that while being close to established trees is an important determinant of increased seedling mycorrhizal infection and nutrient uptake, seedling success remains strongly limited by herbaceous competition both near and distant from trees. This confirms earlier studies on the effects of distance (</w:t>
      </w:r>
      <w:hyperlink r:id="rId178" w:anchor="b11" w:history="1">
        <w:r w:rsidRPr="004D4CC9">
          <w:rPr>
            <w:rStyle w:val="Hyperlink"/>
            <w:rFonts w:eastAsiaTheme="majorEastAsia" w:cstheme="minorHAnsi"/>
            <w:b/>
            <w:bCs/>
            <w:color w:val="000000"/>
          </w:rPr>
          <w:t>Dickie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2005</w:t>
        </w:r>
      </w:hyperlink>
      <w:r w:rsidRPr="004D4CC9">
        <w:rPr>
          <w:rFonts w:cstheme="minorHAnsi"/>
        </w:rPr>
        <w:t>) and the effects of herbaceous competition (</w:t>
      </w:r>
      <w:hyperlink r:id="rId179" w:anchor="b12" w:history="1">
        <w:r w:rsidRPr="004D4CC9">
          <w:rPr>
            <w:rStyle w:val="Hyperlink"/>
            <w:rFonts w:eastAsiaTheme="majorEastAsia" w:cstheme="minorHAnsi"/>
            <w:b/>
            <w:bCs/>
            <w:color w:val="000000"/>
          </w:rPr>
          <w:t>Davis </w:t>
        </w:r>
        <w:r w:rsidRPr="004D4CC9">
          <w:rPr>
            <w:rStyle w:val="Hyperlink"/>
            <w:rFonts w:eastAsiaTheme="majorEastAsia" w:cstheme="minorHAnsi"/>
            <w:b/>
            <w:bCs/>
            <w:i/>
            <w:iCs/>
            <w:color w:val="000000"/>
          </w:rPr>
          <w:t>et al</w:t>
        </w:r>
        <w:r w:rsidRPr="004D4CC9">
          <w:rPr>
            <w:rStyle w:val="Hyperlink"/>
            <w:rFonts w:eastAsiaTheme="majorEastAsia" w:cstheme="minorHAnsi"/>
            <w:b/>
            <w:bCs/>
            <w:color w:val="000000"/>
          </w:rPr>
          <w:t>. 1999</w:t>
        </w:r>
      </w:hyperlink>
      <w:r w:rsidRPr="004D4CC9">
        <w:rPr>
          <w:rFonts w:cstheme="minorHAnsi"/>
        </w:rPr>
        <w:t>), and suggests that each process can be understood in the absence of the other.</w:t>
      </w:r>
    </w:p>
    <w:p w14:paraId="343F62B8" w14:textId="77777777" w:rsidR="00B30EF0" w:rsidRPr="004D4CC9" w:rsidRDefault="00B30EF0" w:rsidP="00ED48B7">
      <w:pPr>
        <w:rPr>
          <w:rFonts w:cstheme="minorHAnsi"/>
        </w:rPr>
      </w:pPr>
      <w:r w:rsidRPr="004D4CC9">
        <w:rPr>
          <w:rFonts w:cstheme="minorHAnsi"/>
        </w:rPr>
        <w:t>One way to conceptualize the limits on oak recruitment is as a series of independent environmental filters. Relatively few acorns disperse distant from trees (</w:t>
      </w:r>
      <w:hyperlink r:id="rId180" w:anchor="b10" w:history="1">
        <w:r w:rsidRPr="004D4CC9">
          <w:rPr>
            <w:rStyle w:val="Hyperlink"/>
            <w:rFonts w:eastAsiaTheme="majorEastAsia" w:cstheme="minorHAnsi"/>
            <w:b/>
            <w:bCs/>
            <w:color w:val="000000"/>
          </w:rPr>
          <w:t>Weltzin &amp; McPherson 1999</w:t>
        </w:r>
      </w:hyperlink>
      <w:r w:rsidRPr="004D4CC9">
        <w:rPr>
          <w:rFonts w:cstheme="minorHAnsi"/>
        </w:rPr>
        <w:t>). Our results suggest that these few are at a significant disadvantage in terms of mycorrhizal infection, nutrient uptake and survival. In addition, all oak seedlings, regardless of distance from trees, must successfully compete with herbaceous vegetation. The slow woody encroachment of oaks into old‐fields and savannas is likely to be the result of the combined effects of these environmental filters.</w:t>
      </w:r>
    </w:p>
    <w:p w14:paraId="7EBB0DA6" w14:textId="77777777" w:rsidR="00B30EF0" w:rsidRPr="004D4CC9" w:rsidRDefault="00B30EF0" w:rsidP="00ED48B7">
      <w:pPr>
        <w:pStyle w:val="Heading1"/>
        <w:rPr>
          <w:rFonts w:asciiTheme="minorHAnsi" w:hAnsiTheme="minorHAnsi" w:cstheme="minorHAnsi"/>
        </w:rPr>
      </w:pPr>
      <w:r w:rsidRPr="004D4CC9">
        <w:rPr>
          <w:rFonts w:asciiTheme="minorHAnsi" w:hAnsiTheme="minorHAnsi" w:cstheme="minorHAnsi"/>
        </w:rPr>
        <w:t>Acknowledgements</w:t>
      </w:r>
    </w:p>
    <w:p w14:paraId="69078D37" w14:textId="77777777" w:rsidR="00B30EF0" w:rsidRPr="004D4CC9" w:rsidRDefault="00B30EF0" w:rsidP="00ED48B7">
      <w:pPr>
        <w:rPr>
          <w:rFonts w:cstheme="minorHAnsi"/>
        </w:rPr>
      </w:pPr>
      <w:r w:rsidRPr="004D4CC9">
        <w:rPr>
          <w:rFonts w:cstheme="minorHAnsi"/>
        </w:rPr>
        <w:t>A large number of research interns contributed to this experiment; we specifically thank A. Gunderson, M. Goldstein and R. Guza, who took leadership roles as interns on this project. J. Trost, S. Barrott and C. Buschena provided key technical support. Vital help with statistical analysis was given by G. Forrester and S. Richardson. R. Allen, M. Davis, D. Peltzer, F. Gilliam and two reviewers provided helpful comments. The US National Science Foundation LTER program funded this research (NSF/DEB 0080382). I.A.D. was also supported by funds from the Foundation for Research, Science and Technology (FRST, NSOF) of New Zealand during the analysis and writing stage of this research.</w:t>
      </w:r>
    </w:p>
    <w:p w14:paraId="19FB91DB" w14:textId="77777777" w:rsidR="0097276F" w:rsidRPr="004D4CC9" w:rsidRDefault="0097276F" w:rsidP="0097276F">
      <w:pPr>
        <w:pStyle w:val="Heading1"/>
        <w:rPr>
          <w:rFonts w:asciiTheme="minorHAnsi" w:hAnsiTheme="minorHAnsi" w:cstheme="minorHAnsi"/>
        </w:rPr>
      </w:pPr>
      <w:r w:rsidRPr="004D4CC9">
        <w:rPr>
          <w:rFonts w:asciiTheme="minorHAnsi" w:hAnsiTheme="minorHAnsi" w:cstheme="minorHAnsi"/>
        </w:rPr>
        <w:t>References</w:t>
      </w:r>
    </w:p>
    <w:p w14:paraId="63172CDD" w14:textId="77777777" w:rsidR="0097276F" w:rsidRPr="007C5EEF" w:rsidRDefault="0097276F" w:rsidP="007C5EEF">
      <w:pPr>
        <w:pStyle w:val="NoSpacing"/>
        <w:ind w:left="720" w:hanging="720"/>
      </w:pPr>
      <w:r w:rsidRPr="007C5EEF">
        <w:t>Anderson, L.J., Brumbaugh, M.S. &amp; Jackson, R.B. (2001) Water and tree–understory interactions: a natural experiment in a savanna with oak wilt. </w:t>
      </w:r>
      <w:r w:rsidRPr="007C5EEF">
        <w:rPr>
          <w:i/>
          <w:iCs/>
        </w:rPr>
        <w:t>Ecology</w:t>
      </w:r>
      <w:r w:rsidRPr="007C5EEF">
        <w:t>, </w:t>
      </w:r>
      <w:r w:rsidRPr="007C5EEF">
        <w:rPr>
          <w:b/>
          <w:bCs/>
        </w:rPr>
        <w:t>82</w:t>
      </w:r>
      <w:r w:rsidRPr="007C5EEF">
        <w:t>, 33– 49.</w:t>
      </w:r>
    </w:p>
    <w:p w14:paraId="0BB7F07D" w14:textId="77777777" w:rsidR="0097276F" w:rsidRPr="007C5EEF" w:rsidRDefault="0097276F" w:rsidP="007C5EEF">
      <w:pPr>
        <w:pStyle w:val="NoSpacing"/>
        <w:ind w:left="720" w:hanging="720"/>
      </w:pPr>
      <w:r w:rsidRPr="007C5EEF">
        <w:t>Baylis, G.T.S. (1980) Mycorrhizas and the spread of beech. </w:t>
      </w:r>
      <w:r w:rsidRPr="007C5EEF">
        <w:rPr>
          <w:i/>
          <w:iCs/>
        </w:rPr>
        <w:t>New Zealand Journal of Ecology</w:t>
      </w:r>
      <w:r w:rsidRPr="007C5EEF">
        <w:t>, </w:t>
      </w:r>
      <w:r w:rsidRPr="007C5EEF">
        <w:rPr>
          <w:b/>
          <w:bCs/>
        </w:rPr>
        <w:t>3</w:t>
      </w:r>
      <w:r w:rsidRPr="007C5EEF">
        <w:t>, 151– 153.</w:t>
      </w:r>
    </w:p>
    <w:p w14:paraId="2FABBA96" w14:textId="77777777" w:rsidR="0097276F" w:rsidRPr="007C5EEF" w:rsidRDefault="0097276F" w:rsidP="007C5EEF">
      <w:pPr>
        <w:pStyle w:val="NoSpacing"/>
        <w:ind w:left="720" w:hanging="720"/>
      </w:pPr>
      <w:r w:rsidRPr="007C5EEF">
        <w:t>Callaway, R.M., Brooker, R.W., Choler, P., Kikvidze, Z., Lortie, C.J., Michalet, R. </w:t>
      </w:r>
      <w:r w:rsidRPr="007C5EEF">
        <w:rPr>
          <w:i/>
          <w:iCs/>
        </w:rPr>
        <w:t>et al.</w:t>
      </w:r>
      <w:r w:rsidRPr="007C5EEF">
        <w:t> (2002) Positive interactions among alpine plants increase with stress. </w:t>
      </w:r>
      <w:r w:rsidRPr="007C5EEF">
        <w:rPr>
          <w:i/>
          <w:iCs/>
        </w:rPr>
        <w:t>Nature</w:t>
      </w:r>
      <w:r w:rsidRPr="007C5EEF">
        <w:t>, </w:t>
      </w:r>
      <w:r w:rsidRPr="007C5EEF">
        <w:rPr>
          <w:b/>
          <w:bCs/>
        </w:rPr>
        <w:t>417</w:t>
      </w:r>
      <w:r w:rsidRPr="007C5EEF">
        <w:t>, 844– 848.</w:t>
      </w:r>
    </w:p>
    <w:p w14:paraId="2FD37078" w14:textId="77777777" w:rsidR="0097276F" w:rsidRPr="007C5EEF" w:rsidRDefault="0097276F" w:rsidP="007C5EEF">
      <w:pPr>
        <w:pStyle w:val="NoSpacing"/>
        <w:ind w:left="720" w:hanging="720"/>
      </w:pPr>
      <w:r w:rsidRPr="007C5EEF">
        <w:t>Chapela, I.H., Osher, L.J., Horton, T.R. &amp; Henn, M.R. (2001) Ectomycorrhizal fungi introduced with exotic pine plantations induce soil carbon depletion. </w:t>
      </w:r>
      <w:r w:rsidRPr="007C5EEF">
        <w:rPr>
          <w:i/>
          <w:iCs/>
        </w:rPr>
        <w:t>Soil Biology and Biochemistry</w:t>
      </w:r>
      <w:r w:rsidRPr="007C5EEF">
        <w:t>, </w:t>
      </w:r>
      <w:r w:rsidRPr="007C5EEF">
        <w:rPr>
          <w:b/>
          <w:bCs/>
        </w:rPr>
        <w:t>33</w:t>
      </w:r>
      <w:r w:rsidRPr="007C5EEF">
        <w:t>, 1733– 1740.</w:t>
      </w:r>
    </w:p>
    <w:p w14:paraId="3CEFE409" w14:textId="6EBF76C9" w:rsidR="0097276F" w:rsidRPr="007C5EEF" w:rsidRDefault="0097276F" w:rsidP="007C5EEF">
      <w:pPr>
        <w:pStyle w:val="NoSpacing"/>
        <w:ind w:left="720" w:hanging="720"/>
      </w:pPr>
      <w:r w:rsidRPr="007C5EEF">
        <w:t>Clinton, P.W. &amp; Mead, D.J. (1994) Competition for nitrogen between </w:t>
      </w:r>
      <w:r w:rsidRPr="007C5EEF">
        <w:rPr>
          <w:i/>
          <w:iCs/>
        </w:rPr>
        <w:t>Pinus radiata</w:t>
      </w:r>
      <w:r w:rsidRPr="007C5EEF">
        <w:t> and pasture. 2. Trends in plant and soil processes. </w:t>
      </w:r>
      <w:r w:rsidRPr="007C5EEF">
        <w:rPr>
          <w:i/>
          <w:iCs/>
        </w:rPr>
        <w:t>Canadian Journal of Forest Research</w:t>
      </w:r>
      <w:r w:rsidRPr="007C5EEF">
        <w:t>, </w:t>
      </w:r>
      <w:r w:rsidRPr="007C5EEF">
        <w:rPr>
          <w:b/>
          <w:bCs/>
        </w:rPr>
        <w:t>24</w:t>
      </w:r>
      <w:r w:rsidRPr="007C5EEF">
        <w:t>, 889– 896.</w:t>
      </w:r>
    </w:p>
    <w:p w14:paraId="19265E1B" w14:textId="77777777" w:rsidR="0097276F" w:rsidRPr="007C5EEF" w:rsidRDefault="0097276F" w:rsidP="007C5EEF">
      <w:pPr>
        <w:pStyle w:val="NoSpacing"/>
        <w:ind w:left="720" w:hanging="720"/>
      </w:pPr>
      <w:r w:rsidRPr="007C5EEF">
        <w:t>Connell, J.H. (1970) Diversity in tropical rain forests and coral reefs. </w:t>
      </w:r>
      <w:r w:rsidRPr="007C5EEF">
        <w:rPr>
          <w:i/>
          <w:iCs/>
        </w:rPr>
        <w:t>Science</w:t>
      </w:r>
      <w:r w:rsidRPr="007C5EEF">
        <w:t>, </w:t>
      </w:r>
      <w:r w:rsidRPr="007C5EEF">
        <w:rPr>
          <w:b/>
          <w:bCs/>
        </w:rPr>
        <w:t>199</w:t>
      </w:r>
      <w:r w:rsidRPr="007C5EEF">
        <w:t>, 1302– 1309.</w:t>
      </w:r>
    </w:p>
    <w:p w14:paraId="24DE4739" w14:textId="77777777" w:rsidR="0097276F" w:rsidRPr="007C5EEF" w:rsidRDefault="0097276F" w:rsidP="007C5EEF">
      <w:pPr>
        <w:pStyle w:val="NoSpacing"/>
        <w:ind w:left="720" w:hanging="720"/>
      </w:pPr>
      <w:r w:rsidRPr="007C5EEF">
        <w:t>Coomes, D.A. &amp; Grubb, P.J. (2000) Impacts of root competition in forests and woodlands: a theoretical framework and review of experiments. </w:t>
      </w:r>
      <w:r w:rsidRPr="007C5EEF">
        <w:rPr>
          <w:i/>
          <w:iCs/>
        </w:rPr>
        <w:t>Ecological Monographs</w:t>
      </w:r>
      <w:r w:rsidRPr="007C5EEF">
        <w:t>, </w:t>
      </w:r>
      <w:r w:rsidRPr="007C5EEF">
        <w:rPr>
          <w:b/>
          <w:bCs/>
        </w:rPr>
        <w:t>70</w:t>
      </w:r>
      <w:r w:rsidRPr="007C5EEF">
        <w:t>, 171– 207.</w:t>
      </w:r>
    </w:p>
    <w:p w14:paraId="21A202B6" w14:textId="77777777" w:rsidR="0097276F" w:rsidRPr="007C5EEF" w:rsidRDefault="0097276F" w:rsidP="007C5EEF">
      <w:pPr>
        <w:pStyle w:val="NoSpacing"/>
        <w:ind w:left="720" w:hanging="720"/>
      </w:pPr>
      <w:r w:rsidRPr="007C5EEF">
        <w:t>Corrêa, A., Strasser, R.J. &amp; Martins‐Loução, M.A. (2006) Are mycorrhiza always beneficial? </w:t>
      </w:r>
      <w:r w:rsidRPr="007C5EEF">
        <w:rPr>
          <w:i/>
          <w:iCs/>
        </w:rPr>
        <w:t>Plant and Soil</w:t>
      </w:r>
      <w:r w:rsidRPr="007C5EEF">
        <w:t>, </w:t>
      </w:r>
      <w:r w:rsidRPr="007C5EEF">
        <w:rPr>
          <w:b/>
          <w:bCs/>
        </w:rPr>
        <w:t>279</w:t>
      </w:r>
      <w:r w:rsidRPr="007C5EEF">
        <w:t>, 65– 73.</w:t>
      </w:r>
    </w:p>
    <w:p w14:paraId="6A8311EC" w14:textId="77777777" w:rsidR="0097276F" w:rsidRPr="007C5EEF" w:rsidRDefault="0097276F" w:rsidP="007C5EEF">
      <w:pPr>
        <w:pStyle w:val="NoSpacing"/>
        <w:ind w:left="720" w:hanging="720"/>
      </w:pPr>
      <w:r w:rsidRPr="007C5EEF">
        <w:t>Craine, J. (2005) Reconciling plant strategy theories of Grime and Tilman. </w:t>
      </w:r>
      <w:r w:rsidRPr="007C5EEF">
        <w:rPr>
          <w:i/>
          <w:iCs/>
        </w:rPr>
        <w:t>Journal of Ecology</w:t>
      </w:r>
      <w:r w:rsidRPr="007C5EEF">
        <w:t>, </w:t>
      </w:r>
      <w:r w:rsidRPr="007C5EEF">
        <w:rPr>
          <w:b/>
          <w:bCs/>
        </w:rPr>
        <w:t>93</w:t>
      </w:r>
      <w:r w:rsidRPr="007C5EEF">
        <w:t>, 1041– 1052.</w:t>
      </w:r>
    </w:p>
    <w:p w14:paraId="397F5378" w14:textId="77777777" w:rsidR="0097276F" w:rsidRPr="007C5EEF" w:rsidRDefault="0097276F" w:rsidP="007C5EEF">
      <w:pPr>
        <w:pStyle w:val="NoSpacing"/>
        <w:ind w:left="720" w:hanging="720"/>
      </w:pPr>
      <w:r w:rsidRPr="007C5EEF">
        <w:t>Crawley, M.J. (2002) </w:t>
      </w:r>
      <w:r w:rsidRPr="007C5EEF">
        <w:rPr>
          <w:i/>
          <w:iCs/>
        </w:rPr>
        <w:t xml:space="preserve">Statistical Computing: </w:t>
      </w:r>
      <w:proofErr w:type="gramStart"/>
      <w:r w:rsidRPr="007C5EEF">
        <w:rPr>
          <w:i/>
          <w:iCs/>
        </w:rPr>
        <w:t>an</w:t>
      </w:r>
      <w:proofErr w:type="gramEnd"/>
      <w:r w:rsidRPr="007C5EEF">
        <w:rPr>
          <w:i/>
          <w:iCs/>
        </w:rPr>
        <w:t xml:space="preserve"> Introduction to Data Analysis Using S‐Plus</w:t>
      </w:r>
      <w:r w:rsidRPr="007C5EEF">
        <w:t>. John Wiley, Chichester.</w:t>
      </w:r>
    </w:p>
    <w:p w14:paraId="1990129F" w14:textId="77777777" w:rsidR="0097276F" w:rsidRPr="007C5EEF" w:rsidRDefault="0097276F" w:rsidP="007C5EEF">
      <w:pPr>
        <w:pStyle w:val="NoSpacing"/>
        <w:ind w:left="720" w:hanging="720"/>
      </w:pPr>
      <w:r w:rsidRPr="007C5EEF">
        <w:t>Davis, M.A., Bier, L., Bushelle, E., Diegel, C., Johnson, A. &amp; Kujala, B. (2005) Non‐indigenous grasses impede woody succession. </w:t>
      </w:r>
      <w:r w:rsidRPr="007C5EEF">
        <w:rPr>
          <w:i/>
          <w:iCs/>
        </w:rPr>
        <w:t>Plant Ecology</w:t>
      </w:r>
      <w:r w:rsidRPr="007C5EEF">
        <w:t>, </w:t>
      </w:r>
      <w:r w:rsidRPr="007C5EEF">
        <w:rPr>
          <w:b/>
          <w:bCs/>
        </w:rPr>
        <w:t>178</w:t>
      </w:r>
      <w:r w:rsidRPr="007C5EEF">
        <w:t>, 249– 264.</w:t>
      </w:r>
    </w:p>
    <w:p w14:paraId="436DC492" w14:textId="77777777" w:rsidR="0097276F" w:rsidRPr="007C5EEF" w:rsidRDefault="0097276F" w:rsidP="007C5EEF">
      <w:pPr>
        <w:pStyle w:val="NoSpacing"/>
        <w:ind w:left="720" w:hanging="720"/>
      </w:pPr>
      <w:r w:rsidRPr="007C5EEF">
        <w:t>Davis, M.A., Wrage, K.J., Reich, P.B., Tjoelker, M.G., Schaeffer, T. &amp; Muermann, C. (1999) Survival, growth, and photosynthesis of tree seedlings competing with herbaceous vegetation along a water‐light‐nitrogen gradient. </w:t>
      </w:r>
      <w:r w:rsidRPr="007C5EEF">
        <w:rPr>
          <w:i/>
          <w:iCs/>
        </w:rPr>
        <w:t>Plant Ecology</w:t>
      </w:r>
      <w:r w:rsidRPr="007C5EEF">
        <w:t>, </w:t>
      </w:r>
      <w:r w:rsidRPr="007C5EEF">
        <w:rPr>
          <w:b/>
          <w:bCs/>
        </w:rPr>
        <w:t>145</w:t>
      </w:r>
      <w:r w:rsidRPr="007C5EEF">
        <w:t>, 341– 350.</w:t>
      </w:r>
    </w:p>
    <w:p w14:paraId="5470893D" w14:textId="77777777" w:rsidR="0097276F" w:rsidRPr="007C5EEF" w:rsidRDefault="0097276F" w:rsidP="007C5EEF">
      <w:pPr>
        <w:pStyle w:val="NoSpacing"/>
        <w:ind w:left="720" w:hanging="720"/>
      </w:pPr>
      <w:r w:rsidRPr="007C5EEF">
        <w:t>Dickie, I.A., Koide, R.T. &amp; Steiner, K.C. (2002) Influences of established trees on mycorrhizas, nutrition, and growth of </w:t>
      </w:r>
      <w:r w:rsidRPr="007C5EEF">
        <w:rPr>
          <w:i/>
          <w:iCs/>
        </w:rPr>
        <w:t>Quercus rubra</w:t>
      </w:r>
      <w:r w:rsidRPr="007C5EEF">
        <w:t> seedlings. </w:t>
      </w:r>
      <w:r w:rsidRPr="007C5EEF">
        <w:rPr>
          <w:i/>
          <w:iCs/>
        </w:rPr>
        <w:t>Ecological Monographs</w:t>
      </w:r>
      <w:r w:rsidRPr="007C5EEF">
        <w:t>, </w:t>
      </w:r>
      <w:r w:rsidRPr="007C5EEF">
        <w:rPr>
          <w:b/>
          <w:bCs/>
        </w:rPr>
        <w:t>72</w:t>
      </w:r>
      <w:r w:rsidRPr="007C5EEF">
        <w:t>, 505– 521.</w:t>
      </w:r>
    </w:p>
    <w:p w14:paraId="4F1EDE95" w14:textId="77777777" w:rsidR="0097276F" w:rsidRPr="007C5EEF" w:rsidRDefault="0097276F" w:rsidP="007C5EEF">
      <w:pPr>
        <w:pStyle w:val="NoSpacing"/>
        <w:ind w:left="720" w:hanging="720"/>
      </w:pPr>
      <w:r w:rsidRPr="007C5EEF">
        <w:t>Dickie, I.A. &amp; Reich, P.B. (2005) Ectomycorrhizal fungal communities at forest edges. </w:t>
      </w:r>
      <w:r w:rsidRPr="007C5EEF">
        <w:rPr>
          <w:i/>
          <w:iCs/>
        </w:rPr>
        <w:t>Journal of Ecology</w:t>
      </w:r>
      <w:r w:rsidRPr="007C5EEF">
        <w:t>, </w:t>
      </w:r>
      <w:r w:rsidRPr="007C5EEF">
        <w:rPr>
          <w:b/>
          <w:bCs/>
        </w:rPr>
        <w:t>93</w:t>
      </w:r>
      <w:r w:rsidRPr="007C5EEF">
        <w:t>, 244– 255.</w:t>
      </w:r>
    </w:p>
    <w:p w14:paraId="3E4A7A6B" w14:textId="77777777" w:rsidR="0097276F" w:rsidRPr="007C5EEF" w:rsidRDefault="0097276F" w:rsidP="007C5EEF">
      <w:pPr>
        <w:pStyle w:val="NoSpacing"/>
        <w:ind w:left="720" w:hanging="720"/>
      </w:pPr>
      <w:r w:rsidRPr="007C5EEF">
        <w:t>Dickie, I.A., Schnitzer, S.A., Reich, P.B. &amp; Hobbie, S.E. (2005) Spatially disjunct effects of co‐occurring competition and facilitation. </w:t>
      </w:r>
      <w:r w:rsidRPr="007C5EEF">
        <w:rPr>
          <w:i/>
          <w:iCs/>
        </w:rPr>
        <w:t>Ecology Letters</w:t>
      </w:r>
      <w:r w:rsidRPr="007C5EEF">
        <w:t>, </w:t>
      </w:r>
      <w:r w:rsidRPr="007C5EEF">
        <w:rPr>
          <w:b/>
          <w:bCs/>
        </w:rPr>
        <w:t>8</w:t>
      </w:r>
      <w:r w:rsidRPr="007C5EEF">
        <w:t>, 1191– 1200.</w:t>
      </w:r>
    </w:p>
    <w:p w14:paraId="25BB9E73" w14:textId="77777777" w:rsidR="0097276F" w:rsidRPr="007C5EEF" w:rsidRDefault="0097276F" w:rsidP="007C5EEF">
      <w:pPr>
        <w:pStyle w:val="NoSpacing"/>
        <w:ind w:left="720" w:hanging="720"/>
      </w:pPr>
      <w:r w:rsidRPr="007C5EEF">
        <w:t>Dijkstra, F.S., Wrage, K., Hobbie, S.E. &amp; Reich, P.B. (2006) Tree patches show greater N losses but maintain higher soil N availability than grassland patches in a frequently burned oak savanna. </w:t>
      </w:r>
      <w:r w:rsidRPr="007C5EEF">
        <w:rPr>
          <w:i/>
          <w:iCs/>
        </w:rPr>
        <w:t>Ecosystems</w:t>
      </w:r>
      <w:r w:rsidRPr="007C5EEF">
        <w:t>, </w:t>
      </w:r>
      <w:r w:rsidRPr="007C5EEF">
        <w:rPr>
          <w:b/>
          <w:bCs/>
        </w:rPr>
        <w:t>9</w:t>
      </w:r>
      <w:r w:rsidRPr="007C5EEF">
        <w:t>, 441– 452.</w:t>
      </w:r>
    </w:p>
    <w:p w14:paraId="70DD7CD0" w14:textId="77777777" w:rsidR="0097276F" w:rsidRPr="007C5EEF" w:rsidRDefault="0097276F" w:rsidP="007C5EEF">
      <w:pPr>
        <w:pStyle w:val="NoSpacing"/>
        <w:ind w:left="720" w:hanging="720"/>
      </w:pPr>
      <w:r w:rsidRPr="007C5EEF">
        <w:t>Ehrenfeld, J.G., Ravit, B. &amp; Elgersma, K. (2005) Feedback in the plant–soil system. </w:t>
      </w:r>
      <w:r w:rsidRPr="007C5EEF">
        <w:rPr>
          <w:i/>
          <w:iCs/>
        </w:rPr>
        <w:t>Annual Review of Environment and Resources</w:t>
      </w:r>
      <w:r w:rsidRPr="007C5EEF">
        <w:t>, </w:t>
      </w:r>
      <w:r w:rsidRPr="007C5EEF">
        <w:rPr>
          <w:b/>
          <w:bCs/>
        </w:rPr>
        <w:t>30</w:t>
      </w:r>
      <w:r w:rsidRPr="007C5EEF">
        <w:t>, 75– 115.</w:t>
      </w:r>
    </w:p>
    <w:p w14:paraId="2AA35EA6" w14:textId="77777777" w:rsidR="0097276F" w:rsidRPr="007C5EEF" w:rsidRDefault="0097276F" w:rsidP="007C5EEF">
      <w:pPr>
        <w:pStyle w:val="NoSpacing"/>
        <w:ind w:left="720" w:hanging="720"/>
      </w:pPr>
      <w:r w:rsidRPr="007C5EEF">
        <w:t>Grigal, D.F., Chamberlain, L.M., Finney, H.R., Wroblewski, D.V. &amp; Gross, E.R. (1974) Soils of the Cedar Creek Natural History Area. </w:t>
      </w:r>
      <w:r w:rsidRPr="007C5EEF">
        <w:rPr>
          <w:i/>
          <w:iCs/>
        </w:rPr>
        <w:t>University of Minnesota Agricultural Experiment Station Miscellaneous Report</w:t>
      </w:r>
      <w:r w:rsidRPr="007C5EEF">
        <w:t>, </w:t>
      </w:r>
      <w:r w:rsidRPr="007C5EEF">
        <w:rPr>
          <w:b/>
          <w:bCs/>
        </w:rPr>
        <w:t>123</w:t>
      </w:r>
      <w:r w:rsidRPr="007C5EEF">
        <w:t>, 1– 48.</w:t>
      </w:r>
    </w:p>
    <w:p w14:paraId="45EBECB5" w14:textId="77777777" w:rsidR="0097276F" w:rsidRPr="007C5EEF" w:rsidRDefault="0097276F" w:rsidP="007C5EEF">
      <w:pPr>
        <w:pStyle w:val="NoSpacing"/>
        <w:ind w:left="720" w:hanging="720"/>
      </w:pPr>
      <w:r w:rsidRPr="007C5EEF">
        <w:t>Haskins, K.E. &amp; Gehring, C.A. (2005) Evidence for mutualist limitation: the impacts of conspecific density on the mycorrhizal inoculum potential of woodland soils. </w:t>
      </w:r>
      <w:r w:rsidRPr="007C5EEF">
        <w:rPr>
          <w:i/>
          <w:iCs/>
        </w:rPr>
        <w:t>Oecologia</w:t>
      </w:r>
      <w:r w:rsidRPr="007C5EEF">
        <w:t>, </w:t>
      </w:r>
      <w:r w:rsidRPr="007C5EEF">
        <w:rPr>
          <w:b/>
          <w:bCs/>
        </w:rPr>
        <w:t>145</w:t>
      </w:r>
      <w:r w:rsidRPr="007C5EEF">
        <w:t>, 123– 131.</w:t>
      </w:r>
    </w:p>
    <w:p w14:paraId="0C5439B5" w14:textId="77777777" w:rsidR="0097276F" w:rsidRPr="007C5EEF" w:rsidRDefault="0097276F" w:rsidP="007C5EEF">
      <w:pPr>
        <w:pStyle w:val="NoSpacing"/>
        <w:ind w:left="720" w:hanging="720"/>
      </w:pPr>
      <w:r w:rsidRPr="007C5EEF">
        <w:t>Hobbie, S.E. (2005) Contrasting effects of substrate and fertilizer nitrogen on the early stages of litter decomposition. </w:t>
      </w:r>
      <w:r w:rsidRPr="007C5EEF">
        <w:rPr>
          <w:i/>
          <w:iCs/>
        </w:rPr>
        <w:t>Ecosystems</w:t>
      </w:r>
      <w:r w:rsidRPr="007C5EEF">
        <w:t>, </w:t>
      </w:r>
      <w:r w:rsidRPr="007C5EEF">
        <w:rPr>
          <w:b/>
          <w:bCs/>
        </w:rPr>
        <w:t>8</w:t>
      </w:r>
      <w:r w:rsidRPr="007C5EEF">
        <w:t>, 644– 656.</w:t>
      </w:r>
    </w:p>
    <w:p w14:paraId="477675B0" w14:textId="77777777" w:rsidR="0097276F" w:rsidRPr="007C5EEF" w:rsidRDefault="0097276F" w:rsidP="007C5EEF">
      <w:pPr>
        <w:pStyle w:val="NoSpacing"/>
        <w:ind w:left="720" w:hanging="720"/>
      </w:pPr>
      <w:r w:rsidRPr="007C5EEF">
        <w:t>Hooper, E., Legendre, P. &amp; Condit, R. (2005) Barriers to forest regeneration of deforested and abandoned land in Panama. </w:t>
      </w:r>
      <w:r w:rsidRPr="007C5EEF">
        <w:rPr>
          <w:i/>
          <w:iCs/>
        </w:rPr>
        <w:t>Journal of Applied Ecology</w:t>
      </w:r>
      <w:r w:rsidRPr="007C5EEF">
        <w:t>, </w:t>
      </w:r>
      <w:r w:rsidRPr="007C5EEF">
        <w:rPr>
          <w:b/>
          <w:bCs/>
        </w:rPr>
        <w:t>42</w:t>
      </w:r>
      <w:r w:rsidRPr="007C5EEF">
        <w:t>, 1165– 1174.</w:t>
      </w:r>
    </w:p>
    <w:p w14:paraId="277F67BE" w14:textId="77777777" w:rsidR="0097276F" w:rsidRPr="007C5EEF" w:rsidRDefault="0097276F" w:rsidP="007C5EEF">
      <w:pPr>
        <w:pStyle w:val="NoSpacing"/>
        <w:ind w:left="720" w:hanging="720"/>
      </w:pPr>
      <w:r w:rsidRPr="007C5EEF">
        <w:t>Inouye, R.S., Allison, T.D. &amp; Johnson, N.C. (1994) Old field succession on a Minnesota sand plain: effects of deer and other factors on invasion by trees. </w:t>
      </w:r>
      <w:r w:rsidRPr="007C5EEF">
        <w:rPr>
          <w:i/>
          <w:iCs/>
        </w:rPr>
        <w:t>Bulletin of the Torrey Botanical Club</w:t>
      </w:r>
      <w:r w:rsidRPr="007C5EEF">
        <w:t>, </w:t>
      </w:r>
      <w:r w:rsidRPr="007C5EEF">
        <w:rPr>
          <w:b/>
          <w:bCs/>
        </w:rPr>
        <w:t>121</w:t>
      </w:r>
      <w:r w:rsidRPr="007C5EEF">
        <w:t>, 266– 276.</w:t>
      </w:r>
    </w:p>
    <w:p w14:paraId="01ACCFCC" w14:textId="77777777" w:rsidR="0097276F" w:rsidRPr="007C5EEF" w:rsidRDefault="0097276F" w:rsidP="007C5EEF">
      <w:pPr>
        <w:pStyle w:val="NoSpacing"/>
        <w:ind w:left="720" w:hanging="720"/>
      </w:pPr>
      <w:r w:rsidRPr="007C5EEF">
        <w:t>Jackson, R.B., Banner, J.L., Jobbagy, E.G., Pockman, W.T. &amp; Wall, D.H. (2002) Ecosystem carbon loss with woody plant invasion of grasslands. </w:t>
      </w:r>
      <w:r w:rsidRPr="007C5EEF">
        <w:rPr>
          <w:i/>
          <w:iCs/>
        </w:rPr>
        <w:t>Nature</w:t>
      </w:r>
      <w:r w:rsidRPr="007C5EEF">
        <w:t>, </w:t>
      </w:r>
      <w:r w:rsidRPr="007C5EEF">
        <w:rPr>
          <w:b/>
          <w:bCs/>
        </w:rPr>
        <w:t>418</w:t>
      </w:r>
      <w:r w:rsidRPr="007C5EEF">
        <w:t>, 623– 626.</w:t>
      </w:r>
    </w:p>
    <w:p w14:paraId="39EEC2F2" w14:textId="77777777" w:rsidR="0097276F" w:rsidRPr="007C5EEF" w:rsidRDefault="0097276F" w:rsidP="007C5EEF">
      <w:pPr>
        <w:pStyle w:val="NoSpacing"/>
        <w:ind w:left="720" w:hanging="720"/>
      </w:pPr>
      <w:r w:rsidRPr="007C5EEF">
        <w:t>Janzen, D.H. (1970) Herbivores and the number of tree species in tropical forests. </w:t>
      </w:r>
      <w:r w:rsidRPr="007C5EEF">
        <w:rPr>
          <w:i/>
          <w:iCs/>
        </w:rPr>
        <w:t>American Naturalist</w:t>
      </w:r>
      <w:r w:rsidRPr="007C5EEF">
        <w:t>, </w:t>
      </w:r>
      <w:r w:rsidRPr="007C5EEF">
        <w:rPr>
          <w:b/>
          <w:bCs/>
        </w:rPr>
        <w:t>104</w:t>
      </w:r>
      <w:r w:rsidRPr="007C5EEF">
        <w:t>, 501– 528.</w:t>
      </w:r>
    </w:p>
    <w:p w14:paraId="46E2AE91" w14:textId="77777777" w:rsidR="0097276F" w:rsidRPr="007C5EEF" w:rsidRDefault="0097276F" w:rsidP="007C5EEF">
      <w:pPr>
        <w:pStyle w:val="NoSpacing"/>
        <w:ind w:left="720" w:hanging="720"/>
      </w:pPr>
      <w:r w:rsidRPr="007C5EEF">
        <w:t>Ko, L.J. &amp; Reich, P.B. (1993) Oak tree effects on soil and herbaceous vegetation in savannas and pastures in Wisconsin. </w:t>
      </w:r>
      <w:r w:rsidRPr="007C5EEF">
        <w:rPr>
          <w:i/>
          <w:iCs/>
        </w:rPr>
        <w:t>American Midland Naturalist</w:t>
      </w:r>
      <w:r w:rsidRPr="007C5EEF">
        <w:t>, </w:t>
      </w:r>
      <w:r w:rsidRPr="007C5EEF">
        <w:rPr>
          <w:b/>
          <w:bCs/>
        </w:rPr>
        <w:t>130</w:t>
      </w:r>
      <w:r w:rsidRPr="007C5EEF">
        <w:t>, 31– 42.</w:t>
      </w:r>
    </w:p>
    <w:p w14:paraId="6FFBBA63" w14:textId="77777777" w:rsidR="0097276F" w:rsidRPr="007C5EEF" w:rsidRDefault="0097276F" w:rsidP="007C5EEF">
      <w:pPr>
        <w:pStyle w:val="NoSpacing"/>
        <w:ind w:left="720" w:hanging="720"/>
      </w:pPr>
      <w:r w:rsidRPr="007C5EEF">
        <w:t xml:space="preserve">Lawson, D., Inouye, R.S., Huntly, N. &amp; Carson, W.P. (1999) Patterns of woody plant abundance, recruitment, mortality, and growth in a </w:t>
      </w:r>
      <w:proofErr w:type="gramStart"/>
      <w:r w:rsidRPr="007C5EEF">
        <w:t>65 year</w:t>
      </w:r>
      <w:proofErr w:type="gramEnd"/>
      <w:r w:rsidRPr="007C5EEF">
        <w:t xml:space="preserve"> chronosequence of old‐fields. </w:t>
      </w:r>
      <w:r w:rsidRPr="007C5EEF">
        <w:rPr>
          <w:i/>
          <w:iCs/>
        </w:rPr>
        <w:t>Plant Ecology</w:t>
      </w:r>
      <w:r w:rsidRPr="007C5EEF">
        <w:t>, </w:t>
      </w:r>
      <w:r w:rsidRPr="007C5EEF">
        <w:rPr>
          <w:b/>
          <w:bCs/>
        </w:rPr>
        <w:t>145</w:t>
      </w:r>
      <w:r w:rsidRPr="007C5EEF">
        <w:t>, 267– 279.</w:t>
      </w:r>
    </w:p>
    <w:p w14:paraId="1D5BDFD5" w14:textId="77777777" w:rsidR="0097276F" w:rsidRPr="007C5EEF" w:rsidRDefault="0097276F" w:rsidP="007C5EEF">
      <w:pPr>
        <w:pStyle w:val="NoSpacing"/>
        <w:ind w:left="720" w:hanging="720"/>
      </w:pPr>
      <w:r w:rsidRPr="007C5EEF">
        <w:t>Lortie, C.J. &amp; Callaway, R. (2006) Re‐analysis of meta‐analysis: support for the stress‐gradient hypothesis. </w:t>
      </w:r>
      <w:r w:rsidRPr="007C5EEF">
        <w:rPr>
          <w:i/>
          <w:iCs/>
        </w:rPr>
        <w:t>Journal of Ecology</w:t>
      </w:r>
      <w:r w:rsidRPr="007C5EEF">
        <w:t>, </w:t>
      </w:r>
      <w:r w:rsidRPr="007C5EEF">
        <w:rPr>
          <w:b/>
          <w:bCs/>
        </w:rPr>
        <w:t>94</w:t>
      </w:r>
      <w:r w:rsidRPr="007C5EEF">
        <w:t>, 7– 16.</w:t>
      </w:r>
    </w:p>
    <w:p w14:paraId="5BB03F53" w14:textId="77777777" w:rsidR="0097276F" w:rsidRPr="007C5EEF" w:rsidRDefault="0097276F" w:rsidP="007C5EEF">
      <w:pPr>
        <w:pStyle w:val="NoSpacing"/>
        <w:ind w:left="720" w:hanging="720"/>
      </w:pPr>
      <w:r w:rsidRPr="007C5EEF">
        <w:t>Maestre, F.T., Valladares, F. &amp; Reynolds, J.F. (2005) Is the change of plant–plant interactions with abiotic stress predictable? A meta‐analysis of field results in arid environments. </w:t>
      </w:r>
      <w:r w:rsidRPr="007C5EEF">
        <w:rPr>
          <w:i/>
          <w:iCs/>
        </w:rPr>
        <w:t>Journal of Ecology</w:t>
      </w:r>
      <w:r w:rsidRPr="007C5EEF">
        <w:t>, </w:t>
      </w:r>
      <w:r w:rsidRPr="007C5EEF">
        <w:rPr>
          <w:b/>
          <w:bCs/>
        </w:rPr>
        <w:t>93</w:t>
      </w:r>
      <w:r w:rsidRPr="007C5EEF">
        <w:t>, 748– 757.</w:t>
      </w:r>
    </w:p>
    <w:p w14:paraId="5278AE4C" w14:textId="77777777" w:rsidR="0097276F" w:rsidRPr="007C5EEF" w:rsidRDefault="0097276F" w:rsidP="007C5EEF">
      <w:pPr>
        <w:pStyle w:val="NoSpacing"/>
        <w:ind w:left="720" w:hanging="720"/>
      </w:pPr>
      <w:r w:rsidRPr="007C5EEF">
        <w:t>Maestre, F.T., Valladares, F. &amp; Reynolds, J.F. (2006) The stress‐gradient hypothesis does not fit all relationships between plant–plant interactions and abiotic stress: further insights from arid environments. </w:t>
      </w:r>
      <w:r w:rsidRPr="007C5EEF">
        <w:rPr>
          <w:i/>
          <w:iCs/>
        </w:rPr>
        <w:t>Journal of Ecology</w:t>
      </w:r>
      <w:r w:rsidRPr="007C5EEF">
        <w:t>, </w:t>
      </w:r>
      <w:r w:rsidRPr="007C5EEF">
        <w:rPr>
          <w:b/>
          <w:bCs/>
        </w:rPr>
        <w:t>94</w:t>
      </w:r>
      <w:r w:rsidRPr="007C5EEF">
        <w:t>, 17– 22.</w:t>
      </w:r>
    </w:p>
    <w:p w14:paraId="37227519" w14:textId="77777777" w:rsidR="0097276F" w:rsidRPr="007C5EEF" w:rsidRDefault="0097276F" w:rsidP="007C5EEF">
      <w:pPr>
        <w:pStyle w:val="NoSpacing"/>
        <w:ind w:left="720" w:hanging="720"/>
      </w:pPr>
      <w:r w:rsidRPr="007C5EEF">
        <w:t>McCulley, R.L., Archer, S.R., Boutton, T.W., Hons, F.M. &amp; Zuberer, D.A. (2004) Soil respiration and nutrient cycling in wooded communities developing in grasslands. </w:t>
      </w:r>
      <w:r w:rsidRPr="007C5EEF">
        <w:rPr>
          <w:i/>
          <w:iCs/>
        </w:rPr>
        <w:t>Ecology</w:t>
      </w:r>
      <w:r w:rsidRPr="007C5EEF">
        <w:t>, </w:t>
      </w:r>
      <w:r w:rsidRPr="007C5EEF">
        <w:rPr>
          <w:b/>
          <w:bCs/>
        </w:rPr>
        <w:t>85</w:t>
      </w:r>
      <w:r w:rsidRPr="007C5EEF">
        <w:t>, 2804– 2817.</w:t>
      </w:r>
    </w:p>
    <w:p w14:paraId="697EA3B3" w14:textId="77777777" w:rsidR="0097276F" w:rsidRPr="007C5EEF" w:rsidRDefault="0097276F" w:rsidP="007C5EEF">
      <w:pPr>
        <w:pStyle w:val="NoSpacing"/>
        <w:ind w:left="720" w:hanging="720"/>
      </w:pPr>
      <w:r w:rsidRPr="007C5EEF">
        <w:t>Nara, K. (2005) Ectomycorrhizal networks and seedling establishment during early primary succession. </w:t>
      </w:r>
      <w:r w:rsidRPr="007C5EEF">
        <w:rPr>
          <w:i/>
          <w:iCs/>
        </w:rPr>
        <w:t>New Phytologist</w:t>
      </w:r>
      <w:r w:rsidRPr="007C5EEF">
        <w:t>, </w:t>
      </w:r>
      <w:r w:rsidRPr="007C5EEF">
        <w:rPr>
          <w:b/>
          <w:bCs/>
        </w:rPr>
        <w:t>169</w:t>
      </w:r>
      <w:r w:rsidRPr="007C5EEF">
        <w:t>, 169– 178.</w:t>
      </w:r>
    </w:p>
    <w:p w14:paraId="518D4C24" w14:textId="77777777" w:rsidR="0097276F" w:rsidRPr="007C5EEF" w:rsidRDefault="0097276F" w:rsidP="007C5EEF">
      <w:pPr>
        <w:pStyle w:val="NoSpacing"/>
        <w:ind w:left="720" w:hanging="720"/>
      </w:pPr>
      <w:r w:rsidRPr="007C5EEF">
        <w:t>Nara, K. &amp; Hogetsu, T. (2004) Ectomycorrhizal fungi on established shrubs facilitate subsequent seedling establishment of successional plant species. </w:t>
      </w:r>
      <w:r w:rsidRPr="007C5EEF">
        <w:rPr>
          <w:i/>
          <w:iCs/>
        </w:rPr>
        <w:t>Ecology</w:t>
      </w:r>
      <w:r w:rsidRPr="007C5EEF">
        <w:t>, </w:t>
      </w:r>
      <w:r w:rsidRPr="007C5EEF">
        <w:rPr>
          <w:b/>
          <w:bCs/>
        </w:rPr>
        <w:t>85</w:t>
      </w:r>
      <w:r w:rsidRPr="007C5EEF">
        <w:t>, 1700– 1707.</w:t>
      </w:r>
    </w:p>
    <w:p w14:paraId="32310522" w14:textId="77777777" w:rsidR="0097276F" w:rsidRPr="007C5EEF" w:rsidRDefault="0097276F" w:rsidP="007C5EEF">
      <w:pPr>
        <w:pStyle w:val="NoSpacing"/>
        <w:ind w:left="720" w:hanging="720"/>
      </w:pPr>
      <w:r w:rsidRPr="007C5EEF">
        <w:t>Newman, E.I. (1988) Mycorrhizal links between plants: their functioning and ecological significance. </w:t>
      </w:r>
      <w:r w:rsidRPr="007C5EEF">
        <w:rPr>
          <w:i/>
          <w:iCs/>
        </w:rPr>
        <w:t>Advances in Ecological Research</w:t>
      </w:r>
      <w:r w:rsidRPr="007C5EEF">
        <w:t>, </w:t>
      </w:r>
      <w:r w:rsidRPr="007C5EEF">
        <w:rPr>
          <w:b/>
          <w:bCs/>
        </w:rPr>
        <w:t>18</w:t>
      </w:r>
      <w:r w:rsidRPr="007C5EEF">
        <w:t>, 243– 270.</w:t>
      </w:r>
    </w:p>
    <w:p w14:paraId="6B0FAA5F" w14:textId="77777777" w:rsidR="0097276F" w:rsidRPr="007C5EEF" w:rsidRDefault="0097276F" w:rsidP="007C5EEF">
      <w:pPr>
        <w:pStyle w:val="NoSpacing"/>
        <w:ind w:left="720" w:hanging="720"/>
      </w:pPr>
      <w:r w:rsidRPr="007C5EEF">
        <w:t>Packer, A. &amp; Clay, K. (2000) Soil pathogens and spatial patterns of seedling mortality in a temperate tree. </w:t>
      </w:r>
      <w:r w:rsidRPr="007C5EEF">
        <w:rPr>
          <w:i/>
          <w:iCs/>
        </w:rPr>
        <w:t>Nature</w:t>
      </w:r>
      <w:r w:rsidRPr="007C5EEF">
        <w:t>, </w:t>
      </w:r>
      <w:r w:rsidRPr="007C5EEF">
        <w:rPr>
          <w:b/>
          <w:bCs/>
        </w:rPr>
        <w:t>404</w:t>
      </w:r>
      <w:r w:rsidRPr="007C5EEF">
        <w:t>, 278– 281.</w:t>
      </w:r>
    </w:p>
    <w:p w14:paraId="7392D1EF" w14:textId="77777777" w:rsidR="0097276F" w:rsidRPr="007C5EEF" w:rsidRDefault="0097276F" w:rsidP="007C5EEF">
      <w:pPr>
        <w:pStyle w:val="NoSpacing"/>
        <w:ind w:left="720" w:hanging="720"/>
      </w:pPr>
      <w:r w:rsidRPr="007C5EEF">
        <w:t>Perry, D.A., Amaranthus, M.P., Borchers, J.G., Borchers, S.L. &amp; Brainerd, R.E. (1989) Bootstrapping in ecosystems. </w:t>
      </w:r>
      <w:r w:rsidRPr="007C5EEF">
        <w:rPr>
          <w:i/>
          <w:iCs/>
        </w:rPr>
        <w:t>Bioscience</w:t>
      </w:r>
      <w:r w:rsidRPr="007C5EEF">
        <w:t>, </w:t>
      </w:r>
      <w:r w:rsidRPr="007C5EEF">
        <w:rPr>
          <w:b/>
          <w:bCs/>
        </w:rPr>
        <w:t>39</w:t>
      </w:r>
      <w:r w:rsidRPr="007C5EEF">
        <w:t>, 230– 237.</w:t>
      </w:r>
    </w:p>
    <w:p w14:paraId="49D66192" w14:textId="77777777" w:rsidR="0097276F" w:rsidRPr="007C5EEF" w:rsidRDefault="0097276F" w:rsidP="007C5EEF">
      <w:pPr>
        <w:pStyle w:val="NoSpacing"/>
        <w:ind w:left="720" w:hanging="720"/>
      </w:pPr>
      <w:r w:rsidRPr="007C5EEF">
        <w:t>Peterson, D.W. &amp; Reich, P.B. (2001) Prescribed fire in oak savanna: fire frequency effects on stand structure and dynamics. </w:t>
      </w:r>
      <w:r w:rsidRPr="007C5EEF">
        <w:rPr>
          <w:i/>
          <w:iCs/>
        </w:rPr>
        <w:t>Ecological Applications</w:t>
      </w:r>
      <w:r w:rsidRPr="007C5EEF">
        <w:t>, </w:t>
      </w:r>
      <w:r w:rsidRPr="007C5EEF">
        <w:rPr>
          <w:b/>
          <w:bCs/>
        </w:rPr>
        <w:t>11</w:t>
      </w:r>
      <w:r w:rsidRPr="007C5EEF">
        <w:t>, 914– 927.</w:t>
      </w:r>
    </w:p>
    <w:p w14:paraId="3E7C4BB6" w14:textId="77777777" w:rsidR="0097276F" w:rsidRPr="007C5EEF" w:rsidRDefault="0097276F" w:rsidP="007C5EEF">
      <w:pPr>
        <w:pStyle w:val="NoSpacing"/>
        <w:ind w:left="720" w:hanging="720"/>
      </w:pPr>
      <w:r w:rsidRPr="007C5EEF">
        <w:t>R Development Core Team (2005) </w:t>
      </w:r>
      <w:r w:rsidRPr="007C5EEF">
        <w:rPr>
          <w:i/>
          <w:iCs/>
        </w:rPr>
        <w:t>R: A Language and Environment for Statistical Computing.</w:t>
      </w:r>
      <w:r w:rsidRPr="007C5EEF">
        <w:t> R Foundation for Statistical Computing, Vienna, Austria. URL </w:t>
      </w:r>
      <w:hyperlink r:id="rId181" w:history="1">
        <w:r w:rsidRPr="007C5EEF">
          <w:rPr>
            <w:rStyle w:val="Hyperlink"/>
            <w:rFonts w:cstheme="minorHAnsi"/>
          </w:rPr>
          <w:t>http://www.R‐project.org</w:t>
        </w:r>
      </w:hyperlink>
      <w:r w:rsidRPr="007C5EEF">
        <w:t>.</w:t>
      </w:r>
    </w:p>
    <w:p w14:paraId="3249B1B9" w14:textId="77777777" w:rsidR="0097276F" w:rsidRPr="007C5EEF" w:rsidRDefault="0097276F" w:rsidP="007C5EEF">
      <w:pPr>
        <w:pStyle w:val="NoSpacing"/>
        <w:ind w:left="720" w:hanging="720"/>
      </w:pPr>
      <w:r w:rsidRPr="007C5EEF">
        <w:t>Reich, P.B., Oleksyn, J., Modrzynski, J., Mrozinski, P., Hobbie, S.E., Eissenstat, D.M. </w:t>
      </w:r>
      <w:r w:rsidRPr="007C5EEF">
        <w:rPr>
          <w:i/>
          <w:iCs/>
        </w:rPr>
        <w:t>et al.</w:t>
      </w:r>
      <w:r w:rsidRPr="007C5EEF">
        <w:t> (2005) Linking tree species, litter calcium, earthworms and soil properties: a common garden test with 14 tree species. </w:t>
      </w:r>
      <w:r w:rsidRPr="007C5EEF">
        <w:rPr>
          <w:i/>
          <w:iCs/>
        </w:rPr>
        <w:t>Ecology Letters</w:t>
      </w:r>
      <w:r w:rsidRPr="007C5EEF">
        <w:t>, </w:t>
      </w:r>
      <w:r w:rsidRPr="007C5EEF">
        <w:rPr>
          <w:b/>
          <w:bCs/>
        </w:rPr>
        <w:t>8</w:t>
      </w:r>
      <w:r w:rsidRPr="007C5EEF">
        <w:t>, 811– 818.</w:t>
      </w:r>
    </w:p>
    <w:p w14:paraId="71B9976F" w14:textId="77777777" w:rsidR="0097276F" w:rsidRPr="007C5EEF" w:rsidRDefault="0097276F" w:rsidP="007C5EEF">
      <w:pPr>
        <w:pStyle w:val="NoSpacing"/>
        <w:ind w:left="720" w:hanging="720"/>
      </w:pPr>
      <w:r w:rsidRPr="007C5EEF">
        <w:t>Reich, P.B., Peterson, D.W., Wedin, D.A. &amp; Wrage, K. (2001) Fire and vegetation effects on productivity and nitrogen cycling across a forest‐grassland continuum. </w:t>
      </w:r>
      <w:r w:rsidRPr="007C5EEF">
        <w:rPr>
          <w:i/>
          <w:iCs/>
        </w:rPr>
        <w:t>Ecology</w:t>
      </w:r>
      <w:r w:rsidRPr="007C5EEF">
        <w:t>, </w:t>
      </w:r>
      <w:r w:rsidRPr="007C5EEF">
        <w:rPr>
          <w:b/>
          <w:bCs/>
        </w:rPr>
        <w:t>82</w:t>
      </w:r>
      <w:r w:rsidRPr="007C5EEF">
        <w:t>, 1703– 1719.</w:t>
      </w:r>
    </w:p>
    <w:p w14:paraId="5051F62D" w14:textId="77777777" w:rsidR="0097276F" w:rsidRPr="007C5EEF" w:rsidRDefault="0097276F" w:rsidP="007C5EEF">
      <w:pPr>
        <w:pStyle w:val="NoSpacing"/>
        <w:ind w:left="720" w:hanging="720"/>
      </w:pPr>
      <w:r w:rsidRPr="007C5EEF">
        <w:t>Riginos, C., Milto, S.J. &amp; Thorsten, W. (2005) Context‐dependent interactions between adult shrubs and seedlings in a semi‐arid shrubland. </w:t>
      </w:r>
      <w:r w:rsidRPr="007C5EEF">
        <w:rPr>
          <w:i/>
          <w:iCs/>
        </w:rPr>
        <w:t>Journal of Vegetation Science</w:t>
      </w:r>
      <w:r w:rsidRPr="007C5EEF">
        <w:t>, </w:t>
      </w:r>
      <w:r w:rsidRPr="007C5EEF">
        <w:rPr>
          <w:b/>
          <w:bCs/>
        </w:rPr>
        <w:t>16</w:t>
      </w:r>
      <w:r w:rsidRPr="007C5EEF">
        <w:t>, 331– 340.</w:t>
      </w:r>
    </w:p>
    <w:p w14:paraId="76756436" w14:textId="77777777" w:rsidR="0097276F" w:rsidRPr="007C5EEF" w:rsidRDefault="0097276F" w:rsidP="007C5EEF">
      <w:pPr>
        <w:pStyle w:val="NoSpacing"/>
        <w:ind w:left="720" w:hanging="720"/>
      </w:pPr>
      <w:r w:rsidRPr="007C5EEF">
        <w:t>Sharam, G., Sinclair, A.R.E. &amp; Turkington, R. (2006) Establishment of broad‐leaved thickets in Serengeti, Tanzania: the influence of fire, browsers, grass competition, and elephants. </w:t>
      </w:r>
      <w:r w:rsidRPr="007C5EEF">
        <w:rPr>
          <w:i/>
          <w:iCs/>
        </w:rPr>
        <w:t>Biotropica</w:t>
      </w:r>
      <w:r w:rsidRPr="007C5EEF">
        <w:t>, </w:t>
      </w:r>
      <w:r w:rsidRPr="007C5EEF">
        <w:rPr>
          <w:b/>
          <w:bCs/>
        </w:rPr>
        <w:t>38</w:t>
      </w:r>
      <w:r w:rsidRPr="007C5EEF">
        <w:t>, 599– 605.</w:t>
      </w:r>
    </w:p>
    <w:p w14:paraId="59C6C57C" w14:textId="77777777" w:rsidR="0097276F" w:rsidRPr="007C5EEF" w:rsidRDefault="0097276F" w:rsidP="007C5EEF">
      <w:pPr>
        <w:pStyle w:val="NoSpacing"/>
        <w:ind w:left="720" w:hanging="720"/>
      </w:pPr>
      <w:r w:rsidRPr="007C5EEF">
        <w:t>Simard, S.W. &amp; Durall, D.M. (2004) Mycorrhizal networks: a review of their extent, function, and importance. </w:t>
      </w:r>
      <w:r w:rsidRPr="007C5EEF">
        <w:rPr>
          <w:i/>
          <w:iCs/>
        </w:rPr>
        <w:t>Canadian Journal of Botany</w:t>
      </w:r>
      <w:r w:rsidRPr="007C5EEF">
        <w:t>, </w:t>
      </w:r>
      <w:r w:rsidRPr="007C5EEF">
        <w:rPr>
          <w:b/>
          <w:bCs/>
        </w:rPr>
        <w:t>82</w:t>
      </w:r>
      <w:r w:rsidRPr="007C5EEF">
        <w:t>, 1140– 1165.</w:t>
      </w:r>
    </w:p>
    <w:p w14:paraId="5C0CE3FB" w14:textId="77777777" w:rsidR="0097276F" w:rsidRPr="007C5EEF" w:rsidRDefault="0097276F" w:rsidP="007C5EEF">
      <w:pPr>
        <w:pStyle w:val="NoSpacing"/>
        <w:ind w:left="720" w:hanging="720"/>
      </w:pPr>
      <w:r w:rsidRPr="007C5EEF">
        <w:t>Terwilliger, J. &amp; Pastor, J. (1999) Small mammals, ectomycorrhizae, and conifer succession in beaver meadows. </w:t>
      </w:r>
      <w:r w:rsidRPr="007C5EEF">
        <w:rPr>
          <w:i/>
          <w:iCs/>
        </w:rPr>
        <w:t>Oikos</w:t>
      </w:r>
      <w:r w:rsidRPr="007C5EEF">
        <w:t>, </w:t>
      </w:r>
      <w:r w:rsidRPr="007C5EEF">
        <w:rPr>
          <w:b/>
          <w:bCs/>
        </w:rPr>
        <w:t>85</w:t>
      </w:r>
      <w:r w:rsidRPr="007C5EEF">
        <w:t>, 83– 94.</w:t>
      </w:r>
    </w:p>
    <w:p w14:paraId="2593565F" w14:textId="77777777" w:rsidR="0097276F" w:rsidRPr="007C5EEF" w:rsidRDefault="0097276F" w:rsidP="007C5EEF">
      <w:pPr>
        <w:pStyle w:val="NoSpacing"/>
        <w:ind w:left="720" w:hanging="720"/>
      </w:pPr>
      <w:r w:rsidRPr="007C5EEF">
        <w:t>Turkington, R., John, E., Watson, S. &amp; Seccombe‐Hett, P. (2002) The effects of fertilization and herbivory on the herbaceous vegetation of the boreal forest in north‐western Canada: a 10‐year study. </w:t>
      </w:r>
      <w:r w:rsidRPr="007C5EEF">
        <w:rPr>
          <w:i/>
          <w:iCs/>
        </w:rPr>
        <w:t>Journal of Ecology</w:t>
      </w:r>
      <w:r w:rsidRPr="007C5EEF">
        <w:t>, </w:t>
      </w:r>
      <w:r w:rsidRPr="007C5EEF">
        <w:rPr>
          <w:b/>
          <w:bCs/>
        </w:rPr>
        <w:t>90</w:t>
      </w:r>
      <w:r w:rsidRPr="007C5EEF">
        <w:t>, 325– 337.</w:t>
      </w:r>
    </w:p>
    <w:p w14:paraId="69D7D893" w14:textId="77777777" w:rsidR="0097276F" w:rsidRPr="007C5EEF" w:rsidRDefault="0097276F" w:rsidP="007C5EEF">
      <w:pPr>
        <w:pStyle w:val="NoSpacing"/>
        <w:ind w:left="720" w:hanging="720"/>
      </w:pPr>
      <w:r w:rsidRPr="007C5EEF">
        <w:t>Van Auken, O.W. (2000) Shrub invasions of North American semiarid grasslands. </w:t>
      </w:r>
      <w:r w:rsidRPr="007C5EEF">
        <w:rPr>
          <w:i/>
          <w:iCs/>
        </w:rPr>
        <w:t>Annual Review of Ecology and Systematics</w:t>
      </w:r>
      <w:r w:rsidRPr="007C5EEF">
        <w:t>, </w:t>
      </w:r>
      <w:r w:rsidRPr="007C5EEF">
        <w:rPr>
          <w:b/>
          <w:bCs/>
        </w:rPr>
        <w:t>31</w:t>
      </w:r>
      <w:r w:rsidRPr="007C5EEF">
        <w:t>, 197– 215.</w:t>
      </w:r>
    </w:p>
    <w:p w14:paraId="41ED27A0" w14:textId="77777777" w:rsidR="0097276F" w:rsidRPr="007C5EEF" w:rsidRDefault="0097276F" w:rsidP="007C5EEF">
      <w:pPr>
        <w:pStyle w:val="NoSpacing"/>
        <w:ind w:left="720" w:hanging="720"/>
      </w:pPr>
      <w:r w:rsidRPr="007C5EEF">
        <w:t>Weltzin, J.F. &amp; McPherson, G.R. (1999) Facilitation of conspecific seedling recruitment and shifts in temperate savanna ecotones. </w:t>
      </w:r>
      <w:r w:rsidRPr="007C5EEF">
        <w:rPr>
          <w:i/>
          <w:iCs/>
        </w:rPr>
        <w:t>Ecological Monographs</w:t>
      </w:r>
      <w:r w:rsidRPr="007C5EEF">
        <w:t>, </w:t>
      </w:r>
      <w:r w:rsidRPr="007C5EEF">
        <w:rPr>
          <w:b/>
          <w:bCs/>
        </w:rPr>
        <w:t>69</w:t>
      </w:r>
      <w:r w:rsidRPr="007C5EEF">
        <w:t>, 513– 534.</w:t>
      </w:r>
    </w:p>
    <w:p w14:paraId="611C98D0" w14:textId="77777777" w:rsidR="0097276F" w:rsidRPr="007C5EEF" w:rsidRDefault="0097276F" w:rsidP="007C5EEF">
      <w:pPr>
        <w:pStyle w:val="NoSpacing"/>
        <w:ind w:left="720" w:hanging="720"/>
      </w:pPr>
      <w:r w:rsidRPr="007C5EEF">
        <w:t>Wills, C., Harms, K.E., Condit, R., King, D., Thompson, J., He, F. </w:t>
      </w:r>
      <w:r w:rsidRPr="007C5EEF">
        <w:rPr>
          <w:i/>
          <w:iCs/>
        </w:rPr>
        <w:t>et al.</w:t>
      </w:r>
      <w:r w:rsidRPr="007C5EEF">
        <w:t> (2006) Nonrandom processes maintain diversity in tropical forests. </w:t>
      </w:r>
      <w:r w:rsidRPr="007C5EEF">
        <w:rPr>
          <w:i/>
          <w:iCs/>
        </w:rPr>
        <w:t>Science</w:t>
      </w:r>
      <w:r w:rsidRPr="007C5EEF">
        <w:t>, </w:t>
      </w:r>
      <w:r w:rsidRPr="007C5EEF">
        <w:rPr>
          <w:b/>
          <w:bCs/>
        </w:rPr>
        <w:t>311</w:t>
      </w:r>
      <w:r w:rsidRPr="007C5EEF">
        <w:t>, 527– 531.</w:t>
      </w:r>
    </w:p>
    <w:p w14:paraId="4B57727B" w14:textId="77777777" w:rsidR="0097276F" w:rsidRPr="007C5EEF" w:rsidRDefault="0097276F" w:rsidP="007C5EEF">
      <w:pPr>
        <w:pStyle w:val="NoSpacing"/>
        <w:ind w:left="720" w:hanging="720"/>
      </w:pPr>
      <w:r w:rsidRPr="007C5EEF">
        <w:t>Zhou, M. &amp; Sharik, T.L. (1997) Ectomycorrhizal associations of northern red oak (</w:t>
      </w:r>
      <w:r w:rsidRPr="007C5EEF">
        <w:rPr>
          <w:i/>
          <w:iCs/>
        </w:rPr>
        <w:t>Quercus rubra</w:t>
      </w:r>
      <w:r w:rsidRPr="007C5EEF">
        <w:t>) seedlings along an environmental gradient. </w:t>
      </w:r>
      <w:r w:rsidRPr="007C5EEF">
        <w:rPr>
          <w:i/>
          <w:iCs/>
        </w:rPr>
        <w:t>Canadian Journal of Forest Research</w:t>
      </w:r>
      <w:r w:rsidRPr="007C5EEF">
        <w:t>, </w:t>
      </w:r>
      <w:r w:rsidRPr="007C5EEF">
        <w:rPr>
          <w:b/>
          <w:bCs/>
        </w:rPr>
        <w:t>27</w:t>
      </w:r>
      <w:r w:rsidRPr="007C5EEF">
        <w:t>, 1705– 1713.</w:t>
      </w:r>
    </w:p>
    <w:p w14:paraId="2AF55C17" w14:textId="77777777" w:rsidR="00B30EF0" w:rsidRPr="004D4CC9" w:rsidRDefault="00B30EF0" w:rsidP="007C5EEF">
      <w:pPr>
        <w:pStyle w:val="NoSpacing"/>
        <w:ind w:left="720" w:hanging="720"/>
      </w:pPr>
    </w:p>
    <w:sectPr w:rsidR="00B30EF0" w:rsidRPr="004D4CC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84723"/>
    <w:multiLevelType w:val="multilevel"/>
    <w:tmpl w:val="B516A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893A1D"/>
    <w:multiLevelType w:val="multilevel"/>
    <w:tmpl w:val="663A4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1F6CCD"/>
    <w:multiLevelType w:val="multilevel"/>
    <w:tmpl w:val="7196F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E163A7"/>
    <w:multiLevelType w:val="hybridMultilevel"/>
    <w:tmpl w:val="0906A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475CB2"/>
    <w:multiLevelType w:val="multilevel"/>
    <w:tmpl w:val="B2BC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373EB4"/>
    <w:multiLevelType w:val="hybridMultilevel"/>
    <w:tmpl w:val="F13C2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CA0FD6"/>
    <w:multiLevelType w:val="hybridMultilevel"/>
    <w:tmpl w:val="5A724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W8CnIVlchlQuHyBcBFFhGj0I0CkC2lFTX0TUYajxwn6vTMkYPaHU0cIynLHGt+hiYz90fCK9/tS11qYoQZFTdw==" w:salt="XfzbaseS1ppgTdrKARpck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44BF"/>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562F6"/>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5E50"/>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64B"/>
    <w:rsid w:val="002558EB"/>
    <w:rsid w:val="00255B43"/>
    <w:rsid w:val="00255BDC"/>
    <w:rsid w:val="00255BEA"/>
    <w:rsid w:val="0026017E"/>
    <w:rsid w:val="00261403"/>
    <w:rsid w:val="00261F59"/>
    <w:rsid w:val="002667B6"/>
    <w:rsid w:val="00272AF4"/>
    <w:rsid w:val="00276C06"/>
    <w:rsid w:val="00280198"/>
    <w:rsid w:val="00282094"/>
    <w:rsid w:val="002843BC"/>
    <w:rsid w:val="00284A84"/>
    <w:rsid w:val="0029129F"/>
    <w:rsid w:val="00291CC1"/>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2F7E"/>
    <w:rsid w:val="002D51BB"/>
    <w:rsid w:val="002D5BAE"/>
    <w:rsid w:val="002D5DDC"/>
    <w:rsid w:val="002D6AA3"/>
    <w:rsid w:val="002E5C33"/>
    <w:rsid w:val="002E5D29"/>
    <w:rsid w:val="002F642D"/>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3737"/>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3627"/>
    <w:rsid w:val="00497E47"/>
    <w:rsid w:val="004A0368"/>
    <w:rsid w:val="004A2715"/>
    <w:rsid w:val="004A2894"/>
    <w:rsid w:val="004A2B41"/>
    <w:rsid w:val="004A3B3E"/>
    <w:rsid w:val="004B2226"/>
    <w:rsid w:val="004B6BED"/>
    <w:rsid w:val="004B77C2"/>
    <w:rsid w:val="004C0B3D"/>
    <w:rsid w:val="004C2D7B"/>
    <w:rsid w:val="004C45D2"/>
    <w:rsid w:val="004C5EEF"/>
    <w:rsid w:val="004C798F"/>
    <w:rsid w:val="004D118A"/>
    <w:rsid w:val="004D1CB9"/>
    <w:rsid w:val="004D21C9"/>
    <w:rsid w:val="004D4CC9"/>
    <w:rsid w:val="004E34F8"/>
    <w:rsid w:val="004E3C84"/>
    <w:rsid w:val="004E528B"/>
    <w:rsid w:val="004F146C"/>
    <w:rsid w:val="004F1F3C"/>
    <w:rsid w:val="0050408D"/>
    <w:rsid w:val="00504C6A"/>
    <w:rsid w:val="00510364"/>
    <w:rsid w:val="005116C9"/>
    <w:rsid w:val="00511BEE"/>
    <w:rsid w:val="005175E9"/>
    <w:rsid w:val="00520368"/>
    <w:rsid w:val="00525F42"/>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3270"/>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5EE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87B10"/>
    <w:rsid w:val="008927F4"/>
    <w:rsid w:val="00893B58"/>
    <w:rsid w:val="00894E4C"/>
    <w:rsid w:val="0089642A"/>
    <w:rsid w:val="008A1743"/>
    <w:rsid w:val="008A23DD"/>
    <w:rsid w:val="008A6C51"/>
    <w:rsid w:val="008B15CF"/>
    <w:rsid w:val="008B2242"/>
    <w:rsid w:val="008B4AD1"/>
    <w:rsid w:val="008B6D93"/>
    <w:rsid w:val="008B7097"/>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76F"/>
    <w:rsid w:val="009729A3"/>
    <w:rsid w:val="009732A9"/>
    <w:rsid w:val="00977F1D"/>
    <w:rsid w:val="00982217"/>
    <w:rsid w:val="00984B39"/>
    <w:rsid w:val="00986A83"/>
    <w:rsid w:val="00990645"/>
    <w:rsid w:val="009923C9"/>
    <w:rsid w:val="009A130B"/>
    <w:rsid w:val="009A2639"/>
    <w:rsid w:val="009A397F"/>
    <w:rsid w:val="009B4F83"/>
    <w:rsid w:val="009B6983"/>
    <w:rsid w:val="009C5450"/>
    <w:rsid w:val="009C5716"/>
    <w:rsid w:val="009C6D78"/>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0EF0"/>
    <w:rsid w:val="00B32160"/>
    <w:rsid w:val="00B32B07"/>
    <w:rsid w:val="00B336E9"/>
    <w:rsid w:val="00B3397D"/>
    <w:rsid w:val="00B3426B"/>
    <w:rsid w:val="00B34F7B"/>
    <w:rsid w:val="00B35999"/>
    <w:rsid w:val="00B40B09"/>
    <w:rsid w:val="00B44237"/>
    <w:rsid w:val="00B47D09"/>
    <w:rsid w:val="00B50108"/>
    <w:rsid w:val="00B525D3"/>
    <w:rsid w:val="00B55B5C"/>
    <w:rsid w:val="00B55FA0"/>
    <w:rsid w:val="00B56290"/>
    <w:rsid w:val="00B61B54"/>
    <w:rsid w:val="00B6351D"/>
    <w:rsid w:val="00B63F45"/>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2B8"/>
    <w:rsid w:val="00BA7628"/>
    <w:rsid w:val="00BB2130"/>
    <w:rsid w:val="00BB30B6"/>
    <w:rsid w:val="00BB40CB"/>
    <w:rsid w:val="00BB7C37"/>
    <w:rsid w:val="00BC168F"/>
    <w:rsid w:val="00BC1E95"/>
    <w:rsid w:val="00BC2262"/>
    <w:rsid w:val="00BC39EC"/>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663E"/>
    <w:rsid w:val="00CC6CAD"/>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1E7F"/>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685D"/>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15A5"/>
    <w:rsid w:val="00E13E05"/>
    <w:rsid w:val="00E15784"/>
    <w:rsid w:val="00E16307"/>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26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48B7"/>
    <w:rsid w:val="00ED521A"/>
    <w:rsid w:val="00EE1F48"/>
    <w:rsid w:val="00EE3C5A"/>
    <w:rsid w:val="00EE4E0F"/>
    <w:rsid w:val="00EE504D"/>
    <w:rsid w:val="00EE75E3"/>
    <w:rsid w:val="00EE7777"/>
    <w:rsid w:val="00EE7A7E"/>
    <w:rsid w:val="00EF0C86"/>
    <w:rsid w:val="00EF2D7A"/>
    <w:rsid w:val="00EF586D"/>
    <w:rsid w:val="00F00B9A"/>
    <w:rsid w:val="00F0246E"/>
    <w:rsid w:val="00F026DB"/>
    <w:rsid w:val="00F04133"/>
    <w:rsid w:val="00F12233"/>
    <w:rsid w:val="00F12CE1"/>
    <w:rsid w:val="00F14096"/>
    <w:rsid w:val="00F14820"/>
    <w:rsid w:val="00F30DED"/>
    <w:rsid w:val="00F31DB2"/>
    <w:rsid w:val="00F330A0"/>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30EF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30EF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30EF0"/>
    <w:rPr>
      <w:color w:val="0000FF"/>
      <w:u w:val="single"/>
    </w:rPr>
  </w:style>
  <w:style w:type="character" w:styleId="FollowedHyperlink">
    <w:name w:val="FollowedHyperlink"/>
    <w:basedOn w:val="DefaultParagraphFont"/>
    <w:uiPriority w:val="99"/>
    <w:semiHidden/>
    <w:unhideWhenUsed/>
    <w:rsid w:val="00B30EF0"/>
    <w:rPr>
      <w:color w:val="800080"/>
      <w:u w:val="single"/>
    </w:rPr>
  </w:style>
  <w:style w:type="character" w:customStyle="1" w:styleId="smallcaps">
    <w:name w:val="smallcaps"/>
    <w:basedOn w:val="DefaultParagraphFont"/>
    <w:rsid w:val="00B30EF0"/>
  </w:style>
  <w:style w:type="character" w:customStyle="1" w:styleId="table-captionlabel">
    <w:name w:val="table-caption__label"/>
    <w:basedOn w:val="DefaultParagraphFont"/>
    <w:rsid w:val="00B30EF0"/>
  </w:style>
  <w:style w:type="character" w:customStyle="1" w:styleId="number">
    <w:name w:val="number"/>
    <w:basedOn w:val="DefaultParagraphFont"/>
    <w:rsid w:val="00B30EF0"/>
  </w:style>
  <w:style w:type="character" w:customStyle="1" w:styleId="sectiontitle">
    <w:name w:val="section__title"/>
    <w:basedOn w:val="DefaultParagraphFont"/>
    <w:rsid w:val="0097276F"/>
  </w:style>
  <w:style w:type="character" w:customStyle="1" w:styleId="author">
    <w:name w:val="author"/>
    <w:basedOn w:val="DefaultParagraphFont"/>
    <w:rsid w:val="0097276F"/>
  </w:style>
  <w:style w:type="character" w:customStyle="1" w:styleId="pubyear">
    <w:name w:val="pubyear"/>
    <w:basedOn w:val="DefaultParagraphFont"/>
    <w:rsid w:val="0097276F"/>
  </w:style>
  <w:style w:type="character" w:customStyle="1" w:styleId="articletitle">
    <w:name w:val="articletitle"/>
    <w:basedOn w:val="DefaultParagraphFont"/>
    <w:rsid w:val="0097276F"/>
  </w:style>
  <w:style w:type="character" w:customStyle="1" w:styleId="vol">
    <w:name w:val="vol"/>
    <w:basedOn w:val="DefaultParagraphFont"/>
    <w:rsid w:val="0097276F"/>
  </w:style>
  <w:style w:type="character" w:customStyle="1" w:styleId="pagefirst">
    <w:name w:val="pagefirst"/>
    <w:basedOn w:val="DefaultParagraphFont"/>
    <w:rsid w:val="0097276F"/>
  </w:style>
  <w:style w:type="character" w:customStyle="1" w:styleId="pagelast">
    <w:name w:val="pagelast"/>
    <w:basedOn w:val="DefaultParagraphFont"/>
    <w:rsid w:val="0097276F"/>
  </w:style>
  <w:style w:type="character" w:customStyle="1" w:styleId="openurl">
    <w:name w:val="openurl"/>
    <w:basedOn w:val="DefaultParagraphFont"/>
    <w:rsid w:val="0097276F"/>
  </w:style>
  <w:style w:type="character" w:customStyle="1" w:styleId="booktitle0">
    <w:name w:val="booktitle"/>
    <w:basedOn w:val="DefaultParagraphFont"/>
    <w:rsid w:val="0097276F"/>
  </w:style>
  <w:style w:type="character" w:customStyle="1" w:styleId="groupname">
    <w:name w:val="groupname"/>
    <w:basedOn w:val="DefaultParagraphFont"/>
    <w:rsid w:val="0097276F"/>
  </w:style>
  <w:style w:type="character" w:styleId="UnresolvedMention">
    <w:name w:val="Unresolved Mention"/>
    <w:basedOn w:val="DefaultParagraphFont"/>
    <w:uiPriority w:val="99"/>
    <w:semiHidden/>
    <w:unhideWhenUsed/>
    <w:rsid w:val="009727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757318">
      <w:bodyDiv w:val="1"/>
      <w:marLeft w:val="0"/>
      <w:marRight w:val="0"/>
      <w:marTop w:val="0"/>
      <w:marBottom w:val="0"/>
      <w:divBdr>
        <w:top w:val="none" w:sz="0" w:space="0" w:color="auto"/>
        <w:left w:val="none" w:sz="0" w:space="0" w:color="auto"/>
        <w:bottom w:val="none" w:sz="0" w:space="0" w:color="auto"/>
        <w:right w:val="none" w:sz="0" w:space="0" w:color="auto"/>
      </w:divBdr>
      <w:divsChild>
        <w:div w:id="1657341963">
          <w:marLeft w:val="0"/>
          <w:marRight w:val="0"/>
          <w:marTop w:val="0"/>
          <w:marBottom w:val="0"/>
          <w:divBdr>
            <w:top w:val="none" w:sz="0" w:space="0" w:color="auto"/>
            <w:left w:val="none" w:sz="0" w:space="0" w:color="auto"/>
            <w:bottom w:val="none" w:sz="0" w:space="0" w:color="auto"/>
            <w:right w:val="none" w:sz="0" w:space="0" w:color="auto"/>
          </w:divBdr>
        </w:div>
      </w:divsChild>
    </w:div>
    <w:div w:id="591402687">
      <w:bodyDiv w:val="1"/>
      <w:marLeft w:val="0"/>
      <w:marRight w:val="0"/>
      <w:marTop w:val="0"/>
      <w:marBottom w:val="0"/>
      <w:divBdr>
        <w:top w:val="none" w:sz="0" w:space="0" w:color="auto"/>
        <w:left w:val="none" w:sz="0" w:space="0" w:color="auto"/>
        <w:bottom w:val="none" w:sz="0" w:space="0" w:color="auto"/>
        <w:right w:val="none" w:sz="0" w:space="0" w:color="auto"/>
      </w:divBdr>
    </w:div>
    <w:div w:id="1541555177">
      <w:bodyDiv w:val="1"/>
      <w:marLeft w:val="0"/>
      <w:marRight w:val="0"/>
      <w:marTop w:val="0"/>
      <w:marBottom w:val="0"/>
      <w:divBdr>
        <w:top w:val="none" w:sz="0" w:space="0" w:color="auto"/>
        <w:left w:val="none" w:sz="0" w:space="0" w:color="auto"/>
        <w:bottom w:val="none" w:sz="0" w:space="0" w:color="auto"/>
        <w:right w:val="none" w:sz="0" w:space="0" w:color="auto"/>
      </w:divBdr>
      <w:divsChild>
        <w:div w:id="336613840">
          <w:marLeft w:val="0"/>
          <w:marRight w:val="0"/>
          <w:marTop w:val="0"/>
          <w:marBottom w:val="0"/>
          <w:divBdr>
            <w:top w:val="none" w:sz="0" w:space="0" w:color="auto"/>
            <w:left w:val="none" w:sz="0" w:space="0" w:color="auto"/>
            <w:bottom w:val="none" w:sz="0" w:space="0" w:color="auto"/>
            <w:right w:val="none" w:sz="0" w:space="0" w:color="auto"/>
          </w:divBdr>
          <w:divsChild>
            <w:div w:id="1074624367">
              <w:marLeft w:val="0"/>
              <w:marRight w:val="0"/>
              <w:marTop w:val="0"/>
              <w:marBottom w:val="0"/>
              <w:divBdr>
                <w:top w:val="none" w:sz="0" w:space="0" w:color="auto"/>
                <w:left w:val="none" w:sz="0" w:space="0" w:color="auto"/>
                <w:bottom w:val="none" w:sz="0" w:space="0" w:color="auto"/>
                <w:right w:val="none" w:sz="0" w:space="0" w:color="auto"/>
              </w:divBdr>
              <w:divsChild>
                <w:div w:id="1746415564">
                  <w:marLeft w:val="0"/>
                  <w:marRight w:val="0"/>
                  <w:marTop w:val="0"/>
                  <w:marBottom w:val="0"/>
                  <w:divBdr>
                    <w:top w:val="none" w:sz="0" w:space="0" w:color="auto"/>
                    <w:left w:val="none" w:sz="0" w:space="0" w:color="auto"/>
                    <w:bottom w:val="none" w:sz="0" w:space="0" w:color="auto"/>
                    <w:right w:val="none" w:sz="0" w:space="0" w:color="auto"/>
                  </w:divBdr>
                </w:div>
              </w:divsChild>
            </w:div>
            <w:div w:id="316999354">
              <w:marLeft w:val="0"/>
              <w:marRight w:val="0"/>
              <w:marTop w:val="0"/>
              <w:marBottom w:val="0"/>
              <w:divBdr>
                <w:top w:val="none" w:sz="0" w:space="0" w:color="auto"/>
                <w:left w:val="none" w:sz="0" w:space="0" w:color="auto"/>
                <w:bottom w:val="none" w:sz="0" w:space="0" w:color="auto"/>
                <w:right w:val="none" w:sz="0" w:space="0" w:color="auto"/>
              </w:divBdr>
            </w:div>
          </w:divsChild>
        </w:div>
        <w:div w:id="741682884">
          <w:marLeft w:val="0"/>
          <w:marRight w:val="0"/>
          <w:marTop w:val="0"/>
          <w:marBottom w:val="0"/>
          <w:divBdr>
            <w:top w:val="none" w:sz="0" w:space="0" w:color="auto"/>
            <w:left w:val="none" w:sz="0" w:space="0" w:color="auto"/>
            <w:bottom w:val="none" w:sz="0" w:space="0" w:color="auto"/>
            <w:right w:val="none" w:sz="0" w:space="0" w:color="auto"/>
          </w:divBdr>
          <w:divsChild>
            <w:div w:id="89592638">
              <w:marLeft w:val="0"/>
              <w:marRight w:val="0"/>
              <w:marTop w:val="150"/>
              <w:marBottom w:val="270"/>
              <w:divBdr>
                <w:top w:val="none" w:sz="0" w:space="0" w:color="auto"/>
                <w:left w:val="none" w:sz="0" w:space="0" w:color="auto"/>
                <w:bottom w:val="none" w:sz="0" w:space="0" w:color="auto"/>
                <w:right w:val="none" w:sz="0" w:space="0" w:color="auto"/>
              </w:divBdr>
              <w:divsChild>
                <w:div w:id="1821732670">
                  <w:marLeft w:val="0"/>
                  <w:marRight w:val="0"/>
                  <w:marTop w:val="0"/>
                  <w:marBottom w:val="0"/>
                  <w:divBdr>
                    <w:top w:val="none" w:sz="0" w:space="0" w:color="auto"/>
                    <w:left w:val="none" w:sz="0" w:space="0" w:color="auto"/>
                    <w:bottom w:val="none" w:sz="0" w:space="0" w:color="auto"/>
                    <w:right w:val="none" w:sz="0" w:space="0" w:color="auto"/>
                  </w:divBdr>
                  <w:divsChild>
                    <w:div w:id="910044319">
                      <w:marLeft w:val="0"/>
                      <w:marRight w:val="0"/>
                      <w:marTop w:val="0"/>
                      <w:marBottom w:val="0"/>
                      <w:divBdr>
                        <w:top w:val="none" w:sz="0" w:space="0" w:color="auto"/>
                        <w:left w:val="none" w:sz="0" w:space="0" w:color="auto"/>
                        <w:bottom w:val="none" w:sz="0" w:space="0" w:color="auto"/>
                        <w:right w:val="none" w:sz="0" w:space="0" w:color="auto"/>
                      </w:divBdr>
                    </w:div>
                  </w:divsChild>
                </w:div>
                <w:div w:id="1142041580">
                  <w:marLeft w:val="0"/>
                  <w:marRight w:val="0"/>
                  <w:marTop w:val="0"/>
                  <w:marBottom w:val="0"/>
                  <w:divBdr>
                    <w:top w:val="none" w:sz="0" w:space="0" w:color="auto"/>
                    <w:left w:val="none" w:sz="0" w:space="0" w:color="auto"/>
                    <w:bottom w:val="none" w:sz="0" w:space="0" w:color="auto"/>
                    <w:right w:val="none" w:sz="0" w:space="0" w:color="auto"/>
                  </w:divBdr>
                </w:div>
                <w:div w:id="1865633597">
                  <w:marLeft w:val="0"/>
                  <w:marRight w:val="0"/>
                  <w:marTop w:val="0"/>
                  <w:marBottom w:val="450"/>
                  <w:divBdr>
                    <w:top w:val="none" w:sz="0" w:space="0" w:color="auto"/>
                    <w:left w:val="none" w:sz="0" w:space="0" w:color="auto"/>
                    <w:bottom w:val="none" w:sz="0" w:space="0" w:color="auto"/>
                    <w:right w:val="none" w:sz="0" w:space="0" w:color="auto"/>
                  </w:divBdr>
                  <w:divsChild>
                    <w:div w:id="1907061497">
                      <w:marLeft w:val="0"/>
                      <w:marRight w:val="0"/>
                      <w:marTop w:val="0"/>
                      <w:marBottom w:val="0"/>
                      <w:divBdr>
                        <w:top w:val="none" w:sz="0" w:space="0" w:color="auto"/>
                        <w:left w:val="none" w:sz="0" w:space="0" w:color="auto"/>
                        <w:bottom w:val="none" w:sz="0" w:space="0" w:color="auto"/>
                        <w:right w:val="none" w:sz="0" w:space="0" w:color="auto"/>
                      </w:divBdr>
                    </w:div>
                    <w:div w:id="1773352429">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 w:id="1016151871">
              <w:marLeft w:val="0"/>
              <w:marRight w:val="0"/>
              <w:marTop w:val="150"/>
              <w:marBottom w:val="270"/>
              <w:divBdr>
                <w:top w:val="none" w:sz="0" w:space="0" w:color="auto"/>
                <w:left w:val="none" w:sz="0" w:space="0" w:color="auto"/>
                <w:bottom w:val="none" w:sz="0" w:space="0" w:color="auto"/>
                <w:right w:val="none" w:sz="0" w:space="0" w:color="auto"/>
              </w:divBdr>
            </w:div>
            <w:div w:id="1644626855">
              <w:marLeft w:val="0"/>
              <w:marRight w:val="0"/>
              <w:marTop w:val="150"/>
              <w:marBottom w:val="270"/>
              <w:divBdr>
                <w:top w:val="none" w:sz="0" w:space="0" w:color="auto"/>
                <w:left w:val="none" w:sz="0" w:space="0" w:color="auto"/>
                <w:bottom w:val="none" w:sz="0" w:space="0" w:color="auto"/>
                <w:right w:val="none" w:sz="0" w:space="0" w:color="auto"/>
              </w:divBdr>
            </w:div>
            <w:div w:id="1047022849">
              <w:marLeft w:val="0"/>
              <w:marRight w:val="0"/>
              <w:marTop w:val="150"/>
              <w:marBottom w:val="270"/>
              <w:divBdr>
                <w:top w:val="none" w:sz="0" w:space="0" w:color="auto"/>
                <w:left w:val="none" w:sz="0" w:space="0" w:color="auto"/>
                <w:bottom w:val="none" w:sz="0" w:space="0" w:color="auto"/>
                <w:right w:val="none" w:sz="0" w:space="0" w:color="auto"/>
              </w:divBdr>
              <w:divsChild>
                <w:div w:id="308020299">
                  <w:marLeft w:val="0"/>
                  <w:marRight w:val="0"/>
                  <w:marTop w:val="0"/>
                  <w:marBottom w:val="450"/>
                  <w:divBdr>
                    <w:top w:val="none" w:sz="0" w:space="0" w:color="auto"/>
                    <w:left w:val="none" w:sz="0" w:space="0" w:color="auto"/>
                    <w:bottom w:val="none" w:sz="0" w:space="0" w:color="auto"/>
                    <w:right w:val="none" w:sz="0" w:space="0" w:color="auto"/>
                  </w:divBdr>
                  <w:divsChild>
                    <w:div w:id="399520088">
                      <w:marLeft w:val="0"/>
                      <w:marRight w:val="0"/>
                      <w:marTop w:val="0"/>
                      <w:marBottom w:val="0"/>
                      <w:divBdr>
                        <w:top w:val="none" w:sz="0" w:space="0" w:color="auto"/>
                        <w:left w:val="none" w:sz="0" w:space="0" w:color="auto"/>
                        <w:bottom w:val="none" w:sz="0" w:space="0" w:color="auto"/>
                        <w:right w:val="none" w:sz="0" w:space="0" w:color="auto"/>
                      </w:divBdr>
                    </w:div>
                    <w:div w:id="841244122">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sChild>
        </w:div>
        <w:div w:id="1651136870">
          <w:marLeft w:val="0"/>
          <w:marRight w:val="0"/>
          <w:marTop w:val="0"/>
          <w:marBottom w:val="0"/>
          <w:divBdr>
            <w:top w:val="none" w:sz="0" w:space="0" w:color="auto"/>
            <w:left w:val="none" w:sz="0" w:space="0" w:color="auto"/>
            <w:bottom w:val="none" w:sz="0" w:space="0" w:color="auto"/>
            <w:right w:val="none" w:sz="0" w:space="0" w:color="auto"/>
          </w:divBdr>
          <w:divsChild>
            <w:div w:id="1011684303">
              <w:marLeft w:val="0"/>
              <w:marRight w:val="0"/>
              <w:marTop w:val="0"/>
              <w:marBottom w:val="0"/>
              <w:divBdr>
                <w:top w:val="none" w:sz="0" w:space="0" w:color="auto"/>
                <w:left w:val="none" w:sz="0" w:space="0" w:color="auto"/>
                <w:bottom w:val="none" w:sz="0" w:space="0" w:color="auto"/>
                <w:right w:val="none" w:sz="0" w:space="0" w:color="auto"/>
              </w:divBdr>
              <w:divsChild>
                <w:div w:id="457185930">
                  <w:marLeft w:val="0"/>
                  <w:marRight w:val="0"/>
                  <w:marTop w:val="0"/>
                  <w:marBottom w:val="0"/>
                  <w:divBdr>
                    <w:top w:val="none" w:sz="0" w:space="0" w:color="auto"/>
                    <w:left w:val="none" w:sz="0" w:space="0" w:color="auto"/>
                    <w:bottom w:val="none" w:sz="0" w:space="0" w:color="auto"/>
                    <w:right w:val="none" w:sz="0" w:space="0" w:color="auto"/>
                  </w:divBdr>
                </w:div>
              </w:divsChild>
            </w:div>
            <w:div w:id="146242399">
              <w:marLeft w:val="0"/>
              <w:marRight w:val="0"/>
              <w:marTop w:val="0"/>
              <w:marBottom w:val="0"/>
              <w:divBdr>
                <w:top w:val="none" w:sz="0" w:space="0" w:color="auto"/>
                <w:left w:val="none" w:sz="0" w:space="0" w:color="auto"/>
                <w:bottom w:val="none" w:sz="0" w:space="0" w:color="auto"/>
                <w:right w:val="none" w:sz="0" w:space="0" w:color="auto"/>
              </w:divBdr>
            </w:div>
            <w:div w:id="792135677">
              <w:marLeft w:val="0"/>
              <w:marRight w:val="0"/>
              <w:marTop w:val="0"/>
              <w:marBottom w:val="0"/>
              <w:divBdr>
                <w:top w:val="none" w:sz="0" w:space="0" w:color="auto"/>
                <w:left w:val="none" w:sz="0" w:space="0" w:color="auto"/>
                <w:bottom w:val="none" w:sz="0" w:space="0" w:color="auto"/>
                <w:right w:val="none" w:sz="0" w:space="0" w:color="auto"/>
              </w:divBdr>
              <w:divsChild>
                <w:div w:id="243296685">
                  <w:marLeft w:val="0"/>
                  <w:marRight w:val="0"/>
                  <w:marTop w:val="0"/>
                  <w:marBottom w:val="0"/>
                  <w:divBdr>
                    <w:top w:val="none" w:sz="0" w:space="0" w:color="auto"/>
                    <w:left w:val="none" w:sz="0" w:space="0" w:color="auto"/>
                    <w:bottom w:val="none" w:sz="0" w:space="0" w:color="auto"/>
                    <w:right w:val="none" w:sz="0" w:space="0" w:color="auto"/>
                  </w:divBdr>
                </w:div>
              </w:divsChild>
            </w:div>
            <w:div w:id="2070837590">
              <w:marLeft w:val="0"/>
              <w:marRight w:val="0"/>
              <w:marTop w:val="0"/>
              <w:marBottom w:val="0"/>
              <w:divBdr>
                <w:top w:val="none" w:sz="0" w:space="0" w:color="auto"/>
                <w:left w:val="none" w:sz="0" w:space="0" w:color="auto"/>
                <w:bottom w:val="none" w:sz="0" w:space="0" w:color="auto"/>
                <w:right w:val="none" w:sz="0" w:space="0" w:color="auto"/>
              </w:divBdr>
            </w:div>
            <w:div w:id="1937327912">
              <w:marLeft w:val="0"/>
              <w:marRight w:val="0"/>
              <w:marTop w:val="0"/>
              <w:marBottom w:val="0"/>
              <w:divBdr>
                <w:top w:val="none" w:sz="0" w:space="0" w:color="auto"/>
                <w:left w:val="none" w:sz="0" w:space="0" w:color="auto"/>
                <w:bottom w:val="none" w:sz="0" w:space="0" w:color="auto"/>
                <w:right w:val="none" w:sz="0" w:space="0" w:color="auto"/>
              </w:divBdr>
              <w:divsChild>
                <w:div w:id="115101584">
                  <w:marLeft w:val="0"/>
                  <w:marRight w:val="0"/>
                  <w:marTop w:val="0"/>
                  <w:marBottom w:val="0"/>
                  <w:divBdr>
                    <w:top w:val="none" w:sz="0" w:space="0" w:color="auto"/>
                    <w:left w:val="none" w:sz="0" w:space="0" w:color="auto"/>
                    <w:bottom w:val="none" w:sz="0" w:space="0" w:color="auto"/>
                    <w:right w:val="none" w:sz="0" w:space="0" w:color="auto"/>
                  </w:divBdr>
                </w:div>
              </w:divsChild>
            </w:div>
            <w:div w:id="1595627983">
              <w:marLeft w:val="0"/>
              <w:marRight w:val="0"/>
              <w:marTop w:val="0"/>
              <w:marBottom w:val="0"/>
              <w:divBdr>
                <w:top w:val="none" w:sz="0" w:space="0" w:color="auto"/>
                <w:left w:val="none" w:sz="0" w:space="0" w:color="auto"/>
                <w:bottom w:val="none" w:sz="0" w:space="0" w:color="auto"/>
                <w:right w:val="none" w:sz="0" w:space="0" w:color="auto"/>
              </w:divBdr>
            </w:div>
            <w:div w:id="1999917848">
              <w:marLeft w:val="0"/>
              <w:marRight w:val="0"/>
              <w:marTop w:val="150"/>
              <w:marBottom w:val="270"/>
              <w:divBdr>
                <w:top w:val="none" w:sz="0" w:space="0" w:color="auto"/>
                <w:left w:val="none" w:sz="0" w:space="0" w:color="auto"/>
                <w:bottom w:val="none" w:sz="0" w:space="0" w:color="auto"/>
                <w:right w:val="none" w:sz="0" w:space="0" w:color="auto"/>
              </w:divBdr>
            </w:div>
            <w:div w:id="1431968859">
              <w:marLeft w:val="0"/>
              <w:marRight w:val="0"/>
              <w:marTop w:val="150"/>
              <w:marBottom w:val="270"/>
              <w:divBdr>
                <w:top w:val="none" w:sz="0" w:space="0" w:color="auto"/>
                <w:left w:val="none" w:sz="0" w:space="0" w:color="auto"/>
                <w:bottom w:val="none" w:sz="0" w:space="0" w:color="auto"/>
                <w:right w:val="none" w:sz="0" w:space="0" w:color="auto"/>
              </w:divBdr>
            </w:div>
            <w:div w:id="1758476720">
              <w:marLeft w:val="0"/>
              <w:marRight w:val="0"/>
              <w:marTop w:val="150"/>
              <w:marBottom w:val="270"/>
              <w:divBdr>
                <w:top w:val="none" w:sz="0" w:space="0" w:color="auto"/>
                <w:left w:val="none" w:sz="0" w:space="0" w:color="auto"/>
                <w:bottom w:val="none" w:sz="0" w:space="0" w:color="auto"/>
                <w:right w:val="none" w:sz="0" w:space="0" w:color="auto"/>
              </w:divBdr>
            </w:div>
            <w:div w:id="454637468">
              <w:marLeft w:val="0"/>
              <w:marRight w:val="0"/>
              <w:marTop w:val="150"/>
              <w:marBottom w:val="270"/>
              <w:divBdr>
                <w:top w:val="none" w:sz="0" w:space="0" w:color="auto"/>
                <w:left w:val="none" w:sz="0" w:space="0" w:color="auto"/>
                <w:bottom w:val="none" w:sz="0" w:space="0" w:color="auto"/>
                <w:right w:val="none" w:sz="0" w:space="0" w:color="auto"/>
              </w:divBdr>
            </w:div>
            <w:div w:id="2046170581">
              <w:marLeft w:val="0"/>
              <w:marRight w:val="0"/>
              <w:marTop w:val="150"/>
              <w:marBottom w:val="270"/>
              <w:divBdr>
                <w:top w:val="none" w:sz="0" w:space="0" w:color="auto"/>
                <w:left w:val="none" w:sz="0" w:space="0" w:color="auto"/>
                <w:bottom w:val="none" w:sz="0" w:space="0" w:color="auto"/>
                <w:right w:val="none" w:sz="0" w:space="0" w:color="auto"/>
              </w:divBdr>
            </w:div>
            <w:div w:id="143130746">
              <w:marLeft w:val="0"/>
              <w:marRight w:val="0"/>
              <w:marTop w:val="150"/>
              <w:marBottom w:val="270"/>
              <w:divBdr>
                <w:top w:val="none" w:sz="0" w:space="0" w:color="auto"/>
                <w:left w:val="none" w:sz="0" w:space="0" w:color="auto"/>
                <w:bottom w:val="none" w:sz="0" w:space="0" w:color="auto"/>
                <w:right w:val="none" w:sz="0" w:space="0" w:color="auto"/>
              </w:divBdr>
            </w:div>
          </w:divsChild>
        </w:div>
        <w:div w:id="1342201593">
          <w:marLeft w:val="0"/>
          <w:marRight w:val="0"/>
          <w:marTop w:val="0"/>
          <w:marBottom w:val="0"/>
          <w:divBdr>
            <w:top w:val="none" w:sz="0" w:space="0" w:color="auto"/>
            <w:left w:val="none" w:sz="0" w:space="0" w:color="auto"/>
            <w:bottom w:val="none" w:sz="0" w:space="0" w:color="auto"/>
            <w:right w:val="none" w:sz="0" w:space="0" w:color="auto"/>
          </w:divBdr>
          <w:divsChild>
            <w:div w:id="1131480131">
              <w:marLeft w:val="0"/>
              <w:marRight w:val="0"/>
              <w:marTop w:val="150"/>
              <w:marBottom w:val="270"/>
              <w:divBdr>
                <w:top w:val="none" w:sz="0" w:space="0" w:color="auto"/>
                <w:left w:val="none" w:sz="0" w:space="0" w:color="auto"/>
                <w:bottom w:val="none" w:sz="0" w:space="0" w:color="auto"/>
                <w:right w:val="none" w:sz="0" w:space="0" w:color="auto"/>
              </w:divBdr>
            </w:div>
            <w:div w:id="54280239">
              <w:marLeft w:val="0"/>
              <w:marRight w:val="0"/>
              <w:marTop w:val="150"/>
              <w:marBottom w:val="270"/>
              <w:divBdr>
                <w:top w:val="none" w:sz="0" w:space="0" w:color="auto"/>
                <w:left w:val="none" w:sz="0" w:space="0" w:color="auto"/>
                <w:bottom w:val="none" w:sz="0" w:space="0" w:color="auto"/>
                <w:right w:val="none" w:sz="0" w:space="0" w:color="auto"/>
              </w:divBdr>
            </w:div>
            <w:div w:id="1615745591">
              <w:marLeft w:val="0"/>
              <w:marRight w:val="0"/>
              <w:marTop w:val="150"/>
              <w:marBottom w:val="270"/>
              <w:divBdr>
                <w:top w:val="none" w:sz="0" w:space="0" w:color="auto"/>
                <w:left w:val="none" w:sz="0" w:space="0" w:color="auto"/>
                <w:bottom w:val="none" w:sz="0" w:space="0" w:color="auto"/>
                <w:right w:val="none" w:sz="0" w:space="0" w:color="auto"/>
              </w:divBdr>
            </w:div>
            <w:div w:id="950550915">
              <w:marLeft w:val="0"/>
              <w:marRight w:val="0"/>
              <w:marTop w:val="150"/>
              <w:marBottom w:val="270"/>
              <w:divBdr>
                <w:top w:val="none" w:sz="0" w:space="0" w:color="auto"/>
                <w:left w:val="none" w:sz="0" w:space="0" w:color="auto"/>
                <w:bottom w:val="none" w:sz="0" w:space="0" w:color="auto"/>
                <w:right w:val="none" w:sz="0" w:space="0" w:color="auto"/>
              </w:divBdr>
            </w:div>
          </w:divsChild>
        </w:div>
        <w:div w:id="636881786">
          <w:marLeft w:val="0"/>
          <w:marRight w:val="0"/>
          <w:marTop w:val="0"/>
          <w:marBottom w:val="0"/>
          <w:divBdr>
            <w:top w:val="none" w:sz="0" w:space="0" w:color="auto"/>
            <w:left w:val="none" w:sz="0" w:space="0" w:color="auto"/>
            <w:bottom w:val="none" w:sz="0" w:space="0" w:color="auto"/>
            <w:right w:val="none" w:sz="0" w:space="0" w:color="auto"/>
          </w:divBdr>
        </w:div>
        <w:div w:id="1662585535">
          <w:marLeft w:val="0"/>
          <w:marRight w:val="0"/>
          <w:marTop w:val="0"/>
          <w:marBottom w:val="0"/>
          <w:divBdr>
            <w:top w:val="none" w:sz="0" w:space="0" w:color="auto"/>
            <w:left w:val="none" w:sz="0" w:space="0" w:color="auto"/>
            <w:bottom w:val="none" w:sz="0" w:space="0" w:color="auto"/>
            <w:right w:val="none" w:sz="0" w:space="0" w:color="auto"/>
          </w:divBdr>
        </w:div>
      </w:divsChild>
    </w:div>
    <w:div w:id="1611282286">
      <w:bodyDiv w:val="1"/>
      <w:marLeft w:val="0"/>
      <w:marRight w:val="0"/>
      <w:marTop w:val="0"/>
      <w:marBottom w:val="0"/>
      <w:divBdr>
        <w:top w:val="none" w:sz="0" w:space="0" w:color="auto"/>
        <w:left w:val="none" w:sz="0" w:space="0" w:color="auto"/>
        <w:bottom w:val="none" w:sz="0" w:space="0" w:color="auto"/>
        <w:right w:val="none" w:sz="0" w:space="0" w:color="auto"/>
      </w:divBdr>
      <w:divsChild>
        <w:div w:id="2106146918">
          <w:marLeft w:val="0"/>
          <w:marRight w:val="0"/>
          <w:marTop w:val="0"/>
          <w:marBottom w:val="0"/>
          <w:divBdr>
            <w:top w:val="none" w:sz="0" w:space="0" w:color="auto"/>
            <w:left w:val="none" w:sz="0" w:space="0" w:color="auto"/>
            <w:bottom w:val="none" w:sz="0" w:space="0" w:color="auto"/>
            <w:right w:val="none" w:sz="0" w:space="0" w:color="auto"/>
          </w:divBdr>
        </w:div>
        <w:div w:id="560676300">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221616">
              <w:marLeft w:val="0"/>
              <w:marRight w:val="0"/>
              <w:marTop w:val="0"/>
              <w:marBottom w:val="0"/>
              <w:divBdr>
                <w:top w:val="none" w:sz="0" w:space="0" w:color="auto"/>
                <w:left w:val="none" w:sz="0" w:space="0" w:color="auto"/>
                <w:bottom w:val="none" w:sz="0" w:space="0" w:color="auto"/>
                <w:right w:val="none" w:sz="0" w:space="0" w:color="auto"/>
              </w:divBdr>
            </w:div>
            <w:div w:id="704259956">
              <w:marLeft w:val="0"/>
              <w:marRight w:val="0"/>
              <w:marTop w:val="0"/>
              <w:marBottom w:val="0"/>
              <w:divBdr>
                <w:top w:val="none" w:sz="0" w:space="0" w:color="auto"/>
                <w:left w:val="none" w:sz="0" w:space="0" w:color="auto"/>
                <w:bottom w:val="none" w:sz="0" w:space="0" w:color="auto"/>
                <w:right w:val="none" w:sz="0" w:space="0" w:color="auto"/>
              </w:divBdr>
            </w:div>
            <w:div w:id="669215006">
              <w:marLeft w:val="0"/>
              <w:marRight w:val="0"/>
              <w:marTop w:val="0"/>
              <w:marBottom w:val="0"/>
              <w:divBdr>
                <w:top w:val="none" w:sz="0" w:space="0" w:color="auto"/>
                <w:left w:val="none" w:sz="0" w:space="0" w:color="auto"/>
                <w:bottom w:val="none" w:sz="0" w:space="0" w:color="auto"/>
                <w:right w:val="none" w:sz="0" w:space="0" w:color="auto"/>
              </w:divBdr>
            </w:div>
            <w:div w:id="1290160137">
              <w:marLeft w:val="0"/>
              <w:marRight w:val="0"/>
              <w:marTop w:val="0"/>
              <w:marBottom w:val="0"/>
              <w:divBdr>
                <w:top w:val="none" w:sz="0" w:space="0" w:color="auto"/>
                <w:left w:val="none" w:sz="0" w:space="0" w:color="auto"/>
                <w:bottom w:val="none" w:sz="0" w:space="0" w:color="auto"/>
                <w:right w:val="none" w:sz="0" w:space="0" w:color="auto"/>
              </w:divBdr>
            </w:div>
            <w:div w:id="597061701">
              <w:marLeft w:val="0"/>
              <w:marRight w:val="0"/>
              <w:marTop w:val="0"/>
              <w:marBottom w:val="0"/>
              <w:divBdr>
                <w:top w:val="none" w:sz="0" w:space="0" w:color="auto"/>
                <w:left w:val="none" w:sz="0" w:space="0" w:color="auto"/>
                <w:bottom w:val="none" w:sz="0" w:space="0" w:color="auto"/>
                <w:right w:val="none" w:sz="0" w:space="0" w:color="auto"/>
              </w:divBdr>
            </w:div>
            <w:div w:id="993339300">
              <w:marLeft w:val="0"/>
              <w:marRight w:val="0"/>
              <w:marTop w:val="0"/>
              <w:marBottom w:val="0"/>
              <w:divBdr>
                <w:top w:val="none" w:sz="0" w:space="0" w:color="auto"/>
                <w:left w:val="none" w:sz="0" w:space="0" w:color="auto"/>
                <w:bottom w:val="none" w:sz="0" w:space="0" w:color="auto"/>
                <w:right w:val="none" w:sz="0" w:space="0" w:color="auto"/>
              </w:divBdr>
            </w:div>
            <w:div w:id="1697076733">
              <w:marLeft w:val="0"/>
              <w:marRight w:val="0"/>
              <w:marTop w:val="0"/>
              <w:marBottom w:val="0"/>
              <w:divBdr>
                <w:top w:val="none" w:sz="0" w:space="0" w:color="auto"/>
                <w:left w:val="none" w:sz="0" w:space="0" w:color="auto"/>
                <w:bottom w:val="none" w:sz="0" w:space="0" w:color="auto"/>
                <w:right w:val="none" w:sz="0" w:space="0" w:color="auto"/>
              </w:divBdr>
            </w:div>
            <w:div w:id="2072538636">
              <w:marLeft w:val="0"/>
              <w:marRight w:val="0"/>
              <w:marTop w:val="0"/>
              <w:marBottom w:val="0"/>
              <w:divBdr>
                <w:top w:val="none" w:sz="0" w:space="0" w:color="auto"/>
                <w:left w:val="none" w:sz="0" w:space="0" w:color="auto"/>
                <w:bottom w:val="none" w:sz="0" w:space="0" w:color="auto"/>
                <w:right w:val="none" w:sz="0" w:space="0" w:color="auto"/>
              </w:divBdr>
            </w:div>
            <w:div w:id="1757441602">
              <w:marLeft w:val="0"/>
              <w:marRight w:val="0"/>
              <w:marTop w:val="0"/>
              <w:marBottom w:val="0"/>
              <w:divBdr>
                <w:top w:val="none" w:sz="0" w:space="0" w:color="auto"/>
                <w:left w:val="none" w:sz="0" w:space="0" w:color="auto"/>
                <w:bottom w:val="none" w:sz="0" w:space="0" w:color="auto"/>
                <w:right w:val="none" w:sz="0" w:space="0" w:color="auto"/>
              </w:divBdr>
            </w:div>
            <w:div w:id="2075229207">
              <w:marLeft w:val="0"/>
              <w:marRight w:val="0"/>
              <w:marTop w:val="0"/>
              <w:marBottom w:val="0"/>
              <w:divBdr>
                <w:top w:val="none" w:sz="0" w:space="0" w:color="auto"/>
                <w:left w:val="none" w:sz="0" w:space="0" w:color="auto"/>
                <w:bottom w:val="none" w:sz="0" w:space="0" w:color="auto"/>
                <w:right w:val="none" w:sz="0" w:space="0" w:color="auto"/>
              </w:divBdr>
            </w:div>
            <w:div w:id="729966659">
              <w:marLeft w:val="0"/>
              <w:marRight w:val="0"/>
              <w:marTop w:val="0"/>
              <w:marBottom w:val="0"/>
              <w:divBdr>
                <w:top w:val="none" w:sz="0" w:space="0" w:color="auto"/>
                <w:left w:val="none" w:sz="0" w:space="0" w:color="auto"/>
                <w:bottom w:val="none" w:sz="0" w:space="0" w:color="auto"/>
                <w:right w:val="none" w:sz="0" w:space="0" w:color="auto"/>
              </w:divBdr>
            </w:div>
            <w:div w:id="1871915067">
              <w:marLeft w:val="0"/>
              <w:marRight w:val="0"/>
              <w:marTop w:val="0"/>
              <w:marBottom w:val="0"/>
              <w:divBdr>
                <w:top w:val="none" w:sz="0" w:space="0" w:color="auto"/>
                <w:left w:val="none" w:sz="0" w:space="0" w:color="auto"/>
                <w:bottom w:val="none" w:sz="0" w:space="0" w:color="auto"/>
                <w:right w:val="none" w:sz="0" w:space="0" w:color="auto"/>
              </w:divBdr>
            </w:div>
            <w:div w:id="1811630387">
              <w:marLeft w:val="0"/>
              <w:marRight w:val="0"/>
              <w:marTop w:val="0"/>
              <w:marBottom w:val="0"/>
              <w:divBdr>
                <w:top w:val="none" w:sz="0" w:space="0" w:color="auto"/>
                <w:left w:val="none" w:sz="0" w:space="0" w:color="auto"/>
                <w:bottom w:val="none" w:sz="0" w:space="0" w:color="auto"/>
                <w:right w:val="none" w:sz="0" w:space="0" w:color="auto"/>
              </w:divBdr>
            </w:div>
            <w:div w:id="980310147">
              <w:marLeft w:val="0"/>
              <w:marRight w:val="0"/>
              <w:marTop w:val="0"/>
              <w:marBottom w:val="0"/>
              <w:divBdr>
                <w:top w:val="none" w:sz="0" w:space="0" w:color="auto"/>
                <w:left w:val="none" w:sz="0" w:space="0" w:color="auto"/>
                <w:bottom w:val="none" w:sz="0" w:space="0" w:color="auto"/>
                <w:right w:val="none" w:sz="0" w:space="0" w:color="auto"/>
              </w:divBdr>
            </w:div>
            <w:div w:id="954950079">
              <w:marLeft w:val="0"/>
              <w:marRight w:val="0"/>
              <w:marTop w:val="0"/>
              <w:marBottom w:val="0"/>
              <w:divBdr>
                <w:top w:val="none" w:sz="0" w:space="0" w:color="auto"/>
                <w:left w:val="none" w:sz="0" w:space="0" w:color="auto"/>
                <w:bottom w:val="none" w:sz="0" w:space="0" w:color="auto"/>
                <w:right w:val="none" w:sz="0" w:space="0" w:color="auto"/>
              </w:divBdr>
            </w:div>
            <w:div w:id="119496422">
              <w:marLeft w:val="0"/>
              <w:marRight w:val="0"/>
              <w:marTop w:val="0"/>
              <w:marBottom w:val="0"/>
              <w:divBdr>
                <w:top w:val="none" w:sz="0" w:space="0" w:color="auto"/>
                <w:left w:val="none" w:sz="0" w:space="0" w:color="auto"/>
                <w:bottom w:val="none" w:sz="0" w:space="0" w:color="auto"/>
                <w:right w:val="none" w:sz="0" w:space="0" w:color="auto"/>
              </w:divBdr>
            </w:div>
            <w:div w:id="859860130">
              <w:marLeft w:val="0"/>
              <w:marRight w:val="0"/>
              <w:marTop w:val="0"/>
              <w:marBottom w:val="0"/>
              <w:divBdr>
                <w:top w:val="none" w:sz="0" w:space="0" w:color="auto"/>
                <w:left w:val="none" w:sz="0" w:space="0" w:color="auto"/>
                <w:bottom w:val="none" w:sz="0" w:space="0" w:color="auto"/>
                <w:right w:val="none" w:sz="0" w:space="0" w:color="auto"/>
              </w:divBdr>
            </w:div>
            <w:div w:id="754519571">
              <w:marLeft w:val="0"/>
              <w:marRight w:val="0"/>
              <w:marTop w:val="0"/>
              <w:marBottom w:val="0"/>
              <w:divBdr>
                <w:top w:val="none" w:sz="0" w:space="0" w:color="auto"/>
                <w:left w:val="none" w:sz="0" w:space="0" w:color="auto"/>
                <w:bottom w:val="none" w:sz="0" w:space="0" w:color="auto"/>
                <w:right w:val="none" w:sz="0" w:space="0" w:color="auto"/>
              </w:divBdr>
            </w:div>
            <w:div w:id="1984968970">
              <w:marLeft w:val="0"/>
              <w:marRight w:val="0"/>
              <w:marTop w:val="0"/>
              <w:marBottom w:val="0"/>
              <w:divBdr>
                <w:top w:val="none" w:sz="0" w:space="0" w:color="auto"/>
                <w:left w:val="none" w:sz="0" w:space="0" w:color="auto"/>
                <w:bottom w:val="none" w:sz="0" w:space="0" w:color="auto"/>
                <w:right w:val="none" w:sz="0" w:space="0" w:color="auto"/>
              </w:divBdr>
            </w:div>
            <w:div w:id="1035229203">
              <w:marLeft w:val="0"/>
              <w:marRight w:val="0"/>
              <w:marTop w:val="0"/>
              <w:marBottom w:val="0"/>
              <w:divBdr>
                <w:top w:val="none" w:sz="0" w:space="0" w:color="auto"/>
                <w:left w:val="none" w:sz="0" w:space="0" w:color="auto"/>
                <w:bottom w:val="none" w:sz="0" w:space="0" w:color="auto"/>
                <w:right w:val="none" w:sz="0" w:space="0" w:color="auto"/>
              </w:divBdr>
            </w:div>
            <w:div w:id="2082025469">
              <w:marLeft w:val="0"/>
              <w:marRight w:val="0"/>
              <w:marTop w:val="0"/>
              <w:marBottom w:val="0"/>
              <w:divBdr>
                <w:top w:val="none" w:sz="0" w:space="0" w:color="auto"/>
                <w:left w:val="none" w:sz="0" w:space="0" w:color="auto"/>
                <w:bottom w:val="none" w:sz="0" w:space="0" w:color="auto"/>
                <w:right w:val="none" w:sz="0" w:space="0" w:color="auto"/>
              </w:divBdr>
            </w:div>
            <w:div w:id="242028841">
              <w:marLeft w:val="0"/>
              <w:marRight w:val="0"/>
              <w:marTop w:val="0"/>
              <w:marBottom w:val="0"/>
              <w:divBdr>
                <w:top w:val="none" w:sz="0" w:space="0" w:color="auto"/>
                <w:left w:val="none" w:sz="0" w:space="0" w:color="auto"/>
                <w:bottom w:val="none" w:sz="0" w:space="0" w:color="auto"/>
                <w:right w:val="none" w:sz="0" w:space="0" w:color="auto"/>
              </w:divBdr>
            </w:div>
            <w:div w:id="1695498933">
              <w:marLeft w:val="0"/>
              <w:marRight w:val="0"/>
              <w:marTop w:val="0"/>
              <w:marBottom w:val="0"/>
              <w:divBdr>
                <w:top w:val="none" w:sz="0" w:space="0" w:color="auto"/>
                <w:left w:val="none" w:sz="0" w:space="0" w:color="auto"/>
                <w:bottom w:val="none" w:sz="0" w:space="0" w:color="auto"/>
                <w:right w:val="none" w:sz="0" w:space="0" w:color="auto"/>
              </w:divBdr>
            </w:div>
            <w:div w:id="991175859">
              <w:marLeft w:val="0"/>
              <w:marRight w:val="0"/>
              <w:marTop w:val="0"/>
              <w:marBottom w:val="0"/>
              <w:divBdr>
                <w:top w:val="none" w:sz="0" w:space="0" w:color="auto"/>
                <w:left w:val="none" w:sz="0" w:space="0" w:color="auto"/>
                <w:bottom w:val="none" w:sz="0" w:space="0" w:color="auto"/>
                <w:right w:val="none" w:sz="0" w:space="0" w:color="auto"/>
              </w:divBdr>
            </w:div>
            <w:div w:id="1817062751">
              <w:marLeft w:val="0"/>
              <w:marRight w:val="0"/>
              <w:marTop w:val="0"/>
              <w:marBottom w:val="0"/>
              <w:divBdr>
                <w:top w:val="none" w:sz="0" w:space="0" w:color="auto"/>
                <w:left w:val="none" w:sz="0" w:space="0" w:color="auto"/>
                <w:bottom w:val="none" w:sz="0" w:space="0" w:color="auto"/>
                <w:right w:val="none" w:sz="0" w:space="0" w:color="auto"/>
              </w:divBdr>
            </w:div>
            <w:div w:id="1041127658">
              <w:marLeft w:val="0"/>
              <w:marRight w:val="0"/>
              <w:marTop w:val="0"/>
              <w:marBottom w:val="0"/>
              <w:divBdr>
                <w:top w:val="none" w:sz="0" w:space="0" w:color="auto"/>
                <w:left w:val="none" w:sz="0" w:space="0" w:color="auto"/>
                <w:bottom w:val="none" w:sz="0" w:space="0" w:color="auto"/>
                <w:right w:val="none" w:sz="0" w:space="0" w:color="auto"/>
              </w:divBdr>
            </w:div>
            <w:div w:id="695303583">
              <w:marLeft w:val="0"/>
              <w:marRight w:val="0"/>
              <w:marTop w:val="0"/>
              <w:marBottom w:val="0"/>
              <w:divBdr>
                <w:top w:val="none" w:sz="0" w:space="0" w:color="auto"/>
                <w:left w:val="none" w:sz="0" w:space="0" w:color="auto"/>
                <w:bottom w:val="none" w:sz="0" w:space="0" w:color="auto"/>
                <w:right w:val="none" w:sz="0" w:space="0" w:color="auto"/>
              </w:divBdr>
            </w:div>
            <w:div w:id="1980305364">
              <w:marLeft w:val="0"/>
              <w:marRight w:val="0"/>
              <w:marTop w:val="0"/>
              <w:marBottom w:val="0"/>
              <w:divBdr>
                <w:top w:val="none" w:sz="0" w:space="0" w:color="auto"/>
                <w:left w:val="none" w:sz="0" w:space="0" w:color="auto"/>
                <w:bottom w:val="none" w:sz="0" w:space="0" w:color="auto"/>
                <w:right w:val="none" w:sz="0" w:space="0" w:color="auto"/>
              </w:divBdr>
            </w:div>
            <w:div w:id="1277830371">
              <w:marLeft w:val="0"/>
              <w:marRight w:val="0"/>
              <w:marTop w:val="0"/>
              <w:marBottom w:val="0"/>
              <w:divBdr>
                <w:top w:val="none" w:sz="0" w:space="0" w:color="auto"/>
                <w:left w:val="none" w:sz="0" w:space="0" w:color="auto"/>
                <w:bottom w:val="none" w:sz="0" w:space="0" w:color="auto"/>
                <w:right w:val="none" w:sz="0" w:space="0" w:color="auto"/>
              </w:divBdr>
            </w:div>
            <w:div w:id="794060721">
              <w:marLeft w:val="0"/>
              <w:marRight w:val="0"/>
              <w:marTop w:val="0"/>
              <w:marBottom w:val="0"/>
              <w:divBdr>
                <w:top w:val="none" w:sz="0" w:space="0" w:color="auto"/>
                <w:left w:val="none" w:sz="0" w:space="0" w:color="auto"/>
                <w:bottom w:val="none" w:sz="0" w:space="0" w:color="auto"/>
                <w:right w:val="none" w:sz="0" w:space="0" w:color="auto"/>
              </w:divBdr>
            </w:div>
            <w:div w:id="239101227">
              <w:marLeft w:val="0"/>
              <w:marRight w:val="0"/>
              <w:marTop w:val="0"/>
              <w:marBottom w:val="0"/>
              <w:divBdr>
                <w:top w:val="none" w:sz="0" w:space="0" w:color="auto"/>
                <w:left w:val="none" w:sz="0" w:space="0" w:color="auto"/>
                <w:bottom w:val="none" w:sz="0" w:space="0" w:color="auto"/>
                <w:right w:val="none" w:sz="0" w:space="0" w:color="auto"/>
              </w:divBdr>
            </w:div>
            <w:div w:id="1022048252">
              <w:marLeft w:val="0"/>
              <w:marRight w:val="0"/>
              <w:marTop w:val="0"/>
              <w:marBottom w:val="0"/>
              <w:divBdr>
                <w:top w:val="none" w:sz="0" w:space="0" w:color="auto"/>
                <w:left w:val="none" w:sz="0" w:space="0" w:color="auto"/>
                <w:bottom w:val="none" w:sz="0" w:space="0" w:color="auto"/>
                <w:right w:val="none" w:sz="0" w:space="0" w:color="auto"/>
              </w:divBdr>
            </w:div>
            <w:div w:id="1393694181">
              <w:marLeft w:val="0"/>
              <w:marRight w:val="0"/>
              <w:marTop w:val="0"/>
              <w:marBottom w:val="0"/>
              <w:divBdr>
                <w:top w:val="none" w:sz="0" w:space="0" w:color="auto"/>
                <w:left w:val="none" w:sz="0" w:space="0" w:color="auto"/>
                <w:bottom w:val="none" w:sz="0" w:space="0" w:color="auto"/>
                <w:right w:val="none" w:sz="0" w:space="0" w:color="auto"/>
              </w:divBdr>
            </w:div>
            <w:div w:id="1888644347">
              <w:marLeft w:val="0"/>
              <w:marRight w:val="0"/>
              <w:marTop w:val="0"/>
              <w:marBottom w:val="0"/>
              <w:divBdr>
                <w:top w:val="none" w:sz="0" w:space="0" w:color="auto"/>
                <w:left w:val="none" w:sz="0" w:space="0" w:color="auto"/>
                <w:bottom w:val="none" w:sz="0" w:space="0" w:color="auto"/>
                <w:right w:val="none" w:sz="0" w:space="0" w:color="auto"/>
              </w:divBdr>
            </w:div>
            <w:div w:id="2110271360">
              <w:marLeft w:val="0"/>
              <w:marRight w:val="0"/>
              <w:marTop w:val="0"/>
              <w:marBottom w:val="0"/>
              <w:divBdr>
                <w:top w:val="none" w:sz="0" w:space="0" w:color="auto"/>
                <w:left w:val="none" w:sz="0" w:space="0" w:color="auto"/>
                <w:bottom w:val="none" w:sz="0" w:space="0" w:color="auto"/>
                <w:right w:val="none" w:sz="0" w:space="0" w:color="auto"/>
              </w:divBdr>
            </w:div>
            <w:div w:id="1227959370">
              <w:marLeft w:val="0"/>
              <w:marRight w:val="0"/>
              <w:marTop w:val="0"/>
              <w:marBottom w:val="0"/>
              <w:divBdr>
                <w:top w:val="none" w:sz="0" w:space="0" w:color="auto"/>
                <w:left w:val="none" w:sz="0" w:space="0" w:color="auto"/>
                <w:bottom w:val="none" w:sz="0" w:space="0" w:color="auto"/>
                <w:right w:val="none" w:sz="0" w:space="0" w:color="auto"/>
              </w:divBdr>
            </w:div>
            <w:div w:id="633213522">
              <w:marLeft w:val="0"/>
              <w:marRight w:val="0"/>
              <w:marTop w:val="0"/>
              <w:marBottom w:val="0"/>
              <w:divBdr>
                <w:top w:val="none" w:sz="0" w:space="0" w:color="auto"/>
                <w:left w:val="none" w:sz="0" w:space="0" w:color="auto"/>
                <w:bottom w:val="none" w:sz="0" w:space="0" w:color="auto"/>
                <w:right w:val="none" w:sz="0" w:space="0" w:color="auto"/>
              </w:divBdr>
            </w:div>
            <w:div w:id="1653022158">
              <w:marLeft w:val="0"/>
              <w:marRight w:val="0"/>
              <w:marTop w:val="0"/>
              <w:marBottom w:val="0"/>
              <w:divBdr>
                <w:top w:val="none" w:sz="0" w:space="0" w:color="auto"/>
                <w:left w:val="none" w:sz="0" w:space="0" w:color="auto"/>
                <w:bottom w:val="none" w:sz="0" w:space="0" w:color="auto"/>
                <w:right w:val="none" w:sz="0" w:space="0" w:color="auto"/>
              </w:divBdr>
            </w:div>
            <w:div w:id="2127313190">
              <w:marLeft w:val="0"/>
              <w:marRight w:val="0"/>
              <w:marTop w:val="0"/>
              <w:marBottom w:val="0"/>
              <w:divBdr>
                <w:top w:val="none" w:sz="0" w:space="0" w:color="auto"/>
                <w:left w:val="none" w:sz="0" w:space="0" w:color="auto"/>
                <w:bottom w:val="none" w:sz="0" w:space="0" w:color="auto"/>
                <w:right w:val="none" w:sz="0" w:space="0" w:color="auto"/>
              </w:divBdr>
            </w:div>
            <w:div w:id="244192699">
              <w:marLeft w:val="0"/>
              <w:marRight w:val="0"/>
              <w:marTop w:val="0"/>
              <w:marBottom w:val="0"/>
              <w:divBdr>
                <w:top w:val="none" w:sz="0" w:space="0" w:color="auto"/>
                <w:left w:val="none" w:sz="0" w:space="0" w:color="auto"/>
                <w:bottom w:val="none" w:sz="0" w:space="0" w:color="auto"/>
                <w:right w:val="none" w:sz="0" w:space="0" w:color="auto"/>
              </w:divBdr>
            </w:div>
            <w:div w:id="845174526">
              <w:marLeft w:val="0"/>
              <w:marRight w:val="0"/>
              <w:marTop w:val="0"/>
              <w:marBottom w:val="0"/>
              <w:divBdr>
                <w:top w:val="none" w:sz="0" w:space="0" w:color="auto"/>
                <w:left w:val="none" w:sz="0" w:space="0" w:color="auto"/>
                <w:bottom w:val="none" w:sz="0" w:space="0" w:color="auto"/>
                <w:right w:val="none" w:sz="0" w:space="0" w:color="auto"/>
              </w:divBdr>
            </w:div>
            <w:div w:id="1652829689">
              <w:marLeft w:val="0"/>
              <w:marRight w:val="0"/>
              <w:marTop w:val="0"/>
              <w:marBottom w:val="0"/>
              <w:divBdr>
                <w:top w:val="none" w:sz="0" w:space="0" w:color="auto"/>
                <w:left w:val="none" w:sz="0" w:space="0" w:color="auto"/>
                <w:bottom w:val="none" w:sz="0" w:space="0" w:color="auto"/>
                <w:right w:val="none" w:sz="0" w:space="0" w:color="auto"/>
              </w:divBdr>
            </w:div>
            <w:div w:id="1033195686">
              <w:marLeft w:val="0"/>
              <w:marRight w:val="0"/>
              <w:marTop w:val="0"/>
              <w:marBottom w:val="0"/>
              <w:divBdr>
                <w:top w:val="none" w:sz="0" w:space="0" w:color="auto"/>
                <w:left w:val="none" w:sz="0" w:space="0" w:color="auto"/>
                <w:bottom w:val="none" w:sz="0" w:space="0" w:color="auto"/>
                <w:right w:val="none" w:sz="0" w:space="0" w:color="auto"/>
              </w:divBdr>
            </w:div>
            <w:div w:id="198208298">
              <w:marLeft w:val="0"/>
              <w:marRight w:val="0"/>
              <w:marTop w:val="0"/>
              <w:marBottom w:val="0"/>
              <w:divBdr>
                <w:top w:val="none" w:sz="0" w:space="0" w:color="auto"/>
                <w:left w:val="none" w:sz="0" w:space="0" w:color="auto"/>
                <w:bottom w:val="none" w:sz="0" w:space="0" w:color="auto"/>
                <w:right w:val="none" w:sz="0" w:space="0" w:color="auto"/>
              </w:divBdr>
            </w:div>
            <w:div w:id="1472939220">
              <w:marLeft w:val="0"/>
              <w:marRight w:val="0"/>
              <w:marTop w:val="0"/>
              <w:marBottom w:val="0"/>
              <w:divBdr>
                <w:top w:val="none" w:sz="0" w:space="0" w:color="auto"/>
                <w:left w:val="none" w:sz="0" w:space="0" w:color="auto"/>
                <w:bottom w:val="none" w:sz="0" w:space="0" w:color="auto"/>
                <w:right w:val="none" w:sz="0" w:space="0" w:color="auto"/>
              </w:divBdr>
            </w:div>
            <w:div w:id="257642923">
              <w:marLeft w:val="0"/>
              <w:marRight w:val="0"/>
              <w:marTop w:val="0"/>
              <w:marBottom w:val="0"/>
              <w:divBdr>
                <w:top w:val="none" w:sz="0" w:space="0" w:color="auto"/>
                <w:left w:val="none" w:sz="0" w:space="0" w:color="auto"/>
                <w:bottom w:val="none" w:sz="0" w:space="0" w:color="auto"/>
                <w:right w:val="none" w:sz="0" w:space="0" w:color="auto"/>
              </w:divBdr>
            </w:div>
            <w:div w:id="721174496">
              <w:marLeft w:val="0"/>
              <w:marRight w:val="0"/>
              <w:marTop w:val="0"/>
              <w:marBottom w:val="0"/>
              <w:divBdr>
                <w:top w:val="none" w:sz="0" w:space="0" w:color="auto"/>
                <w:left w:val="none" w:sz="0" w:space="0" w:color="auto"/>
                <w:bottom w:val="none" w:sz="0" w:space="0" w:color="auto"/>
                <w:right w:val="none" w:sz="0" w:space="0" w:color="auto"/>
              </w:divBdr>
            </w:div>
            <w:div w:id="1042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esjournals.onlinelibrary.wiley.com/doi/full/10.1111/j.1365-2745.2006.01202.x" TargetMode="External"/><Relationship Id="rId21" Type="http://schemas.openxmlformats.org/officeDocument/2006/relationships/hyperlink" Target="https://besjournals.onlinelibrary.wiley.com/doi/full/10.1111/j.1365-2745.2006.01202.x" TargetMode="External"/><Relationship Id="rId42" Type="http://schemas.openxmlformats.org/officeDocument/2006/relationships/hyperlink" Target="https://besjournals.onlinelibrary.wiley.com/doi/full/10.1111/j.1365-2745.2006.01202.x" TargetMode="External"/><Relationship Id="rId63" Type="http://schemas.openxmlformats.org/officeDocument/2006/relationships/hyperlink" Target="https://besjournals.onlinelibrary.wiley.com/doi/full/10.1111/j.1365-2745.2006.01202.x" TargetMode="External"/><Relationship Id="rId84" Type="http://schemas.openxmlformats.org/officeDocument/2006/relationships/hyperlink" Target="https://besjournals.onlinelibrary.wiley.com/doi/full/10.1111/j.1365-2745.2006.01202.x" TargetMode="External"/><Relationship Id="rId138" Type="http://schemas.openxmlformats.org/officeDocument/2006/relationships/hyperlink" Target="https://besjournals.onlinelibrary.wiley.com/doi/full/10.1111/j.1365-2745.2006.01202.x" TargetMode="External"/><Relationship Id="rId159" Type="http://schemas.openxmlformats.org/officeDocument/2006/relationships/hyperlink" Target="https://besjournals.onlinelibrary.wiley.com/doi/full/10.1111/j.1365-2745.2006.01202.x" TargetMode="External"/><Relationship Id="rId170" Type="http://schemas.openxmlformats.org/officeDocument/2006/relationships/hyperlink" Target="https://besjournals.onlinelibrary.wiley.com/doi/full/10.1111/j.1365-2745.2006.01202.x" TargetMode="External"/><Relationship Id="rId107" Type="http://schemas.openxmlformats.org/officeDocument/2006/relationships/image" Target="media/image5.gif"/><Relationship Id="rId11" Type="http://schemas.openxmlformats.org/officeDocument/2006/relationships/hyperlink" Target="https://besjournals.onlinelibrary.wiley.com/doi/full/10.1111/j.1365-2745.2006.01202.x" TargetMode="External"/><Relationship Id="rId32" Type="http://schemas.openxmlformats.org/officeDocument/2006/relationships/hyperlink" Target="https://besjournals.onlinelibrary.wiley.com/doi/full/10.1111/j.1365-2745.2006.01202.x" TargetMode="External"/><Relationship Id="rId53" Type="http://schemas.openxmlformats.org/officeDocument/2006/relationships/hyperlink" Target="https://besjournals.onlinelibrary.wiley.com/doi/full/10.1111/j.1365-2745.2006.01202.x" TargetMode="External"/><Relationship Id="rId74" Type="http://schemas.openxmlformats.org/officeDocument/2006/relationships/hyperlink" Target="https://besjournals.onlinelibrary.wiley.com/doi/full/10.1111/j.1365-2745.2006.01202.x" TargetMode="External"/><Relationship Id="rId128" Type="http://schemas.openxmlformats.org/officeDocument/2006/relationships/hyperlink" Target="https://besjournals.onlinelibrary.wiley.com/doi/full/10.1111/j.1365-2745.2006.01202.x" TargetMode="External"/><Relationship Id="rId149" Type="http://schemas.openxmlformats.org/officeDocument/2006/relationships/hyperlink" Target="https://besjournals.onlinelibrary.wiley.com/doi/full/10.1111/j.1365-2745.2006.01202.x" TargetMode="External"/><Relationship Id="rId5" Type="http://schemas.openxmlformats.org/officeDocument/2006/relationships/styles" Target="styles.xml"/><Relationship Id="rId95" Type="http://schemas.openxmlformats.org/officeDocument/2006/relationships/hyperlink" Target="https://besjournals.onlinelibrary.wiley.com/doi/full/10.1111/j.1365-2745.2006.01202.x" TargetMode="External"/><Relationship Id="rId160" Type="http://schemas.openxmlformats.org/officeDocument/2006/relationships/hyperlink" Target="https://besjournals.onlinelibrary.wiley.com/doi/full/10.1111/j.1365-2745.2006.01202.x" TargetMode="External"/><Relationship Id="rId181" Type="http://schemas.openxmlformats.org/officeDocument/2006/relationships/hyperlink" Target="http://www.r-project.org/" TargetMode="External"/><Relationship Id="rId22" Type="http://schemas.openxmlformats.org/officeDocument/2006/relationships/hyperlink" Target="https://besjournals.onlinelibrary.wiley.com/doi/full/10.1111/j.1365-2745.2006.01202.x" TargetMode="External"/><Relationship Id="rId43" Type="http://schemas.openxmlformats.org/officeDocument/2006/relationships/hyperlink" Target="https://besjournals.onlinelibrary.wiley.com/doi/full/10.1111/j.1365-2745.2006.01202.x" TargetMode="External"/><Relationship Id="rId64" Type="http://schemas.openxmlformats.org/officeDocument/2006/relationships/hyperlink" Target="https://besjournals.onlinelibrary.wiley.com/doi/full/10.1111/j.1365-2745.2006.01202.x" TargetMode="External"/><Relationship Id="rId118" Type="http://schemas.openxmlformats.org/officeDocument/2006/relationships/hyperlink" Target="https://besjournals.onlinelibrary.wiley.com/doi/full/10.1111/j.1365-2745.2006.01202.x" TargetMode="External"/><Relationship Id="rId139" Type="http://schemas.openxmlformats.org/officeDocument/2006/relationships/hyperlink" Target="https://besjournals.onlinelibrary.wiley.com/doi/full/10.1111/j.1365-2745.2006.01202.x" TargetMode="External"/><Relationship Id="rId85" Type="http://schemas.openxmlformats.org/officeDocument/2006/relationships/hyperlink" Target="https://besjournals.onlinelibrary.wiley.com/doi/full/10.1111/j.1365-2745.2006.01202.x" TargetMode="External"/><Relationship Id="rId150" Type="http://schemas.openxmlformats.org/officeDocument/2006/relationships/hyperlink" Target="https://besjournals.onlinelibrary.wiley.com/doi/full/10.1111/j.1365-2745.2006.01202.x" TargetMode="External"/><Relationship Id="rId171" Type="http://schemas.openxmlformats.org/officeDocument/2006/relationships/hyperlink" Target="https://besjournals.onlinelibrary.wiley.com/doi/full/10.1111/j.1365-2745.2006.01202.x" TargetMode="External"/><Relationship Id="rId12" Type="http://schemas.openxmlformats.org/officeDocument/2006/relationships/hyperlink" Target="https://besjournals.onlinelibrary.wiley.com/doi/full/10.1111/j.1365-2745.2006.01202.x" TargetMode="External"/><Relationship Id="rId33" Type="http://schemas.openxmlformats.org/officeDocument/2006/relationships/hyperlink" Target="https://besjournals.onlinelibrary.wiley.com/doi/full/10.1111/j.1365-2745.2006.01202.x" TargetMode="External"/><Relationship Id="rId108" Type="http://schemas.openxmlformats.org/officeDocument/2006/relationships/hyperlink" Target="https://besjournals.onlinelibrary.wiley.com/doi/full/10.1111/j.1365-2745.2006.01202.x" TargetMode="External"/><Relationship Id="rId129" Type="http://schemas.openxmlformats.org/officeDocument/2006/relationships/hyperlink" Target="https://besjournals.onlinelibrary.wiley.com/doi/full/10.1111/j.1365-2745.2006.01202.x" TargetMode="External"/><Relationship Id="rId54" Type="http://schemas.openxmlformats.org/officeDocument/2006/relationships/hyperlink" Target="https://besjournals.onlinelibrary.wiley.com/doi/full/10.1111/j.1365-2745.2006.01202.x" TargetMode="External"/><Relationship Id="rId75" Type="http://schemas.openxmlformats.org/officeDocument/2006/relationships/hyperlink" Target="https://besjournals.onlinelibrary.wiley.com/doi/full/10.1111/j.1365-2745.2006.01202.x" TargetMode="External"/><Relationship Id="rId96" Type="http://schemas.openxmlformats.org/officeDocument/2006/relationships/hyperlink" Target="https://besjournals.onlinelibrary.wiley.com/doi/full/10.1111/j.1365-2745.2006.01202.x" TargetMode="External"/><Relationship Id="rId140" Type="http://schemas.openxmlformats.org/officeDocument/2006/relationships/hyperlink" Target="https://besjournals.onlinelibrary.wiley.com/doi/full/10.1111/j.1365-2745.2006.01202.x" TargetMode="External"/><Relationship Id="rId161" Type="http://schemas.openxmlformats.org/officeDocument/2006/relationships/hyperlink" Target="https://besjournals.onlinelibrary.wiley.com/doi/full/10.1111/j.1365-2745.2006.01202.x" TargetMode="External"/><Relationship Id="rId182" Type="http://schemas.openxmlformats.org/officeDocument/2006/relationships/fontTable" Target="fontTable.xml"/><Relationship Id="rId6" Type="http://schemas.openxmlformats.org/officeDocument/2006/relationships/settings" Target="settings.xml"/><Relationship Id="rId23" Type="http://schemas.openxmlformats.org/officeDocument/2006/relationships/hyperlink" Target="https://besjournals.onlinelibrary.wiley.com/doi/full/10.1111/j.1365-2745.2006.01202.x" TargetMode="External"/><Relationship Id="rId119" Type="http://schemas.openxmlformats.org/officeDocument/2006/relationships/hyperlink" Target="https://besjournals.onlinelibrary.wiley.com/doi/full/10.1111/j.1365-2745.2006.01202.x" TargetMode="External"/><Relationship Id="rId44" Type="http://schemas.openxmlformats.org/officeDocument/2006/relationships/hyperlink" Target="https://besjournals.onlinelibrary.wiley.com/doi/full/10.1111/j.1365-2745.2006.01202.x" TargetMode="External"/><Relationship Id="rId60" Type="http://schemas.openxmlformats.org/officeDocument/2006/relationships/hyperlink" Target="https://besjournals.onlinelibrary.wiley.com/doi/full/10.1111/j.1365-2745.2006.01202.x" TargetMode="External"/><Relationship Id="rId65" Type="http://schemas.openxmlformats.org/officeDocument/2006/relationships/hyperlink" Target="https://besjournals.onlinelibrary.wiley.com/doi/full/10.1111/j.1365-2745.2006.01202.x" TargetMode="External"/><Relationship Id="rId81" Type="http://schemas.openxmlformats.org/officeDocument/2006/relationships/hyperlink" Target="https://besjournals.onlinelibrary.wiley.com/doi/full/10.1111/j.1365-2745.2006.01202.x" TargetMode="External"/><Relationship Id="rId86" Type="http://schemas.openxmlformats.org/officeDocument/2006/relationships/hyperlink" Target="https://besjournals.onlinelibrary.wiley.com/doi/full/10.1111/j.1365-2745.2006.01202.x" TargetMode="External"/><Relationship Id="rId130" Type="http://schemas.openxmlformats.org/officeDocument/2006/relationships/hyperlink" Target="https://besjournals.onlinelibrary.wiley.com/doi/full/10.1111/j.1365-2745.2006.01202.x" TargetMode="External"/><Relationship Id="rId135" Type="http://schemas.openxmlformats.org/officeDocument/2006/relationships/hyperlink" Target="https://besjournals.onlinelibrary.wiley.com/doi/full/10.1111/j.1365-2745.2006.01202.x" TargetMode="External"/><Relationship Id="rId151" Type="http://schemas.openxmlformats.org/officeDocument/2006/relationships/hyperlink" Target="https://besjournals.onlinelibrary.wiley.com/doi/full/10.1111/j.1365-2745.2006.01202.x" TargetMode="External"/><Relationship Id="rId156" Type="http://schemas.openxmlformats.org/officeDocument/2006/relationships/hyperlink" Target="https://besjournals.onlinelibrary.wiley.com/doi/full/10.1111/j.1365-2745.2006.01202.x" TargetMode="External"/><Relationship Id="rId177" Type="http://schemas.openxmlformats.org/officeDocument/2006/relationships/hyperlink" Target="https://besjournals.onlinelibrary.wiley.com/doi/full/10.1111/j.1365-2745.2006.01202.x" TargetMode="External"/><Relationship Id="rId172" Type="http://schemas.openxmlformats.org/officeDocument/2006/relationships/hyperlink" Target="https://besjournals.onlinelibrary.wiley.com/doi/full/10.1111/j.1365-2745.2006.01202.x" TargetMode="External"/><Relationship Id="rId13" Type="http://schemas.openxmlformats.org/officeDocument/2006/relationships/hyperlink" Target="https://besjournals.onlinelibrary.wiley.com/doi/full/10.1111/j.1365-2745.2006.01202.x" TargetMode="External"/><Relationship Id="rId18" Type="http://schemas.openxmlformats.org/officeDocument/2006/relationships/hyperlink" Target="https://besjournals.onlinelibrary.wiley.com/doi/full/10.1111/j.1365-2745.2006.01202.x" TargetMode="External"/><Relationship Id="rId39" Type="http://schemas.openxmlformats.org/officeDocument/2006/relationships/hyperlink" Target="https://besjournals.onlinelibrary.wiley.com/doi/full/10.1111/j.1365-2745.2006.01202.x" TargetMode="External"/><Relationship Id="rId109" Type="http://schemas.openxmlformats.org/officeDocument/2006/relationships/hyperlink" Target="https://besjournals.onlinelibrary.wiley.com/doi/full/10.1111/j.1365-2745.2006.01202.x" TargetMode="External"/><Relationship Id="rId34" Type="http://schemas.openxmlformats.org/officeDocument/2006/relationships/hyperlink" Target="https://besjournals.onlinelibrary.wiley.com/doi/full/10.1111/j.1365-2745.2006.01202.x" TargetMode="External"/><Relationship Id="rId50" Type="http://schemas.openxmlformats.org/officeDocument/2006/relationships/hyperlink" Target="https://besjournals.onlinelibrary.wiley.com/doi/full/10.1111/j.1365-2745.2006.01202.x" TargetMode="External"/><Relationship Id="rId55" Type="http://schemas.openxmlformats.org/officeDocument/2006/relationships/hyperlink" Target="https://besjournals.onlinelibrary.wiley.com/doi/full/10.1111/j.1365-2745.2006.01202.x" TargetMode="External"/><Relationship Id="rId76" Type="http://schemas.openxmlformats.org/officeDocument/2006/relationships/hyperlink" Target="https://besjournals.onlinelibrary.wiley.com/doi/full/10.1111/j.1365-2745.2006.01202.x" TargetMode="External"/><Relationship Id="rId97" Type="http://schemas.openxmlformats.org/officeDocument/2006/relationships/hyperlink" Target="https://besjournals.onlinelibrary.wiley.com/doi/full/10.1111/j.1365-2745.2006.01202.x" TargetMode="External"/><Relationship Id="rId104" Type="http://schemas.openxmlformats.org/officeDocument/2006/relationships/hyperlink" Target="https://besjournals.onlinelibrary.wiley.com/doi/full/10.1111/j.1365-2745.2006.01202.x" TargetMode="External"/><Relationship Id="rId120" Type="http://schemas.openxmlformats.org/officeDocument/2006/relationships/hyperlink" Target="https://besjournals.onlinelibrary.wiley.com/doi/full/10.1111/j.1365-2745.2006.01202.x" TargetMode="External"/><Relationship Id="rId125" Type="http://schemas.openxmlformats.org/officeDocument/2006/relationships/hyperlink" Target="https://besjournals.onlinelibrary.wiley.com/doi/full/10.1111/j.1365-2745.2006.01202.x" TargetMode="External"/><Relationship Id="rId141" Type="http://schemas.openxmlformats.org/officeDocument/2006/relationships/hyperlink" Target="https://besjournals.onlinelibrary.wiley.com/doi/full/10.1111/j.1365-2745.2006.01202.x" TargetMode="External"/><Relationship Id="rId146" Type="http://schemas.openxmlformats.org/officeDocument/2006/relationships/hyperlink" Target="https://besjournals.onlinelibrary.wiley.com/doi/full/10.1111/j.1365-2745.2006.01202.x" TargetMode="External"/><Relationship Id="rId167" Type="http://schemas.openxmlformats.org/officeDocument/2006/relationships/hyperlink" Target="https://besjournals.onlinelibrary.wiley.com/doi/full/10.1111/j.1365-2745.2006.01202.x" TargetMode="External"/><Relationship Id="rId7" Type="http://schemas.openxmlformats.org/officeDocument/2006/relationships/webSettings" Target="webSettings.xml"/><Relationship Id="rId71" Type="http://schemas.openxmlformats.org/officeDocument/2006/relationships/hyperlink" Target="https://besjournals.onlinelibrary.wiley.com/doi/full/10.1111/j.1365-2745.2006.01202.x" TargetMode="External"/><Relationship Id="rId92" Type="http://schemas.openxmlformats.org/officeDocument/2006/relationships/hyperlink" Target="https://besjournals.onlinelibrary.wiley.com/doi/full/10.1111/j.1365-2745.2006.01202.x" TargetMode="External"/><Relationship Id="rId162" Type="http://schemas.openxmlformats.org/officeDocument/2006/relationships/hyperlink" Target="https://besjournals.onlinelibrary.wiley.com/doi/full/10.1111/j.1365-2745.2006.01202.x" TargetMode="External"/><Relationship Id="rId183"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besjournals.onlinelibrary.wiley.com/doi/full/10.1111/j.1365-2745.2006.01202.x" TargetMode="External"/><Relationship Id="rId24" Type="http://schemas.openxmlformats.org/officeDocument/2006/relationships/hyperlink" Target="https://besjournals.onlinelibrary.wiley.com/doi/full/10.1111/j.1365-2745.2006.01202.x" TargetMode="External"/><Relationship Id="rId40" Type="http://schemas.openxmlformats.org/officeDocument/2006/relationships/hyperlink" Target="https://besjournals.onlinelibrary.wiley.com/doi/full/10.1111/j.1365-2745.2006.01202.x" TargetMode="External"/><Relationship Id="rId45" Type="http://schemas.openxmlformats.org/officeDocument/2006/relationships/hyperlink" Target="https://besjournals.onlinelibrary.wiley.com/doi/full/10.1111/j.1365-2745.2006.01202.x" TargetMode="External"/><Relationship Id="rId66" Type="http://schemas.openxmlformats.org/officeDocument/2006/relationships/hyperlink" Target="https://besjournals.onlinelibrary.wiley.com/doi/full/10.1111/j.1365-2745.2006.01202.x" TargetMode="External"/><Relationship Id="rId87" Type="http://schemas.openxmlformats.org/officeDocument/2006/relationships/hyperlink" Target="https://besjournals.onlinelibrary.wiley.com/doi/full/10.1111/j.1365-2745.2006.01202.x" TargetMode="External"/><Relationship Id="rId110" Type="http://schemas.openxmlformats.org/officeDocument/2006/relationships/hyperlink" Target="https://besjournals.onlinelibrary.wiley.com/doi/full/10.1111/j.1365-2745.2006.01202.x" TargetMode="External"/><Relationship Id="rId115" Type="http://schemas.openxmlformats.org/officeDocument/2006/relationships/hyperlink" Target="https://besjournals.onlinelibrary.wiley.com/doi/full/10.1111/j.1365-2745.2006.01202.x" TargetMode="External"/><Relationship Id="rId131" Type="http://schemas.openxmlformats.org/officeDocument/2006/relationships/hyperlink" Target="https://besjournals.onlinelibrary.wiley.com/doi/full/10.1111/j.1365-2745.2006.01202.x" TargetMode="External"/><Relationship Id="rId136" Type="http://schemas.openxmlformats.org/officeDocument/2006/relationships/hyperlink" Target="https://besjournals.onlinelibrary.wiley.com/doi/full/10.1111/j.1365-2745.2006.01202.x" TargetMode="External"/><Relationship Id="rId157" Type="http://schemas.openxmlformats.org/officeDocument/2006/relationships/hyperlink" Target="https://besjournals.onlinelibrary.wiley.com/doi/full/10.1111/j.1365-2745.2006.01202.x" TargetMode="External"/><Relationship Id="rId178" Type="http://schemas.openxmlformats.org/officeDocument/2006/relationships/hyperlink" Target="https://besjournals.onlinelibrary.wiley.com/doi/full/10.1111/j.1365-2745.2006.01202.x" TargetMode="External"/><Relationship Id="rId61" Type="http://schemas.openxmlformats.org/officeDocument/2006/relationships/hyperlink" Target="https://besjournals.onlinelibrary.wiley.com/doi/full/10.1111/j.1365-2745.2006.01202.x" TargetMode="External"/><Relationship Id="rId82" Type="http://schemas.openxmlformats.org/officeDocument/2006/relationships/hyperlink" Target="https://besjournals.onlinelibrary.wiley.com/doi/full/10.1111/j.1365-2745.2006.01202.x" TargetMode="External"/><Relationship Id="rId152" Type="http://schemas.openxmlformats.org/officeDocument/2006/relationships/hyperlink" Target="https://besjournals.onlinelibrary.wiley.com/doi/full/10.1111/j.1365-2745.2006.01202.x" TargetMode="External"/><Relationship Id="rId173" Type="http://schemas.openxmlformats.org/officeDocument/2006/relationships/hyperlink" Target="https://besjournals.onlinelibrary.wiley.com/doi/full/10.1111/j.1365-2745.2006.01202.x" TargetMode="External"/><Relationship Id="rId19" Type="http://schemas.openxmlformats.org/officeDocument/2006/relationships/image" Target="media/image1.gif"/><Relationship Id="rId14" Type="http://schemas.openxmlformats.org/officeDocument/2006/relationships/hyperlink" Target="https://besjournals.onlinelibrary.wiley.com/doi/full/10.1111/j.1365-2745.2006.01202.x" TargetMode="External"/><Relationship Id="rId30" Type="http://schemas.openxmlformats.org/officeDocument/2006/relationships/hyperlink" Target="https://besjournals.onlinelibrary.wiley.com/doi/full/10.1111/j.1365-2745.2006.01202.x" TargetMode="External"/><Relationship Id="rId35" Type="http://schemas.openxmlformats.org/officeDocument/2006/relationships/hyperlink" Target="https://besjournals.onlinelibrary.wiley.com/doi/full/10.1111/j.1365-2745.2006.01202.x" TargetMode="External"/><Relationship Id="rId56" Type="http://schemas.openxmlformats.org/officeDocument/2006/relationships/hyperlink" Target="https://besjournals.onlinelibrary.wiley.com/doi/full/10.1111/j.1365-2745.2006.01202.x" TargetMode="External"/><Relationship Id="rId77" Type="http://schemas.openxmlformats.org/officeDocument/2006/relationships/hyperlink" Target="https://besjournals.onlinelibrary.wiley.com/doi/full/10.1111/j.1365-2745.2006.01202.x" TargetMode="External"/><Relationship Id="rId100" Type="http://schemas.openxmlformats.org/officeDocument/2006/relationships/hyperlink" Target="https://besjournals.onlinelibrary.wiley.com/doi/full/10.1111/j.1365-2745.2006.01202.x" TargetMode="External"/><Relationship Id="rId105" Type="http://schemas.openxmlformats.org/officeDocument/2006/relationships/image" Target="media/image4.gif"/><Relationship Id="rId126" Type="http://schemas.openxmlformats.org/officeDocument/2006/relationships/hyperlink" Target="https://besjournals.onlinelibrary.wiley.com/doi/full/10.1111/j.1365-2745.2006.01202.x" TargetMode="External"/><Relationship Id="rId147" Type="http://schemas.openxmlformats.org/officeDocument/2006/relationships/hyperlink" Target="https://besjournals.onlinelibrary.wiley.com/doi/full/10.1111/j.1365-2745.2006.01202.x" TargetMode="External"/><Relationship Id="rId168" Type="http://schemas.openxmlformats.org/officeDocument/2006/relationships/hyperlink" Target="https://besjournals.onlinelibrary.wiley.com/doi/full/10.1111/j.1365-2745.2006.01202.x" TargetMode="External"/><Relationship Id="rId8" Type="http://schemas.openxmlformats.org/officeDocument/2006/relationships/hyperlink" Target="https://besjournals.onlinelibrary.wiley.com/doi/full/10.1111/j.1365-2745.2006.01202.x" TargetMode="External"/><Relationship Id="rId51" Type="http://schemas.openxmlformats.org/officeDocument/2006/relationships/hyperlink" Target="https://besjournals.onlinelibrary.wiley.com/doi/full/10.1111/j.1365-2745.2006.01202.x" TargetMode="External"/><Relationship Id="rId72" Type="http://schemas.openxmlformats.org/officeDocument/2006/relationships/hyperlink" Target="https://besjournals.onlinelibrary.wiley.com/doi/full/10.1111/j.1365-2745.2006.01202.x" TargetMode="External"/><Relationship Id="rId93" Type="http://schemas.openxmlformats.org/officeDocument/2006/relationships/hyperlink" Target="https://besjournals.onlinelibrary.wiley.com/doi/full/10.1111/j.1365-2745.2006.01202.x" TargetMode="External"/><Relationship Id="rId98" Type="http://schemas.openxmlformats.org/officeDocument/2006/relationships/hyperlink" Target="https://besjournals.onlinelibrary.wiley.com/doi/full/10.1111/j.1365-2745.2006.01202.x" TargetMode="External"/><Relationship Id="rId121" Type="http://schemas.openxmlformats.org/officeDocument/2006/relationships/hyperlink" Target="https://besjournals.onlinelibrary.wiley.com/doi/full/10.1111/j.1365-2745.2006.01202.x" TargetMode="External"/><Relationship Id="rId142" Type="http://schemas.openxmlformats.org/officeDocument/2006/relationships/hyperlink" Target="https://besjournals.onlinelibrary.wiley.com/doi/full/10.1111/j.1365-2745.2006.01202.x" TargetMode="External"/><Relationship Id="rId163" Type="http://schemas.openxmlformats.org/officeDocument/2006/relationships/hyperlink" Target="https://besjournals.onlinelibrary.wiley.com/doi/full/10.1111/j.1365-2745.2006.01202.x" TargetMode="External"/><Relationship Id="rId3" Type="http://schemas.openxmlformats.org/officeDocument/2006/relationships/customXml" Target="../customXml/item3.xml"/><Relationship Id="rId25" Type="http://schemas.openxmlformats.org/officeDocument/2006/relationships/hyperlink" Target="https://besjournals.onlinelibrary.wiley.com/doi/full/10.1111/j.1365-2745.2006.01202.x" TargetMode="External"/><Relationship Id="rId46" Type="http://schemas.openxmlformats.org/officeDocument/2006/relationships/hyperlink" Target="https://besjournals.onlinelibrary.wiley.com/doi/full/10.1111/j.1365-2745.2006.01202.x" TargetMode="External"/><Relationship Id="rId67" Type="http://schemas.openxmlformats.org/officeDocument/2006/relationships/hyperlink" Target="https://besjournals.onlinelibrary.wiley.com/doi/full/10.1111/j.1365-2745.2006.01202.x" TargetMode="External"/><Relationship Id="rId116" Type="http://schemas.openxmlformats.org/officeDocument/2006/relationships/hyperlink" Target="https://besjournals.onlinelibrary.wiley.com/doi/full/10.1111/j.1365-2745.2006.01202.x" TargetMode="External"/><Relationship Id="rId137" Type="http://schemas.openxmlformats.org/officeDocument/2006/relationships/hyperlink" Target="https://besjournals.onlinelibrary.wiley.com/doi/full/10.1111/j.1365-2745.2006.01202.x" TargetMode="External"/><Relationship Id="rId158" Type="http://schemas.openxmlformats.org/officeDocument/2006/relationships/hyperlink" Target="https://besjournals.onlinelibrary.wiley.com/doi/full/10.1111/j.1365-2745.2006.01202.x" TargetMode="External"/><Relationship Id="rId20" Type="http://schemas.openxmlformats.org/officeDocument/2006/relationships/hyperlink" Target="https://besjournals.onlinelibrary.wiley.com/doi/full/10.1111/j.1365-2745.2006.01202.x" TargetMode="External"/><Relationship Id="rId41" Type="http://schemas.openxmlformats.org/officeDocument/2006/relationships/hyperlink" Target="https://besjournals.onlinelibrary.wiley.com/doi/full/10.1111/j.1365-2745.2006.01202.x" TargetMode="External"/><Relationship Id="rId62" Type="http://schemas.openxmlformats.org/officeDocument/2006/relationships/hyperlink" Target="https://besjournals.onlinelibrary.wiley.com/doi/full/10.1111/j.1365-2745.2006.01202.x" TargetMode="External"/><Relationship Id="rId83" Type="http://schemas.openxmlformats.org/officeDocument/2006/relationships/hyperlink" Target="https://besjournals.onlinelibrary.wiley.com/doi/full/10.1111/j.1365-2745.2006.01202.x" TargetMode="External"/><Relationship Id="rId88" Type="http://schemas.openxmlformats.org/officeDocument/2006/relationships/hyperlink" Target="https://besjournals.onlinelibrary.wiley.com/doi/full/10.1111/j.1365-2745.2006.01202.x" TargetMode="External"/><Relationship Id="rId111" Type="http://schemas.openxmlformats.org/officeDocument/2006/relationships/hyperlink" Target="https://besjournals.onlinelibrary.wiley.com/doi/full/10.1111/j.1365-2745.2006.01202.x" TargetMode="External"/><Relationship Id="rId132" Type="http://schemas.openxmlformats.org/officeDocument/2006/relationships/hyperlink" Target="https://besjournals.onlinelibrary.wiley.com/doi/full/10.1111/j.1365-2745.2006.01202.x" TargetMode="External"/><Relationship Id="rId153" Type="http://schemas.openxmlformats.org/officeDocument/2006/relationships/hyperlink" Target="https://besjournals.onlinelibrary.wiley.com/doi/full/10.1111/j.1365-2745.2006.01202.x" TargetMode="External"/><Relationship Id="rId174" Type="http://schemas.openxmlformats.org/officeDocument/2006/relationships/hyperlink" Target="https://besjournals.onlinelibrary.wiley.com/doi/full/10.1111/j.1365-2745.2006.01202.x" TargetMode="External"/><Relationship Id="rId179" Type="http://schemas.openxmlformats.org/officeDocument/2006/relationships/hyperlink" Target="https://besjournals.onlinelibrary.wiley.com/doi/full/10.1111/j.1365-2745.2006.01202.x" TargetMode="External"/><Relationship Id="rId15" Type="http://schemas.openxmlformats.org/officeDocument/2006/relationships/hyperlink" Target="https://besjournals.onlinelibrary.wiley.com/doi/full/10.1111/j.1365-2745.2006.01202.x" TargetMode="External"/><Relationship Id="rId36" Type="http://schemas.openxmlformats.org/officeDocument/2006/relationships/hyperlink" Target="https://besjournals.onlinelibrary.wiley.com/doi/full/10.1111/j.1365-2745.2006.01202.x" TargetMode="External"/><Relationship Id="rId57" Type="http://schemas.openxmlformats.org/officeDocument/2006/relationships/image" Target="media/image2.gif"/><Relationship Id="rId106" Type="http://schemas.openxmlformats.org/officeDocument/2006/relationships/hyperlink" Target="https://besjournals.onlinelibrary.wiley.com/doi/full/10.1111/j.1365-2745.2006.01202.x" TargetMode="External"/><Relationship Id="rId127" Type="http://schemas.openxmlformats.org/officeDocument/2006/relationships/hyperlink" Target="https://besjournals.onlinelibrary.wiley.com/doi/full/10.1111/j.1365-2745.2006.01202.x" TargetMode="External"/><Relationship Id="rId10" Type="http://schemas.openxmlformats.org/officeDocument/2006/relationships/hyperlink" Target="https://besjournals.onlinelibrary.wiley.com/doi/full/10.1111/j.1365-2745.2006.01202.x" TargetMode="External"/><Relationship Id="rId31" Type="http://schemas.openxmlformats.org/officeDocument/2006/relationships/hyperlink" Target="https://besjournals.onlinelibrary.wiley.com/doi/full/10.1111/j.1365-2745.2006.01202.x" TargetMode="External"/><Relationship Id="rId52" Type="http://schemas.openxmlformats.org/officeDocument/2006/relationships/hyperlink" Target="https://besjournals.onlinelibrary.wiley.com/doi/full/10.1111/j.1365-2745.2006.01202.x" TargetMode="External"/><Relationship Id="rId73" Type="http://schemas.openxmlformats.org/officeDocument/2006/relationships/hyperlink" Target="https://besjournals.onlinelibrary.wiley.com/doi/full/10.1111/j.1365-2745.2006.01202.x" TargetMode="External"/><Relationship Id="rId78" Type="http://schemas.openxmlformats.org/officeDocument/2006/relationships/hyperlink" Target="https://besjournals.onlinelibrary.wiley.com/doi/full/10.1111/j.1365-2745.2006.01202.x" TargetMode="External"/><Relationship Id="rId94" Type="http://schemas.openxmlformats.org/officeDocument/2006/relationships/hyperlink" Target="https://besjournals.onlinelibrary.wiley.com/doi/full/10.1111/j.1365-2745.2006.01202.x" TargetMode="External"/><Relationship Id="rId99" Type="http://schemas.openxmlformats.org/officeDocument/2006/relationships/hyperlink" Target="https://besjournals.onlinelibrary.wiley.com/doi/full/10.1111/j.1365-2745.2006.01202.x" TargetMode="External"/><Relationship Id="rId101" Type="http://schemas.openxmlformats.org/officeDocument/2006/relationships/hyperlink" Target="https://besjournals.onlinelibrary.wiley.com/doi/full/10.1111/j.1365-2745.2006.01202.x" TargetMode="External"/><Relationship Id="rId122" Type="http://schemas.openxmlformats.org/officeDocument/2006/relationships/hyperlink" Target="https://besjournals.onlinelibrary.wiley.com/doi/full/10.1111/j.1365-2745.2006.01202.x" TargetMode="External"/><Relationship Id="rId143" Type="http://schemas.openxmlformats.org/officeDocument/2006/relationships/hyperlink" Target="https://besjournals.onlinelibrary.wiley.com/doi/full/10.1111/j.1365-2745.2006.01202.x" TargetMode="External"/><Relationship Id="rId148" Type="http://schemas.openxmlformats.org/officeDocument/2006/relationships/hyperlink" Target="https://besjournals.onlinelibrary.wiley.com/doi/full/10.1111/j.1365-2745.2006.01202.x" TargetMode="External"/><Relationship Id="rId164" Type="http://schemas.openxmlformats.org/officeDocument/2006/relationships/hyperlink" Target="https://besjournals.onlinelibrary.wiley.com/doi/full/10.1111/j.1365-2745.2006.01202.x" TargetMode="External"/><Relationship Id="rId169" Type="http://schemas.openxmlformats.org/officeDocument/2006/relationships/hyperlink" Target="https://besjournals.onlinelibrary.wiley.com/doi/full/10.1111/j.1365-2745.2006.01202.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besjournals.onlinelibrary.wiley.com/doi/full/10.1111/j.1365-2745.2006.01202.x" TargetMode="External"/><Relationship Id="rId26" Type="http://schemas.openxmlformats.org/officeDocument/2006/relationships/hyperlink" Target="https://besjournals.onlinelibrary.wiley.com/doi/full/10.1111/j.1365-2745.2006.01202.x" TargetMode="External"/><Relationship Id="rId47" Type="http://schemas.openxmlformats.org/officeDocument/2006/relationships/hyperlink" Target="https://besjournals.onlinelibrary.wiley.com/doi/full/10.1111/j.1365-2745.2006.01202.x" TargetMode="External"/><Relationship Id="rId68" Type="http://schemas.openxmlformats.org/officeDocument/2006/relationships/hyperlink" Target="https://besjournals.onlinelibrary.wiley.com/doi/full/10.1111/j.1365-2745.2006.01202.x" TargetMode="External"/><Relationship Id="rId89" Type="http://schemas.openxmlformats.org/officeDocument/2006/relationships/hyperlink" Target="https://besjournals.onlinelibrary.wiley.com/doi/full/10.1111/j.1365-2745.2006.01202.x" TargetMode="External"/><Relationship Id="rId112" Type="http://schemas.openxmlformats.org/officeDocument/2006/relationships/hyperlink" Target="https://besjournals.onlinelibrary.wiley.com/doi/full/10.1111/j.1365-2745.2006.01202.x" TargetMode="External"/><Relationship Id="rId133" Type="http://schemas.openxmlformats.org/officeDocument/2006/relationships/hyperlink" Target="https://besjournals.onlinelibrary.wiley.com/doi/full/10.1111/j.1365-2745.2006.01202.x" TargetMode="External"/><Relationship Id="rId154" Type="http://schemas.openxmlformats.org/officeDocument/2006/relationships/hyperlink" Target="https://besjournals.onlinelibrary.wiley.com/doi/full/10.1111/j.1365-2745.2006.01202.x" TargetMode="External"/><Relationship Id="rId175" Type="http://schemas.openxmlformats.org/officeDocument/2006/relationships/hyperlink" Target="https://besjournals.onlinelibrary.wiley.com/doi/full/10.1111/j.1365-2745.2006.01202.x" TargetMode="External"/><Relationship Id="rId16" Type="http://schemas.openxmlformats.org/officeDocument/2006/relationships/hyperlink" Target="https://besjournals.onlinelibrary.wiley.com/doi/full/10.1111/j.1365-2745.2006.01202.x" TargetMode="External"/><Relationship Id="rId37" Type="http://schemas.openxmlformats.org/officeDocument/2006/relationships/hyperlink" Target="https://besjournals.onlinelibrary.wiley.com/doi/full/10.1111/j.1365-2745.2006.01202.x" TargetMode="External"/><Relationship Id="rId58" Type="http://schemas.openxmlformats.org/officeDocument/2006/relationships/hyperlink" Target="https://besjournals.onlinelibrary.wiley.com/doi/full/10.1111/j.1365-2745.2006.01202.x" TargetMode="External"/><Relationship Id="rId79" Type="http://schemas.openxmlformats.org/officeDocument/2006/relationships/hyperlink" Target="https://besjournals.onlinelibrary.wiley.com/doi/full/10.1111/j.1365-2745.2006.01202.x" TargetMode="External"/><Relationship Id="rId102" Type="http://schemas.openxmlformats.org/officeDocument/2006/relationships/hyperlink" Target="https://besjournals.onlinelibrary.wiley.com/doi/full/10.1111/j.1365-2745.2006.01202.x" TargetMode="External"/><Relationship Id="rId123" Type="http://schemas.openxmlformats.org/officeDocument/2006/relationships/hyperlink" Target="https://besjournals.onlinelibrary.wiley.com/doi/full/10.1111/j.1365-2745.2006.01202.x" TargetMode="External"/><Relationship Id="rId144" Type="http://schemas.openxmlformats.org/officeDocument/2006/relationships/hyperlink" Target="https://besjournals.onlinelibrary.wiley.com/doi/full/10.1111/j.1365-2745.2006.01202.x" TargetMode="External"/><Relationship Id="rId90" Type="http://schemas.openxmlformats.org/officeDocument/2006/relationships/hyperlink" Target="https://besjournals.onlinelibrary.wiley.com/doi/full/10.1111/j.1365-2745.2006.01202.x" TargetMode="External"/><Relationship Id="rId165" Type="http://schemas.openxmlformats.org/officeDocument/2006/relationships/hyperlink" Target="https://besjournals.onlinelibrary.wiley.com/doi/full/10.1111/j.1365-2745.2006.01202.x" TargetMode="External"/><Relationship Id="rId27" Type="http://schemas.openxmlformats.org/officeDocument/2006/relationships/hyperlink" Target="https://besjournals.onlinelibrary.wiley.com/doi/full/10.1111/j.1365-2745.2006.01202.x" TargetMode="External"/><Relationship Id="rId48" Type="http://schemas.openxmlformats.org/officeDocument/2006/relationships/hyperlink" Target="https://besjournals.onlinelibrary.wiley.com/doi/full/10.1111/j.1365-2745.2006.01202.x" TargetMode="External"/><Relationship Id="rId69" Type="http://schemas.openxmlformats.org/officeDocument/2006/relationships/hyperlink" Target="https://besjournals.onlinelibrary.wiley.com/doi/full/10.1111/j.1365-2745.2006.01202.x" TargetMode="External"/><Relationship Id="rId113" Type="http://schemas.openxmlformats.org/officeDocument/2006/relationships/hyperlink" Target="https://besjournals.onlinelibrary.wiley.com/doi/full/10.1111/j.1365-2745.2006.01202.x" TargetMode="External"/><Relationship Id="rId134" Type="http://schemas.openxmlformats.org/officeDocument/2006/relationships/hyperlink" Target="https://besjournals.onlinelibrary.wiley.com/doi/full/10.1111/j.1365-2745.2006.01202.x" TargetMode="External"/><Relationship Id="rId80" Type="http://schemas.openxmlformats.org/officeDocument/2006/relationships/hyperlink" Target="https://besjournals.onlinelibrary.wiley.com/doi/full/10.1111/j.1365-2745.2006.01202.x" TargetMode="External"/><Relationship Id="rId155" Type="http://schemas.openxmlformats.org/officeDocument/2006/relationships/hyperlink" Target="https://besjournals.onlinelibrary.wiley.com/doi/full/10.1111/j.1365-2745.2006.01202.x" TargetMode="External"/><Relationship Id="rId176" Type="http://schemas.openxmlformats.org/officeDocument/2006/relationships/hyperlink" Target="https://besjournals.onlinelibrary.wiley.com/doi/full/10.1111/j.1365-2745.2006.01202.x" TargetMode="External"/><Relationship Id="rId17" Type="http://schemas.openxmlformats.org/officeDocument/2006/relationships/hyperlink" Target="https://besjournals.onlinelibrary.wiley.com/doi/full/10.1111/j.1365-2745.2006.01202.x" TargetMode="External"/><Relationship Id="rId38" Type="http://schemas.openxmlformats.org/officeDocument/2006/relationships/hyperlink" Target="https://besjournals.onlinelibrary.wiley.com/doi/full/10.1111/j.1365-2745.2006.01202.x" TargetMode="External"/><Relationship Id="rId59" Type="http://schemas.openxmlformats.org/officeDocument/2006/relationships/hyperlink" Target="https://besjournals.onlinelibrary.wiley.com/doi/full/10.1111/j.1365-2745.2006.01202.x" TargetMode="External"/><Relationship Id="rId103" Type="http://schemas.openxmlformats.org/officeDocument/2006/relationships/image" Target="media/image3.gif"/><Relationship Id="rId124" Type="http://schemas.openxmlformats.org/officeDocument/2006/relationships/hyperlink" Target="https://besjournals.onlinelibrary.wiley.com/doi/full/10.1111/j.1365-2745.2006.01202.x" TargetMode="External"/><Relationship Id="rId70" Type="http://schemas.openxmlformats.org/officeDocument/2006/relationships/hyperlink" Target="https://besjournals.onlinelibrary.wiley.com/doi/full/10.1111/j.1365-2745.2006.01202.x" TargetMode="External"/><Relationship Id="rId91" Type="http://schemas.openxmlformats.org/officeDocument/2006/relationships/hyperlink" Target="https://besjournals.onlinelibrary.wiley.com/doi/full/10.1111/j.1365-2745.2006.01202.x" TargetMode="External"/><Relationship Id="rId145" Type="http://schemas.openxmlformats.org/officeDocument/2006/relationships/hyperlink" Target="https://besjournals.onlinelibrary.wiley.com/doi/full/10.1111/j.1365-2745.2006.01202.x" TargetMode="External"/><Relationship Id="rId166" Type="http://schemas.openxmlformats.org/officeDocument/2006/relationships/hyperlink" Target="https://besjournals.onlinelibrary.wiley.com/doi/full/10.1111/j.1365-2745.2006.01202.x" TargetMode="External"/><Relationship Id="rId1" Type="http://schemas.openxmlformats.org/officeDocument/2006/relationships/customXml" Target="../customXml/item1.xml"/><Relationship Id="rId28" Type="http://schemas.openxmlformats.org/officeDocument/2006/relationships/hyperlink" Target="https://besjournals.onlinelibrary.wiley.com/doi/full/10.1111/j.1365-2745.2006.01202.x" TargetMode="External"/><Relationship Id="rId49" Type="http://schemas.openxmlformats.org/officeDocument/2006/relationships/hyperlink" Target="https://besjournals.onlinelibrary.wiley.com/doi/full/10.1111/j.1365-2745.2006.01202.x" TargetMode="External"/><Relationship Id="rId114" Type="http://schemas.openxmlformats.org/officeDocument/2006/relationships/hyperlink" Target="https://besjournals.onlinelibrary.wiley.com/doi/full/10.1111/j.1365-2745.2006.01202.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9875A6-FFD4-4986-8246-13B9974AF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DAB8D4-6D94-4CF6-A4DF-C4F5E45A3060}">
  <ds:schemaRefs>
    <ds:schemaRef ds:uri="http://schemas.microsoft.com/sharepoint/v3/contenttype/forms"/>
  </ds:schemaRefs>
</ds:datastoreItem>
</file>

<file path=customXml/itemProps3.xml><?xml version="1.0" encoding="utf-8"?>
<ds:datastoreItem xmlns:ds="http://schemas.openxmlformats.org/officeDocument/2006/customXml" ds:itemID="{5C4714EB-0A1F-433E-AF8A-044ACE1867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17</Pages>
  <Words>10707</Words>
  <Characters>56110</Characters>
  <Application>Microsoft Office Word</Application>
  <DocSecurity>8</DocSecurity>
  <Lines>1219</Lines>
  <Paragraphs>681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38</cp:revision>
  <dcterms:created xsi:type="dcterms:W3CDTF">2019-07-12T16:24:00Z</dcterms:created>
  <dcterms:modified xsi:type="dcterms:W3CDTF">2019-11-20T16:42:00Z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