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B7933" w14:textId="77777777" w:rsidR="00942819" w:rsidRPr="00C83B79" w:rsidRDefault="00942819" w:rsidP="00942819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Cs w:val="24"/>
        </w:rPr>
      </w:pPr>
      <w:r w:rsidRPr="00C83B79">
        <w:rPr>
          <w:rFonts w:cstheme="minorHAnsi"/>
          <w:color w:val="000000" w:themeColor="text1"/>
          <w:szCs w:val="24"/>
        </w:rPr>
        <w:t>CHA</w:t>
      </w:r>
      <w:bookmarkStart w:id="0" w:name="_GoBack"/>
      <w:bookmarkEnd w:id="0"/>
      <w:r w:rsidRPr="00C83B79">
        <w:rPr>
          <w:rFonts w:cstheme="minorHAnsi"/>
          <w:color w:val="000000" w:themeColor="text1"/>
          <w:szCs w:val="24"/>
        </w:rPr>
        <w:t>PTER 9</w:t>
      </w:r>
    </w:p>
    <w:p w14:paraId="6F258A4B" w14:textId="77777777" w:rsidR="00E522E6" w:rsidRPr="00C83B79" w:rsidRDefault="00E522E6" w:rsidP="00942819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Cs w:val="24"/>
        </w:rPr>
      </w:pPr>
    </w:p>
    <w:p w14:paraId="0E374753" w14:textId="77777777" w:rsidR="00942819" w:rsidRPr="00C83B79" w:rsidRDefault="00942819" w:rsidP="00A8184A">
      <w:pPr>
        <w:pStyle w:val="Title"/>
        <w:rPr>
          <w:color w:val="000000" w:themeColor="text1"/>
        </w:rPr>
      </w:pPr>
      <w:r w:rsidRPr="00C83B79">
        <w:rPr>
          <w:color w:val="000000" w:themeColor="text1"/>
        </w:rPr>
        <w:t>The Unity of the Virtues in a Missionary Key</w:t>
      </w:r>
    </w:p>
    <w:p w14:paraId="79B7FA2A" w14:textId="77777777" w:rsidR="00E522E6" w:rsidRPr="00C83B79" w:rsidRDefault="00E522E6" w:rsidP="00942819">
      <w:pPr>
        <w:rPr>
          <w:rFonts w:cstheme="minorHAnsi"/>
          <w:color w:val="000000" w:themeColor="text1"/>
          <w:sz w:val="23"/>
          <w:szCs w:val="23"/>
        </w:rPr>
      </w:pPr>
    </w:p>
    <w:p w14:paraId="2205143F" w14:textId="77777777" w:rsidR="00FB3A37" w:rsidRPr="00C83B79" w:rsidRDefault="00942819" w:rsidP="00942819">
      <w:pPr>
        <w:rPr>
          <w:rFonts w:cstheme="minorHAnsi"/>
          <w:color w:val="000000" w:themeColor="text1"/>
          <w:sz w:val="23"/>
          <w:szCs w:val="23"/>
        </w:rPr>
      </w:pPr>
      <w:r w:rsidRPr="00C83B79">
        <w:rPr>
          <w:rFonts w:cstheme="minorHAnsi"/>
          <w:color w:val="000000" w:themeColor="text1"/>
          <w:sz w:val="23"/>
          <w:szCs w:val="23"/>
        </w:rPr>
        <w:t>—ANDREW KIM</w:t>
      </w:r>
    </w:p>
    <w:p w14:paraId="37E67972" w14:textId="77777777" w:rsidR="00942819" w:rsidRPr="00C83B79" w:rsidRDefault="00942819" w:rsidP="00942819">
      <w:pPr>
        <w:rPr>
          <w:rFonts w:cstheme="minorHAnsi"/>
          <w:color w:val="000000" w:themeColor="text1"/>
        </w:rPr>
      </w:pPr>
    </w:p>
    <w:p w14:paraId="1FCDEBF9" w14:textId="77777777" w:rsidR="00AD1218" w:rsidRPr="00C83B79" w:rsidRDefault="00AD1218" w:rsidP="00A8184A">
      <w:pPr>
        <w:pStyle w:val="Heading1"/>
        <w:rPr>
          <w:color w:val="000000" w:themeColor="text1"/>
        </w:rPr>
      </w:pPr>
      <w:r w:rsidRPr="00C83B79">
        <w:rPr>
          <w:color w:val="000000" w:themeColor="text1"/>
        </w:rPr>
        <w:t>Abstract:</w:t>
      </w:r>
    </w:p>
    <w:p w14:paraId="4357C530" w14:textId="1F3974D4" w:rsidR="00920572" w:rsidRPr="00C83B79" w:rsidRDefault="00AD1218" w:rsidP="00AD121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The thesis of the unity of the virtues—one must possess </w:t>
      </w:r>
      <w:proofErr w:type="gramStart"/>
      <w:r w:rsidRPr="00C83B79">
        <w:rPr>
          <w:rFonts w:cstheme="minorHAnsi"/>
          <w:color w:val="000000" w:themeColor="text1"/>
          <w:sz w:val="22"/>
        </w:rPr>
        <w:t>all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 virtues to possess even one of them—was upheld in</w:t>
      </w:r>
      <w:r w:rsidR="00A818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different forms by Plato, Aristotle, Augustine, and Aquinas. However, contemporary moralists almost universally decry this</w:t>
      </w:r>
      <w:r w:rsidR="001756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thesis as distorting the nature of virtue as it is materialized in the lives and actions of ordinary people. Unfortunately,</w:t>
      </w:r>
      <w:r w:rsidR="001756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academic discourse regarding the unity of the virtues has tended to be either entirely theoretical or narrowly limited to</w:t>
      </w:r>
      <w:r w:rsidR="001756FC" w:rsidRPr="00C83B79">
        <w:rPr>
          <w:rFonts w:cstheme="minorHAnsi"/>
          <w:color w:val="000000" w:themeColor="text1"/>
          <w:sz w:val="22"/>
        </w:rPr>
        <w:t xml:space="preserve"> </w:t>
      </w:r>
      <w:proofErr w:type="gramStart"/>
      <w:r w:rsidRPr="00C83B79">
        <w:rPr>
          <w:rFonts w:cstheme="minorHAnsi"/>
          <w:color w:val="000000" w:themeColor="text1"/>
          <w:sz w:val="22"/>
        </w:rPr>
        <w:t>particular individuals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or groups as “test cases” regarding the validity of the thesis. It is both significant and reinvigorating,</w:t>
      </w:r>
      <w:r w:rsidR="001756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therefore, that in his apostolic exhortation, Pope Francis evokes the thesis of the unity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of the virtues as</w:t>
      </w:r>
      <w:r w:rsidR="00A515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pivotal to the task of evangelization. The purpose of the current essay is to reevaluate the merit and practical applicability of</w:t>
      </w:r>
      <w:r w:rsidR="00A515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the unity of the virtues </w:t>
      </w:r>
      <w:proofErr w:type="gramStart"/>
      <w:r w:rsidRPr="00C83B79">
        <w:rPr>
          <w:rFonts w:cstheme="minorHAnsi"/>
          <w:color w:val="000000" w:themeColor="text1"/>
          <w:sz w:val="22"/>
        </w:rPr>
        <w:t>in light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 “missionary option” as proposed by Pope Francis.</w:t>
      </w:r>
      <w:r w:rsidR="00A515D8" w:rsidRPr="00C83B79">
        <w:rPr>
          <w:rFonts w:cstheme="minorHAnsi"/>
          <w:color w:val="000000" w:themeColor="text1"/>
          <w:sz w:val="22"/>
        </w:rPr>
        <w:t xml:space="preserve"> </w:t>
      </w:r>
    </w:p>
    <w:p w14:paraId="11D7E76B" w14:textId="77777777" w:rsidR="00920572" w:rsidRPr="00C83B79" w:rsidRDefault="00920572" w:rsidP="00AD121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4671540F" w14:textId="193498D5" w:rsidR="00AD1218" w:rsidRPr="00C83B79" w:rsidRDefault="00A515D8" w:rsidP="0092057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</w:t>
      </w:r>
      <w:r w:rsidR="00AD1218" w:rsidRPr="00C83B79">
        <w:rPr>
          <w:rFonts w:cstheme="minorHAnsi"/>
          <w:color w:val="000000" w:themeColor="text1"/>
          <w:sz w:val="22"/>
        </w:rPr>
        <w:t>he unity of the virtues, often referred to as the unity thesis, holds that in order to possess a single virtue one must possess them</w:t>
      </w:r>
      <w:r w:rsidRPr="00C83B79">
        <w:rPr>
          <w:rFonts w:cstheme="minorHAnsi"/>
          <w:color w:val="000000" w:themeColor="text1"/>
          <w:sz w:val="22"/>
        </w:rPr>
        <w:t xml:space="preserve"> </w:t>
      </w:r>
      <w:r w:rsidR="00AD1218" w:rsidRPr="00C83B79">
        <w:rPr>
          <w:rFonts w:cstheme="minorHAnsi"/>
          <w:color w:val="000000" w:themeColor="text1"/>
          <w:sz w:val="22"/>
        </w:rPr>
        <w:t>all. Contemporary moralists almost universally decry the unity thesis as distorting the reality of virtue as it manifests in the lives</w:t>
      </w:r>
      <w:r w:rsidR="00937A57" w:rsidRPr="00C83B79">
        <w:rPr>
          <w:rFonts w:cstheme="minorHAnsi"/>
          <w:color w:val="000000" w:themeColor="text1"/>
          <w:sz w:val="22"/>
        </w:rPr>
        <w:t xml:space="preserve"> </w:t>
      </w:r>
      <w:r w:rsidR="00AD1218" w:rsidRPr="00C83B79">
        <w:rPr>
          <w:rFonts w:cstheme="minorHAnsi"/>
          <w:color w:val="000000" w:themeColor="text1"/>
          <w:sz w:val="22"/>
        </w:rPr>
        <w:t>of those who possess it. However, I have argued that the Thomistic version of the unity thesis illuminates the reality of virtue in a</w:t>
      </w:r>
      <w:r w:rsidR="00937A57" w:rsidRPr="00C83B79">
        <w:rPr>
          <w:rFonts w:cstheme="minorHAnsi"/>
          <w:color w:val="000000" w:themeColor="text1"/>
          <w:sz w:val="22"/>
        </w:rPr>
        <w:t xml:space="preserve"> </w:t>
      </w:r>
      <w:r w:rsidR="00AD1218" w:rsidRPr="00C83B79">
        <w:rPr>
          <w:rFonts w:cstheme="minorHAnsi"/>
          <w:color w:val="000000" w:themeColor="text1"/>
          <w:sz w:val="22"/>
        </w:rPr>
        <w:t>manner that attends to the objections raised by critics of the thesis more coherently than the alternative definitions of virtue proposed</w:t>
      </w:r>
      <w:r w:rsidR="00937A57" w:rsidRPr="00C83B79">
        <w:rPr>
          <w:rFonts w:cstheme="minorHAnsi"/>
          <w:color w:val="000000" w:themeColor="text1"/>
          <w:sz w:val="22"/>
        </w:rPr>
        <w:t xml:space="preserve"> </w:t>
      </w:r>
      <w:r w:rsidR="00AD1218" w:rsidRPr="00C83B79">
        <w:rPr>
          <w:rFonts w:cstheme="minorHAnsi"/>
          <w:color w:val="000000" w:themeColor="text1"/>
          <w:sz w:val="22"/>
        </w:rPr>
        <w:t>by the very same critics.</w:t>
      </w:r>
      <w:r w:rsidR="00AD1218" w:rsidRPr="00C83B79">
        <w:rPr>
          <w:rFonts w:cstheme="minorHAnsi"/>
          <w:color w:val="000000" w:themeColor="text1"/>
          <w:sz w:val="22"/>
          <w:vertAlign w:val="superscript"/>
        </w:rPr>
        <w:t>456</w:t>
      </w:r>
    </w:p>
    <w:p w14:paraId="5F8F09DD" w14:textId="5E013C6C" w:rsidR="00AD1218" w:rsidRPr="00C83B79" w:rsidRDefault="00AD1218" w:rsidP="0092057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color w:val="000000" w:themeColor="text1"/>
          <w:sz w:val="22"/>
        </w:rPr>
        <w:t>, Pope Francis establishes a new frontier for this ongoing debate by defining the “organic unity of the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virtues” as an indispensable criterion for authentic evangelization.</w:t>
      </w:r>
      <w:r w:rsidRPr="00C83B79">
        <w:rPr>
          <w:rFonts w:cstheme="minorHAnsi"/>
          <w:color w:val="000000" w:themeColor="text1"/>
          <w:sz w:val="22"/>
          <w:vertAlign w:val="superscript"/>
        </w:rPr>
        <w:t>457</w:t>
      </w:r>
      <w:r w:rsidRPr="00C83B79">
        <w:rPr>
          <w:rFonts w:cstheme="minorHAnsi"/>
          <w:color w:val="000000" w:themeColor="text1"/>
          <w:sz w:val="22"/>
        </w:rPr>
        <w:t xml:space="preserve"> This raises the issue of whether the vision for evangelization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put forward by Francis is subject to the kinds of objections that are commonly brought to bear upon the unity thesis. Primarily at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issue here is whether Francis, by employing the unity thesis as a criterion, has defined “authentic evangelization” in a manner that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puts the task of evangelizing out of reach for ordinary or even extraordinary individuals. In this chapter, I argue that by utilizing a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Thomistic version of the unity thesis as a criterion for authentic evangelization, Francis is not only responsive to the objections just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mentioned but also shines new light upon the radical distinctiveness of the Thomistic unity thesis considered within a theological</w:t>
      </w:r>
      <w:r w:rsidR="0092057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framework.</w:t>
      </w:r>
    </w:p>
    <w:p w14:paraId="6F1F79AC" w14:textId="10A2BFA8" w:rsidR="00AD1218" w:rsidRPr="00C83B79" w:rsidRDefault="00AD1218" w:rsidP="00E567B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argument of the current chapter unfolds in three sections. The first section examines two primary and interrelated objections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to the unity thesis. The next section offers a close read of select passages from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for the purpose of demonstrating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that Francis employs the unity of the virtues as a criterion for authentic evangelization, thus raising the issue of whether the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understanding of evangelization he puts forward is susceptible to the criticisms of the first section. This section then goes on to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elucidate the </w:t>
      </w:r>
      <w:proofErr w:type="gramStart"/>
      <w:r w:rsidRPr="00C83B79">
        <w:rPr>
          <w:rFonts w:cstheme="minorHAnsi"/>
          <w:color w:val="000000" w:themeColor="text1"/>
          <w:sz w:val="22"/>
        </w:rPr>
        <w:t>manner in which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 objections of the first section may be applied to authentic evangelization as characterized by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Francis. The final section distinguishes between the Thomistic version of the unity thesis employed by Francis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="001A4896" w:rsidRPr="00C83B79">
        <w:rPr>
          <w:rFonts w:cstheme="minorHAnsi"/>
          <w:i/>
          <w:iCs/>
          <w:color w:val="000000" w:themeColor="text1"/>
          <w:sz w:val="22"/>
        </w:rPr>
        <w:t>g</w:t>
      </w:r>
      <w:r w:rsidR="00E567B2" w:rsidRPr="00C83B79">
        <w:rPr>
          <w:rFonts w:cstheme="minorHAnsi"/>
          <w:i/>
          <w:iCs/>
          <w:color w:val="000000" w:themeColor="text1"/>
          <w:sz w:val="22"/>
        </w:rPr>
        <w:t>audium</w:t>
      </w:r>
      <w:proofErr w:type="spellEnd"/>
      <w:r w:rsidR="00E567B2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and the Stoic version of the unity thesis Francis rejects in the same paragraph, and in so doing, makes clear that Francis’s utilization</w:t>
      </w:r>
      <w:r w:rsidR="00E567B2" w:rsidRPr="00C83B79">
        <w:rPr>
          <w:rFonts w:cstheme="minorHAnsi"/>
          <w:color w:val="000000" w:themeColor="text1"/>
          <w:sz w:val="22"/>
        </w:rPr>
        <w:t xml:space="preserve"> </w:t>
      </w:r>
    </w:p>
    <w:p w14:paraId="3988B1A1" w14:textId="6B532B9C" w:rsidR="00AD1218" w:rsidRPr="00C83B79" w:rsidRDefault="00AD1218" w:rsidP="00AD1218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lastRenderedPageBreak/>
        <w:t>of the unity of the virtues as a criterion for authentic evangelization is capable of being responsive to the concerns which animate the</w:t>
      </w:r>
      <w:r w:rsidR="001A489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objections derived from the second section. This final section then concludes by reiterating the thesis of this chapter by drawing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from the prior sections as well as key passages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 order to show that by contextualizing the Thomistic unity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thesis as a criterion for authentic evangelization, Francis </w:t>
      </w:r>
      <w:proofErr w:type="gramStart"/>
      <w:r w:rsidRPr="00C83B79">
        <w:rPr>
          <w:rFonts w:cstheme="minorHAnsi"/>
          <w:color w:val="000000" w:themeColor="text1"/>
          <w:sz w:val="22"/>
        </w:rPr>
        <w:t>is able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shed new light upon the radical distinctiveness of the same thesis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evaluated within a theological framework.</w:t>
      </w:r>
    </w:p>
    <w:p w14:paraId="4C132E4D" w14:textId="77777777" w:rsidR="00AD1218" w:rsidRPr="00C83B79" w:rsidRDefault="00AD1218" w:rsidP="00AF6181">
      <w:pPr>
        <w:pStyle w:val="Heading1"/>
        <w:rPr>
          <w:color w:val="000000" w:themeColor="text1"/>
        </w:rPr>
      </w:pPr>
      <w:r w:rsidRPr="00C83B79">
        <w:rPr>
          <w:color w:val="000000" w:themeColor="text1"/>
        </w:rPr>
        <w:t>I. Two Common Objections to the Unity Thesis</w:t>
      </w:r>
    </w:p>
    <w:p w14:paraId="4D436305" w14:textId="544F5B5C" w:rsidR="00AD1218" w:rsidRPr="00C83B79" w:rsidRDefault="00AD1218" w:rsidP="00AF618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purpose of this section is to clarify and assess two interrelated but importantly distinct objections to the unity thesis. The first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objection contends that if the unity thesis is true, then those who possess virtue are “capped off” and thus unable to grow in the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moral life.</w:t>
      </w:r>
      <w:r w:rsidRPr="00C83B79">
        <w:rPr>
          <w:rFonts w:cstheme="minorHAnsi"/>
          <w:color w:val="000000" w:themeColor="text1"/>
          <w:sz w:val="22"/>
          <w:vertAlign w:val="superscript"/>
        </w:rPr>
        <w:t>458</w:t>
      </w:r>
      <w:r w:rsidRPr="00C83B79">
        <w:rPr>
          <w:rFonts w:cstheme="minorHAnsi"/>
          <w:color w:val="000000" w:themeColor="text1"/>
          <w:sz w:val="22"/>
        </w:rPr>
        <w:t xml:space="preserve"> I refer to this as the “impossibility of growth objection.” The second objection argues that if the unity thesis is true,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then those who lack virtue will only be able to attain it by a dishearteningly demanding and astonishingly abrupt transition from</w:t>
      </w:r>
      <w:r w:rsidR="00AF618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lacking virtue entirely to possessing it completely. I refer to this as the “impossibility of transition objection.” Both objections share</w:t>
      </w:r>
    </w:p>
    <w:p w14:paraId="0370B496" w14:textId="77777777" w:rsidR="00276649" w:rsidRPr="00C83B79" w:rsidRDefault="00276649" w:rsidP="00276649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2D3A8BDD" w14:textId="77777777" w:rsidR="00AD1218" w:rsidRPr="00C83B79" w:rsidRDefault="009B6587" w:rsidP="00276649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92</w:t>
      </w:r>
    </w:p>
    <w:p w14:paraId="146C214A" w14:textId="77777777" w:rsidR="0028542D" w:rsidRPr="00C83B79" w:rsidRDefault="009B6587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unexamined assumption that to affirm the unity of the virtues is to define virtue as a range quality rather than a scalar quality.</w:t>
      </w:r>
      <w:r w:rsidRPr="00C83B79">
        <w:rPr>
          <w:rFonts w:cstheme="minorHAnsi"/>
          <w:color w:val="000000" w:themeColor="text1"/>
          <w:sz w:val="22"/>
          <w:vertAlign w:val="superscript"/>
        </w:rPr>
        <w:t>459</w:t>
      </w:r>
      <w:r w:rsidR="0027664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Also, both objections operate </w:t>
      </w:r>
      <w:proofErr w:type="gramStart"/>
      <w:r w:rsidRPr="00C83B79">
        <w:rPr>
          <w:rFonts w:cstheme="minorHAnsi"/>
          <w:color w:val="000000" w:themeColor="text1"/>
          <w:sz w:val="22"/>
        </w:rPr>
        <w:t>on the basis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 perceived binary conflict between virtue considered as an abstract ideal and virtue as</w:t>
      </w:r>
      <w:r w:rsidR="0027664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manifested in the lives of actual people. In this view, the former creates an unrealistic and unattainable standard for virtue which is</w:t>
      </w:r>
      <w:r w:rsidR="0027664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then arbitrarily employed to discount the latter. Those who reject the unity of the virtues on this ground, therefore, regard the unity</w:t>
      </w:r>
      <w:r w:rsidR="0027664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thesis as a hindrance to an accurate understanding of character in general and </w:t>
      </w:r>
      <w:proofErr w:type="gramStart"/>
      <w:r w:rsidRPr="00C83B79">
        <w:rPr>
          <w:rFonts w:cstheme="minorHAnsi"/>
          <w:color w:val="000000" w:themeColor="text1"/>
          <w:sz w:val="22"/>
        </w:rPr>
        <w:t>virtue in particular</w:t>
      </w:r>
      <w:proofErr w:type="gramEnd"/>
      <w:r w:rsidRPr="00C83B79">
        <w:rPr>
          <w:rFonts w:cstheme="minorHAnsi"/>
          <w:color w:val="000000" w:themeColor="text1"/>
          <w:sz w:val="22"/>
        </w:rPr>
        <w:t>.</w:t>
      </w:r>
      <w:r w:rsidRPr="00C83B79">
        <w:rPr>
          <w:rFonts w:cstheme="minorHAnsi"/>
          <w:color w:val="000000" w:themeColor="text1"/>
          <w:sz w:val="22"/>
          <w:vertAlign w:val="superscript"/>
        </w:rPr>
        <w:t>460</w:t>
      </w:r>
      <w:r w:rsidR="00276649" w:rsidRPr="00C83B79">
        <w:rPr>
          <w:rFonts w:cstheme="minorHAnsi"/>
          <w:color w:val="000000" w:themeColor="text1"/>
          <w:sz w:val="22"/>
        </w:rPr>
        <w:t xml:space="preserve"> </w:t>
      </w:r>
    </w:p>
    <w:p w14:paraId="2FDF9848" w14:textId="1B3A18F3" w:rsidR="009B6587" w:rsidRPr="00C83B79" w:rsidRDefault="009B6587" w:rsidP="0028542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To begin, the impossibility of growth objection decries the unity thesis for discounting virtue as embodied in the lives of actual</w:t>
      </w:r>
      <w:r w:rsidR="0028542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people. According to this view, the unity thesis operates on the false premise that there exists such a thing as “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complete </w:t>
      </w:r>
      <w:r w:rsidRPr="00C83B79">
        <w:rPr>
          <w:rFonts w:cstheme="minorHAnsi"/>
          <w:color w:val="000000" w:themeColor="text1"/>
          <w:sz w:val="22"/>
        </w:rPr>
        <w:t>human</w:t>
      </w:r>
      <w:r w:rsidR="0028542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virtue” or a “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fully </w:t>
      </w:r>
      <w:r w:rsidRPr="00C83B79">
        <w:rPr>
          <w:rFonts w:cstheme="minorHAnsi"/>
          <w:color w:val="000000" w:themeColor="text1"/>
          <w:sz w:val="22"/>
        </w:rPr>
        <w:t>good human life if that means a human life that could not be improved in any way.”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461</w:t>
      </w:r>
      <w:r w:rsidRPr="00C83B79">
        <w:rPr>
          <w:rFonts w:cstheme="minorHAnsi"/>
          <w:color w:val="000000" w:themeColor="text1"/>
          <w:sz w:val="22"/>
        </w:rPr>
        <w:t xml:space="preserve"> This objection, then,</w:t>
      </w:r>
      <w:r w:rsidR="0028542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regards definitions of virtue rooted in the unity thesis to be profoundly distorted.</w:t>
      </w:r>
    </w:p>
    <w:p w14:paraId="230F0918" w14:textId="260A770E" w:rsidR="009B6587" w:rsidRPr="00C83B79" w:rsidRDefault="009B6587" w:rsidP="00B47E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The impossibly of growth objection is particularly useful </w:t>
      </w:r>
      <w:proofErr w:type="gramStart"/>
      <w:r w:rsidRPr="00C83B79">
        <w:rPr>
          <w:rFonts w:cstheme="minorHAnsi"/>
          <w:color w:val="000000" w:themeColor="text1"/>
          <w:sz w:val="22"/>
        </w:rPr>
        <w:t>with regard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assessing the unity thesis inasmuch as it invites us to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scrutinize fundamental questions regarding the manner in which one defines virtue. More precisely put, this objection, though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employing different terminology than I use here, helps us to clarify the important distinction between virtue considered as a “range”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quality versus virtue understood as a “scalar” quality. According to the </w:t>
      </w:r>
      <w:proofErr w:type="gramStart"/>
      <w:r w:rsidRPr="00C83B79">
        <w:rPr>
          <w:rFonts w:cstheme="minorHAnsi"/>
          <w:color w:val="000000" w:themeColor="text1"/>
          <w:sz w:val="22"/>
        </w:rPr>
        <w:t>manner in which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I use the concepts here, a “range” quality is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 quality that exists in an absolute state and is therefore not subject to gradation. For example, one is either a citizen of France or not.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Living in Paris as opposed to Marseille does not make one either </w:t>
      </w:r>
      <w:proofErr w:type="gramStart"/>
      <w:r w:rsidRPr="00C83B79">
        <w:rPr>
          <w:rFonts w:cstheme="minorHAnsi"/>
          <w:color w:val="000000" w:themeColor="text1"/>
          <w:sz w:val="22"/>
        </w:rPr>
        <w:t>more or less French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as “being French” is a range quality. One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either is or is not. A “scalar” property, on the other hand, is a property that is subject to gradation and may, as a result, be possessed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by different individuals to varying degrees. For instance, one may be able to speak French with varying degrees of fluency.</w:t>
      </w:r>
    </w:p>
    <w:p w14:paraId="50DBE365" w14:textId="52DB8ABF" w:rsidR="009B6587" w:rsidRPr="00C83B79" w:rsidRDefault="009B6587" w:rsidP="00E12D4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Now, a major assumption implied but not examined by the impossibility of growth objection is that to uphold the unity thesis is</w:t>
      </w:r>
      <w:r w:rsidR="00E12D40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to understand virtue as a range quality. It is certainly true that one can find historical examples of groups that understand virtue as a</w:t>
      </w:r>
      <w:r w:rsidR="00E12D40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range quality and affirm the unity thesis. For instance, the link between the unity thesis and virtue as a range quality is on full</w:t>
      </w:r>
      <w:r w:rsidR="00E12D40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display in Stoic thought about virtue. Diogenes Laertius (ca. 250 AD) reports that the Stoics repudiate the Peripatetic view that there</w:t>
      </w:r>
      <w:r w:rsidR="00E12D40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exists a “middle state” in which one might be understood as “progressing” toward virtue </w:t>
      </w:r>
      <w:r w:rsidRPr="00C83B79">
        <w:rPr>
          <w:rFonts w:cstheme="minorHAnsi"/>
          <w:color w:val="000000" w:themeColor="text1"/>
          <w:sz w:val="22"/>
        </w:rPr>
        <w:lastRenderedPageBreak/>
        <w:t>without yet possessing it. The moral</w:t>
      </w:r>
      <w:r w:rsidR="00E12D40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absolutism of the Stoics is summarily expressed in a striking metaphor:</w:t>
      </w:r>
    </w:p>
    <w:p w14:paraId="039D8853" w14:textId="77777777" w:rsidR="00B47E68" w:rsidRPr="00C83B79" w:rsidRDefault="00B47E68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26F39808" w14:textId="597216E9" w:rsidR="009B6587" w:rsidRPr="00C83B79" w:rsidRDefault="009B6587" w:rsidP="00B47E68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For just as those who are submerged in the ocean cannot breathe, whether they are so close to the surface that they are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just about to </w:t>
      </w:r>
      <w:proofErr w:type="gramStart"/>
      <w:r w:rsidRPr="00C83B79">
        <w:rPr>
          <w:rFonts w:cstheme="minorHAnsi"/>
          <w:color w:val="000000" w:themeColor="text1"/>
          <w:sz w:val="22"/>
        </w:rPr>
        <w:t>emerge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or they are down deep . . . so too whoever is making little progress toward the habit of virtue is no</w:t>
      </w:r>
      <w:r w:rsidR="00B47E6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less in misery than one who has not progressed at all.</w:t>
      </w:r>
      <w:r w:rsidRPr="00C83B79">
        <w:rPr>
          <w:rFonts w:cstheme="minorHAnsi"/>
          <w:color w:val="000000" w:themeColor="text1"/>
          <w:sz w:val="22"/>
          <w:vertAlign w:val="superscript"/>
        </w:rPr>
        <w:t>462</w:t>
      </w:r>
    </w:p>
    <w:p w14:paraId="2033EA06" w14:textId="77777777" w:rsidR="00E12D40" w:rsidRPr="00C83B79" w:rsidRDefault="00E12D40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061C1363" w14:textId="444CA24B" w:rsidR="009B6587" w:rsidRPr="00C83B79" w:rsidRDefault="009B6587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Stoics, then, appear to understand virtue as a range property. Virtue denotes a state of moral perfection that does not admit of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degrees. Such a view when combined with the unity thesis leads to the conclusion that to accurately attribute any virtue to an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individual, one most attribute </w:t>
      </w:r>
      <w:proofErr w:type="gramStart"/>
      <w:r w:rsidRPr="00C83B79">
        <w:rPr>
          <w:rFonts w:cstheme="minorHAnsi"/>
          <w:color w:val="000000" w:themeColor="text1"/>
          <w:sz w:val="22"/>
        </w:rPr>
        <w:t>all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 virtues in an absolute state to that same individual. If we do not want to attribute </w:t>
      </w:r>
      <w:proofErr w:type="gramStart"/>
      <w:r w:rsidRPr="00C83B79">
        <w:rPr>
          <w:rFonts w:cstheme="minorHAnsi"/>
          <w:color w:val="000000" w:themeColor="text1"/>
          <w:sz w:val="22"/>
        </w:rPr>
        <w:t>all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virtues in an absolute state to an individual, then we cannot attribute any virtue to her or him at all. We see here how the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impossibility of growth objection functions </w:t>
      </w:r>
      <w:proofErr w:type="gramStart"/>
      <w:r w:rsidRPr="00C83B79">
        <w:rPr>
          <w:rFonts w:cstheme="minorHAnsi"/>
          <w:color w:val="000000" w:themeColor="text1"/>
          <w:sz w:val="22"/>
        </w:rPr>
        <w:t>on the basis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what I referred to earlier as a perceived binary conflict between virtue as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an abstract ideal and virtue as manifested in the lives of actual people. This objection seems particularly apt </w:t>
      </w:r>
      <w:proofErr w:type="gramStart"/>
      <w:r w:rsidRPr="00C83B79">
        <w:rPr>
          <w:rFonts w:cstheme="minorHAnsi"/>
          <w:color w:val="000000" w:themeColor="text1"/>
          <w:sz w:val="22"/>
        </w:rPr>
        <w:t>with regard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Stoic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thought. J. M. </w:t>
      </w:r>
      <w:proofErr w:type="spellStart"/>
      <w:r w:rsidRPr="00C83B79">
        <w:rPr>
          <w:rFonts w:cstheme="minorHAnsi"/>
          <w:color w:val="000000" w:themeColor="text1"/>
          <w:sz w:val="22"/>
        </w:rPr>
        <w:t>Rist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helps to clarify the underlying logic of Stoic thought in the following passage:</w:t>
      </w:r>
    </w:p>
    <w:p w14:paraId="59991920" w14:textId="77777777" w:rsidR="004F61F6" w:rsidRPr="00C83B79" w:rsidRDefault="004F61F6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183838AB" w14:textId="27A12C3C" w:rsidR="009B6587" w:rsidRPr="00C83B79" w:rsidRDefault="009B6587" w:rsidP="004F61F6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If the concept of moral goodness admits of degrees, who can say that it could reach a term? If Smith is better than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Jones, who is better than Thomas, how can any man be said to be perfect? Could not some moral improvement be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imagined? In other words, how could there be a sage or wise man? The Stoics in fact reject a form of the ontological</w:t>
      </w:r>
      <w:r w:rsidR="004F61F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argument in advance. For them, if there are degrees of moral goodness, there cannot be a good, only a relative good.</w:t>
      </w:r>
      <w:r w:rsidRPr="00C83B79">
        <w:rPr>
          <w:rFonts w:cstheme="minorHAnsi"/>
          <w:color w:val="000000" w:themeColor="text1"/>
          <w:sz w:val="22"/>
          <w:vertAlign w:val="superscript"/>
        </w:rPr>
        <w:t>463</w:t>
      </w:r>
    </w:p>
    <w:p w14:paraId="18B4A1A0" w14:textId="77777777" w:rsidR="004F61F6" w:rsidRPr="00C83B79" w:rsidRDefault="004F61F6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050DA517" w14:textId="2FCBCBD7" w:rsidR="009B6587" w:rsidRPr="00C83B79" w:rsidRDefault="009B6587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Herein lies precisely the view against which the impossibility of growth objection responds. If virtue is a range quality, and if one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must possess all of them to possess even one of them, then not only is it the case that there exists such a thing as “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complete </w:t>
      </w:r>
      <w:r w:rsidRPr="00C83B79">
        <w:rPr>
          <w:rFonts w:cstheme="minorHAnsi"/>
          <w:color w:val="000000" w:themeColor="text1"/>
          <w:sz w:val="22"/>
        </w:rPr>
        <w:t>human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virtue” or a “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fully </w:t>
      </w:r>
      <w:r w:rsidRPr="00C83B79">
        <w:rPr>
          <w:rFonts w:cstheme="minorHAnsi"/>
          <w:color w:val="000000" w:themeColor="text1"/>
          <w:sz w:val="22"/>
        </w:rPr>
        <w:t>good human life,” it would also hold that, by definition, the virtuous person has no need of and is indeed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impervious to moral growth whereas those lacking virtue lack it absolutely.</w:t>
      </w:r>
      <w:r w:rsidRPr="00C83B79">
        <w:rPr>
          <w:rFonts w:cstheme="minorHAnsi"/>
          <w:color w:val="000000" w:themeColor="text1"/>
          <w:sz w:val="22"/>
          <w:vertAlign w:val="superscript"/>
        </w:rPr>
        <w:t>464</w:t>
      </w:r>
      <w:r w:rsidRPr="00C83B79">
        <w:rPr>
          <w:rFonts w:cstheme="minorHAnsi"/>
          <w:color w:val="000000" w:themeColor="text1"/>
          <w:sz w:val="22"/>
        </w:rPr>
        <w:t xml:space="preserve"> The enormous canyon between those possessing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 and those lacking it, then, forms the basis for the second objection of the current section to which I now turn.</w:t>
      </w:r>
    </w:p>
    <w:p w14:paraId="28EBB9A8" w14:textId="286BD8D0" w:rsidR="009B6587" w:rsidRPr="00C83B79" w:rsidRDefault="009B6587" w:rsidP="00290D4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impossibility of transition objection recognizes that if virtue is a range quality and if the unity thesis is true, then there must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be only two kinds of people: those with </w:t>
      </w:r>
      <w:proofErr w:type="gramStart"/>
      <w:r w:rsidRPr="00C83B79">
        <w:rPr>
          <w:rFonts w:cstheme="minorHAnsi"/>
          <w:color w:val="000000" w:themeColor="text1"/>
          <w:sz w:val="22"/>
        </w:rPr>
        <w:t>all of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the virtues, and those with none of them. Whereas the previous objection concerns the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impossibility of growth for those in Group A, the current objection is concerned with the situation of those in Group B. In short, if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Group A is “capped off” in moral perfection and Group B utterly deprived of virtue, then there would not exist a common space in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which members of Group A could assist members of Group B. A representative sample of this objection may be found in the work</w:t>
      </w:r>
      <w:r w:rsidR="00290D4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of Alasdair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</w:p>
    <w:p w14:paraId="4C695C5C" w14:textId="77777777" w:rsidR="00AC077B" w:rsidRPr="00C83B79" w:rsidRDefault="00AC077B" w:rsidP="00290D4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</w:p>
    <w:p w14:paraId="763E2743" w14:textId="77777777" w:rsidR="009B6587" w:rsidRPr="00C83B79" w:rsidRDefault="009B6587" w:rsidP="00AC077B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93</w:t>
      </w:r>
    </w:p>
    <w:p w14:paraId="06005712" w14:textId="685C544D" w:rsidR="009B6587" w:rsidRPr="00C83B79" w:rsidRDefault="009B6587" w:rsidP="0065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associates the unity thesis with virtue understood as a range quality and argues that virtue so understood renders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moral progress impossible for Group B who would lack a “point of moral contact” with Group A.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explains his view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through a thought experiment involving a courageous and temperate Nazi:</w:t>
      </w:r>
    </w:p>
    <w:p w14:paraId="51C9A3F6" w14:textId="77777777" w:rsidR="00AC077B" w:rsidRPr="00C83B79" w:rsidRDefault="00AC077B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3BC9F388" w14:textId="6503E68A" w:rsidR="009B6587" w:rsidRPr="00C83B79" w:rsidRDefault="009B6587" w:rsidP="00650E1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Consider what would be involved, what was in fact involved, in the moral re-education of such a Nazi: there were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many vices that he had to unlearn, many virtues about which he had to learn. </w:t>
      </w:r>
      <w:r w:rsidRPr="00C83B79">
        <w:rPr>
          <w:rFonts w:cstheme="minorHAnsi"/>
          <w:color w:val="000000" w:themeColor="text1"/>
          <w:sz w:val="22"/>
        </w:rPr>
        <w:lastRenderedPageBreak/>
        <w:t>Humility and charity would be in most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ways, if not quite in every way, new to him. But it is crucial that he would not have to unlearn or relearn what he knew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about both cowardice and intemperate rashness in the face of harm and danger. Moreover, it was precisely because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such a Nazi was not devoid of the virtues that there was a between him and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point of moral contact </w:t>
      </w:r>
      <w:r w:rsidRPr="00C83B79">
        <w:rPr>
          <w:rFonts w:cstheme="minorHAnsi"/>
          <w:color w:val="000000" w:themeColor="text1"/>
          <w:sz w:val="22"/>
        </w:rPr>
        <w:t>those who had the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task of re-educating him, that there was something on which to build. To deny that that kind of Nazi was courageous or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that his courage was a virtue obliterates the distinction between what required moral re-education in such a person and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what did not. Thus, I take it that if any version of moral Aristotelianism were necessarily committed to a strong thesis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concerning the unity of the virtues (as not only Aquinas, but Aristotle himself were) there would be a serious defect in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that position.</w:t>
      </w:r>
      <w:r w:rsidRPr="00C83B79">
        <w:rPr>
          <w:rFonts w:cstheme="minorHAnsi"/>
          <w:color w:val="000000" w:themeColor="text1"/>
          <w:sz w:val="22"/>
          <w:vertAlign w:val="superscript"/>
        </w:rPr>
        <w:t>465</w:t>
      </w:r>
    </w:p>
    <w:p w14:paraId="11352A87" w14:textId="77777777" w:rsidR="00AC077B" w:rsidRPr="00C83B79" w:rsidRDefault="00AC077B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09AAAAB0" w14:textId="363C86C4" w:rsidR="009B6587" w:rsidRPr="00C83B79" w:rsidRDefault="009B6587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Hence, even if there were a Group A, it is imperative, in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view, that those who lack certain virtues not be conceived of as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“devoid of the virtues.” Group A must accurately assess the condition of Group B in order to “re-educate” Group B. Thus,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appears to regard “a strong thesis concerning the unity of the virtues” as a corollary of the view that virtue is a range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quality. When combined, these two views, in </w:t>
      </w:r>
      <w:proofErr w:type="spellStart"/>
      <w:r w:rsidRPr="00C83B79">
        <w:rPr>
          <w:rFonts w:cstheme="minorHAnsi"/>
          <w:color w:val="000000" w:themeColor="text1"/>
          <w:sz w:val="22"/>
        </w:rPr>
        <w:t>MacInytre’s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assessment, would place an implacable divide between Group A and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Group B. Furthermore, if someone were to transition from the latter to the former, however mysteriously, this transition would need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be, as John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has observed, “surprisingly sudden and implausibly difficult.”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466</w:t>
      </w:r>
    </w:p>
    <w:p w14:paraId="206D9763" w14:textId="1846F423" w:rsidR="009B6587" w:rsidRPr="00C83B79" w:rsidRDefault="009B6587" w:rsidP="0065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In conclusion, this section has evaluated two prominent objections to the unity thesis. Both objections imply that if the unity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thesis is true, then no one possesses virtues. The impossibility of moral growth argument contends that if the unity thesis is true, then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those who, in theory, possess virtue are “capped off” and thus invulnerable to growth in the moral life. Finally, the impossibility of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transition objection regards the unity thesis as negating the possibility of attaining virtue for those who lack it. Both objections infer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 causal link between the unity thesis and virtue understood as a range quality. Having summarized these critiques, then, we may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now advance to an examination of the unity thesis as a criterion for authentic evangelization as expounded by Francis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="00650E19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color w:val="000000" w:themeColor="text1"/>
          <w:sz w:val="22"/>
        </w:rPr>
        <w:t>.</w:t>
      </w:r>
    </w:p>
    <w:p w14:paraId="27556B43" w14:textId="77777777" w:rsidR="009B6587" w:rsidRPr="00C83B79" w:rsidRDefault="009B6587" w:rsidP="00650E19">
      <w:pPr>
        <w:pStyle w:val="Heading1"/>
        <w:rPr>
          <w:color w:val="000000" w:themeColor="text1"/>
        </w:rPr>
      </w:pPr>
      <w:r w:rsidRPr="00C83B79">
        <w:rPr>
          <w:color w:val="000000" w:themeColor="text1"/>
        </w:rPr>
        <w:t>II. The Unity of the Virtues as a Criterion for Authentic Evangelization</w:t>
      </w:r>
    </w:p>
    <w:p w14:paraId="5FDAF556" w14:textId="48A879A0" w:rsidR="009B6587" w:rsidRPr="00C83B79" w:rsidRDefault="009B6587" w:rsidP="0065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This section scrutinizes select passages from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for the sake of making clear that Francis employs the unity of the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virtues as a criterion for authentic evangelization in a manner that raises the issue of whether the program for </w:t>
      </w:r>
      <w:proofErr w:type="gramStart"/>
      <w:r w:rsidRPr="00C83B79">
        <w:rPr>
          <w:rFonts w:cstheme="minorHAnsi"/>
          <w:color w:val="000000" w:themeColor="text1"/>
          <w:sz w:val="22"/>
        </w:rPr>
        <w:t>evangelization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he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proposes is susceptible to the objections of the preceding section. As we shall see, a cursory read of the passages that follow could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lead one to raise objections structurally </w:t>
      </w:r>
      <w:proofErr w:type="gramStart"/>
      <w:r w:rsidRPr="00C83B79">
        <w:rPr>
          <w:rFonts w:cstheme="minorHAnsi"/>
          <w:color w:val="000000" w:themeColor="text1"/>
          <w:sz w:val="22"/>
        </w:rPr>
        <w:t>similar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those just considered. This section concludes, then, by discerning the shape of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these objections as applied to Francis’s presentation of authentic evangelization. Having accomplished this, we will then be in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position to assess these objections.</w:t>
      </w:r>
    </w:p>
    <w:p w14:paraId="6AE40634" w14:textId="0824E6E2" w:rsidR="009B6587" w:rsidRPr="00C83B79" w:rsidRDefault="009B6587" w:rsidP="00650E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color w:val="000000" w:themeColor="text1"/>
          <w:sz w:val="22"/>
        </w:rPr>
        <w:t>, Francis constructs a dichotomy between two groups which I shall again refer to as “Group A” and “Group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B.” Those in Group A have encountered Jesus, accepted “his offer of salvation,” and thus been “set free from sin, sorrow, inner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emptiness, and loneliness.” In addition to the characteristics just mentioned, those in Group A also lead lives that are “dignified and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fulfilled,” because they are rooted in “the life in the Spirit which has its source in the heart of the risen Christ.” Hence, the most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distinctive feature of Group A is that they possess a “joy that is constantly born anew.”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467</w:t>
      </w:r>
    </w:p>
    <w:p w14:paraId="08BA8C46" w14:textId="4E0E3B6A" w:rsidR="009B6587" w:rsidRPr="00C83B79" w:rsidRDefault="009B6587" w:rsidP="009C296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Distinctive characteristics of Group B include the following: “the desolation and anguish born of a complacent yet covetous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heart, the feverish pursuit of frivolous pleasures, and a blunted conscience” as well as a caved in “interior life” marred by</w:t>
      </w:r>
      <w:r w:rsidR="00650E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selfishness, an inability to hear God’s voice or feel God’s love, apathy for the poor, and indifference with regard to doing good.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Apparently, a large portion of those in Group B wrongly imagine themselves to be in Group A when</w:t>
      </w:r>
      <w:proofErr w:type="gramStart"/>
      <w:r w:rsidRPr="00C83B79">
        <w:rPr>
          <w:rFonts w:cstheme="minorHAnsi"/>
          <w:color w:val="000000" w:themeColor="text1"/>
          <w:sz w:val="22"/>
        </w:rPr>
        <w:t>, in reality, they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also have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lastRenderedPageBreak/>
        <w:t>succumbed to the aforementioned selfishness and are thus, according to Francis, “resentful, angry, and listless.” I refer to this group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as “Subgroup B.” The purpose of Francis’s exhortation, then, is to commend a method of evangelization informed by the kind of joy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possessed by Group A in a manner that will forge “new paths for the Church’s journey in years to come.”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468</w:t>
      </w:r>
    </w:p>
    <w:p w14:paraId="0E28DB3F" w14:textId="44706BD3" w:rsidR="009B6587" w:rsidRPr="00C83B79" w:rsidRDefault="009B6587" w:rsidP="009C296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Since they possess a “joy that is constantly born anew,” Francis “invites” those in Group A “to a renewed personal encounter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with Jesus Christ, or at least an openness to letting him encounter them.” Francis implores Group A to “do this unfailingly each day”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by saying to Jesus as follows: “Lord, I have let myself be deceived; in a thousand ways I have shunned your love, yet here I am once</w:t>
      </w:r>
    </w:p>
    <w:p w14:paraId="27E548CF" w14:textId="77777777" w:rsidR="009C2969" w:rsidRPr="00C83B79" w:rsidRDefault="009C2969" w:rsidP="009C296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</w:p>
    <w:p w14:paraId="506FC33F" w14:textId="77777777" w:rsidR="009B6587" w:rsidRPr="00C83B79" w:rsidRDefault="009B6587" w:rsidP="009C2969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94</w:t>
      </w:r>
    </w:p>
    <w:p w14:paraId="1955CF68" w14:textId="639FB060" w:rsidR="009B6587" w:rsidRPr="00C83B79" w:rsidRDefault="009B6587" w:rsidP="009B6587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more, to renew my covenant with you. I need you. Save me once again, Lord, take me once more into your redeeming embrace.”</w:t>
      </w:r>
      <w:r w:rsidR="009C296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Failure to constantly renew this covenant places one into the earlier mentioned Subgroup B, that is, the “resentful, angry, and listless. . . Christians whose lives seem like Lent without Easter.”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469</w:t>
      </w:r>
    </w:p>
    <w:p w14:paraId="27EECABC" w14:textId="66C56969" w:rsidR="009B6587" w:rsidRPr="00C83B79" w:rsidRDefault="009B6587" w:rsidP="00BF0CC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Francis recognizes that there may exist a set in Group A mired in “grief” and “great suffering” but reaffirms nonetheless that it is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incumbent upon this set to allow the “joy of faith to slowly revive them.” Francis states that this joy is regained through a “renewed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encounter with God’s love” that enables one’s faith to persevere through “detachment and simplicity.” The great barrier to receiving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God’s love, according to Francis, is the “slow suicide” of self-absorption.</w:t>
      </w:r>
      <w:r w:rsidRPr="00C83B79">
        <w:rPr>
          <w:rFonts w:cstheme="minorHAnsi"/>
          <w:color w:val="000000" w:themeColor="text1"/>
          <w:sz w:val="22"/>
          <w:vertAlign w:val="superscript"/>
        </w:rPr>
        <w:t>470</w:t>
      </w:r>
    </w:p>
    <w:p w14:paraId="3A18AC4F" w14:textId="2A32F648" w:rsidR="009B6587" w:rsidRPr="00C83B79" w:rsidRDefault="009B6587" w:rsidP="00BF0CC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In Francis’s view, then, it follows that </w:t>
      </w:r>
      <w:proofErr w:type="gramStart"/>
      <w:r w:rsidRPr="00C83B79">
        <w:rPr>
          <w:rFonts w:cstheme="minorHAnsi"/>
          <w:color w:val="000000" w:themeColor="text1"/>
          <w:sz w:val="22"/>
        </w:rPr>
        <w:t>in order for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evangelization to be fruitful, it must be rooted in the distinctive kind of joy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possessed by Group A which turns out, upon further examination, to be but a corollary of encountering God and receiving God’s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love. It is, therefore, a fundamental duty of those in Group A to continually accept this love. Thus, for Francis, receiving God’s love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and evangelizing are axiomatic, since to receive love is to share it.</w:t>
      </w:r>
      <w:r w:rsidRPr="00C83B79">
        <w:rPr>
          <w:rFonts w:cstheme="minorHAnsi"/>
          <w:color w:val="000000" w:themeColor="text1"/>
          <w:sz w:val="22"/>
          <w:vertAlign w:val="superscript"/>
        </w:rPr>
        <w:t>471</w:t>
      </w:r>
    </w:p>
    <w:p w14:paraId="062F2E6B" w14:textId="13D45ECA" w:rsidR="009B6587" w:rsidRPr="00C83B79" w:rsidRDefault="009B6587" w:rsidP="0057036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In addition to </w:t>
      </w:r>
      <w:proofErr w:type="gramStart"/>
      <w:r w:rsidRPr="00C83B79">
        <w:rPr>
          <w:rFonts w:cstheme="minorHAnsi"/>
          <w:color w:val="000000" w:themeColor="text1"/>
          <w:sz w:val="22"/>
        </w:rPr>
        <w:t>being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 duty, then, evangelizing is also the means to a paradoxical and transcendental self-fulfillment achieved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only by the emptying of self. Thus, “when the Church summons Christians to take up the task of evangelization, she is simply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pointing to the source of authentic personal fulfilment” and thereby witnessing to “a profound law of reality: that life is attained and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matures in the measure that it is offered up in order to give life to others. This is certainly what mission means.” In Francis’s view, it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is unlikely that those in Group B will be drawn into the good news of the Gospel by evangelizers who are “resentful, angry, and</w:t>
      </w:r>
      <w:r w:rsidR="00BF0CC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listless . . . Christians whose lives seem like Lent without Easter,” and who evangelize in a manner that is “dejected, discouraged,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impatient or anxious.” Indeed, it appears as though one of Group A’s chief obstacles to evangelizing emerges from the activities of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Subgroup B.</w:t>
      </w:r>
      <w:r w:rsidRPr="00C83B79">
        <w:rPr>
          <w:rFonts w:cstheme="minorHAnsi"/>
          <w:color w:val="000000" w:themeColor="text1"/>
          <w:sz w:val="22"/>
          <w:vertAlign w:val="superscript"/>
        </w:rPr>
        <w:t>472</w:t>
      </w:r>
    </w:p>
    <w:p w14:paraId="23FA3368" w14:textId="2019D504" w:rsidR="009B6587" w:rsidRPr="00C83B79" w:rsidRDefault="009B6587" w:rsidP="0057036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Francis seems to think that those in Subgroup B exist at opposite poles of a dialectical tension. At the one extreme are those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who, failing to recognize the primacy of God in mission, regard evangelizing as a “heroic individual undertaking” and thereby close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themselves off from “the newness which God himself mysteriously brings about and inspires, provokes, guides and accompanies in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 thousand ways.” At the extreme opposite end of the dialectical tension are those who make an idol of newness itself and thus cut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themselves off from “the living history which surrounds us and carries us forward.” Authentic evangelization seems to require</w:t>
      </w:r>
      <w:r w:rsidR="0057036D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advancing beyond these two poles into a higher synthesis.</w:t>
      </w:r>
      <w:r w:rsidRPr="00C83B79">
        <w:rPr>
          <w:rFonts w:cstheme="minorHAnsi"/>
          <w:color w:val="000000" w:themeColor="text1"/>
          <w:sz w:val="22"/>
          <w:vertAlign w:val="superscript"/>
        </w:rPr>
        <w:t>473</w:t>
      </w:r>
    </w:p>
    <w:p w14:paraId="65CF50C4" w14:textId="7E316C90" w:rsidR="009B6587" w:rsidRPr="00C83B79" w:rsidRDefault="009B6587" w:rsidP="00E57E9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To specify in a more concrete manner, Francis explains that Group A consists of “the faithful who regularly take part in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community worship and gather on the Lord’s day to be nourished by his word and by the bread of eternal life.” Group A also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includes “those members of the faithful who preserve a deep and sincere faith, expressing it in different ways, but seldom taking part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 worship.” Subgroup B is comprised of “the baptized whose lives do not reflect the demands of Baptism.” Though they have been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lastRenderedPageBreak/>
        <w:t>baptized, they “lack a meaningful relationship to the Church and no longer experience the consolation born of faith.” Group B also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includes “those who do not know Jesus Christ or who have always rejected him.”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474</w:t>
      </w:r>
    </w:p>
    <w:p w14:paraId="26C7721E" w14:textId="7ED33EA8" w:rsidR="009B6587" w:rsidRPr="00C83B79" w:rsidRDefault="009B6587" w:rsidP="003A5FD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evangelization efforts of Group A are primarily ordered to Group B and then secondarily to Subgroup B. Put another way, if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Group A is to reach Group B, then the latter must be protected from Subgroup B. Therefore, in order to authentically evangelize</w:t>
      </w:r>
      <w:r w:rsidR="00E57E9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Group B, the Church must continually undergo a missionary transformation of its own whereby it renews the faith of those within its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own ranks whose actions do not reveal, but rather conceal, God’s presence in the world. It is for this reason that Francis urges “each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particular Church to undertake a resolute process of discernment, purification and reform.”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475</w:t>
      </w:r>
    </w:p>
    <w:p w14:paraId="54C0789D" w14:textId="748514C4" w:rsidR="009B6587" w:rsidRPr="00C83B79" w:rsidRDefault="009B6587" w:rsidP="003A5FD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Francis maintains that failure to undergo the missionary conversion of which he speaks on both the individual and collective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level causes the central meaning of the Gospel to be distorted. While Group A accepts that “all revealed truths derive from the same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divine source and are to be believed with the same faith,” they also are aware that one must prioritize certain truths over others if one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is to give “direct expression to the heart of the Gospel.” The central message of the Gospel moves the mind beyond mere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propositions to a direct experience with the “beauty of the saving love of God made manifest in Jesus Christ who died and rose from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dead.” It is this message, above all else, that the members of Group A desire to communicate with the members of Group B.</w:t>
      </w:r>
      <w:r w:rsidRPr="00C83B79">
        <w:rPr>
          <w:rFonts w:cstheme="minorHAnsi"/>
          <w:color w:val="000000" w:themeColor="text1"/>
          <w:sz w:val="22"/>
          <w:vertAlign w:val="superscript"/>
        </w:rPr>
        <w:t>476</w:t>
      </w:r>
    </w:p>
    <w:p w14:paraId="39D6281E" w14:textId="3966633B" w:rsidR="009B6587" w:rsidRPr="00C83B79" w:rsidRDefault="009B6587" w:rsidP="003A5FD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members of Subgroup B, on the other hand, are “obsessed with the disjointed transmission of a multitude of doctrines to be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insistently imposed.” They are careless with the Gospel causing what are </w:t>
      </w:r>
      <w:proofErr w:type="gramStart"/>
      <w:r w:rsidRPr="00C83B79">
        <w:rPr>
          <w:rFonts w:cstheme="minorHAnsi"/>
          <w:color w:val="000000" w:themeColor="text1"/>
          <w:sz w:val="22"/>
        </w:rPr>
        <w:t>in reality secondary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aspects of Christ’s message to be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prioritized over the central message. This doubly harms Group B inasmuch as the central message of the Gospel is not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communicated to them at all while the secondary aspects are communicated to them in an alien context rendering those aspects into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unintelligible propositional assertions lacking in substance and meaning.</w:t>
      </w:r>
      <w:r w:rsidRPr="00C83B79">
        <w:rPr>
          <w:rFonts w:cstheme="minorHAnsi"/>
          <w:color w:val="000000" w:themeColor="text1"/>
          <w:sz w:val="22"/>
          <w:vertAlign w:val="superscript"/>
        </w:rPr>
        <w:t>477</w:t>
      </w:r>
    </w:p>
    <w:p w14:paraId="68B41490" w14:textId="441C7D82" w:rsidR="009B6587" w:rsidRPr="00C83B79" w:rsidRDefault="009B6587" w:rsidP="003A5FD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In addition to correctly prioritizing the Gospel message, those in Group A also recognize the role one’s actions play in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evangelizing. Thus, the actions of Group A embody “faith working through love.” These “works of love directed to one’s neighbor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[are] the most perfect external manifestation of the interior grace of the Spirit.” In addition to faith and love, then, the members of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Group A also possess mercy which “is the greatest of the virtues, since all the others revolve around it and, more than this, it makes</w:t>
      </w:r>
      <w:r w:rsidR="003A5FD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up for their deficiencies.” Their mercy flows from God’s mercy which reveals God’s omnipotence “to the greatest degree.”</w:t>
      </w:r>
    </w:p>
    <w:p w14:paraId="1407CDA7" w14:textId="77777777" w:rsidR="0072217C" w:rsidRPr="00C83B79" w:rsidRDefault="0072217C" w:rsidP="003A5FD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</w:p>
    <w:p w14:paraId="5F85C1BC" w14:textId="77777777" w:rsidR="009B6587" w:rsidRPr="00C83B79" w:rsidRDefault="009B6587" w:rsidP="0072217C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95</w:t>
      </w:r>
    </w:p>
    <w:p w14:paraId="51A341C1" w14:textId="5D6E4E54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Alternatively, the members of Subgroup B prioritize “the law above grace, the Church above Christ, and the Pope above God’s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Word.”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478</w:t>
      </w:r>
    </w:p>
    <w:p w14:paraId="515173F9" w14:textId="77F3A60A" w:rsidR="006A72AF" w:rsidRPr="00C83B79" w:rsidRDefault="006A72AF" w:rsidP="0072217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Those in Group A realize that a Christian morality not rooted in the Gospel is not a Christian morality at all. Since the “Gospel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invites us to respond to the God of love who saves us,” and since “all of the virtues are at the service of this response of love,” it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follows that a truly Christian morality must affirm “the organic unity existing among the virtues.” There exists, then, in Francis’s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view, a kind of symbiosis between “the harmonious totality of the Christian message” and the harmonious totality of the group or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individual from which that message emanates. Absent this harmonious totality, Christian morality is distorted into “a form of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stoicism, or self-denial, or merely a practical philosophy or a catalogue of sins and faults,” and the Gospel itself is reduced “to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certain doctrinal or moral points based on specific ideological options.”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479</w:t>
      </w:r>
    </w:p>
    <w:p w14:paraId="1C139F79" w14:textId="6358A2C5" w:rsidR="006A72AF" w:rsidRPr="00C83B79" w:rsidRDefault="006A72AF" w:rsidP="0072217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unity of the virtues, then, is a criterion for authentic evangelization. The “joy of the Gospel” is nothing other than a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“renewed encounter with God’s love.” </w:t>
      </w:r>
      <w:proofErr w:type="gramStart"/>
      <w:r w:rsidRPr="00C83B79">
        <w:rPr>
          <w:rFonts w:cstheme="minorHAnsi"/>
          <w:color w:val="000000" w:themeColor="text1"/>
          <w:sz w:val="22"/>
        </w:rPr>
        <w:t>In order for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this love to achieve its end, it utilizes all of the virtues. In Thomistic terms,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charity needs the other virtues to be perfect in act, since </w:t>
      </w:r>
      <w:r w:rsidRPr="00C83B79">
        <w:rPr>
          <w:rFonts w:cstheme="minorHAnsi"/>
          <w:color w:val="000000" w:themeColor="text1"/>
          <w:sz w:val="22"/>
        </w:rPr>
        <w:lastRenderedPageBreak/>
        <w:t>actions ordered by charity are much more than mere expressions of charity.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Aquinas held that charity cannot achieve its end without the moral virtues, because it is through the moral virtues “that man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performs each different kind of good work.”</w:t>
      </w:r>
      <w:r w:rsidR="00B766EF" w:rsidRPr="00C83B79">
        <w:rPr>
          <w:rFonts w:cstheme="minorHAnsi"/>
          <w:color w:val="000000" w:themeColor="text1"/>
          <w:sz w:val="22"/>
          <w:vertAlign w:val="superscript"/>
        </w:rPr>
        <w:t>480</w:t>
      </w:r>
      <w:r w:rsidR="00B766EF" w:rsidRPr="00C83B79">
        <w:rPr>
          <w:rFonts w:cstheme="minorHAnsi"/>
          <w:color w:val="000000" w:themeColor="text1"/>
          <w:sz w:val="22"/>
          <w:vertAlign w:val="superscript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Therefore, charity would be unable to achieve its end of loving God without the</w:t>
      </w:r>
      <w:r w:rsidR="0072217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other virtues, yet the other virtues also require charity in order to be true and perfect.</w:t>
      </w:r>
    </w:p>
    <w:p w14:paraId="0DBE5D0D" w14:textId="07334223" w:rsidR="006A72AF" w:rsidRPr="00C83B79" w:rsidRDefault="006A72AF" w:rsidP="009C43B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Having explicated the key role played by the unity thesis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color w:val="000000" w:themeColor="text1"/>
          <w:sz w:val="22"/>
        </w:rPr>
        <w:t>, we may now proceed to discern the shape of the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objections of the prior section as applied to Francis’s presentation of authentic evangelization. In order to do so, we must first make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clear two distinctive features of the version of the unity thesis endorsed by Francis. First, Francis is referring to infused virtues.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Second, Francis is employing a Thomistic version of the unity thesis insofar as he prioritizes the formal and final cause in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understanding virtue.</w:t>
      </w:r>
      <w:r w:rsidRPr="00C83B79">
        <w:rPr>
          <w:rFonts w:cstheme="minorHAnsi"/>
          <w:color w:val="000000" w:themeColor="text1"/>
          <w:sz w:val="22"/>
          <w:vertAlign w:val="superscript"/>
        </w:rPr>
        <w:t>481</w:t>
      </w:r>
      <w:r w:rsidRPr="00C83B79">
        <w:rPr>
          <w:rFonts w:cstheme="minorHAnsi"/>
          <w:color w:val="000000" w:themeColor="text1"/>
          <w:sz w:val="22"/>
        </w:rPr>
        <w:t xml:space="preserve"> We must, therefore, consider whether the objections of the first section are applicable to the unity thesis so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understood.</w:t>
      </w:r>
    </w:p>
    <w:p w14:paraId="526A5D60" w14:textId="41F3B889" w:rsidR="006A72AF" w:rsidRPr="00C83B79" w:rsidRDefault="006A72AF" w:rsidP="009C43B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At this point, we may benefit from Jean Porter’s analysis of the unity thesis employing Martin Luther King, Jr. as a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counterexample to the unity of the virtues.</w:t>
      </w:r>
      <w:r w:rsidRPr="00C83B79">
        <w:rPr>
          <w:rFonts w:cstheme="minorHAnsi"/>
          <w:color w:val="000000" w:themeColor="text1"/>
          <w:sz w:val="22"/>
          <w:vertAlign w:val="superscript"/>
        </w:rPr>
        <w:t>482</w:t>
      </w:r>
      <w:r w:rsidRPr="00C83B79">
        <w:rPr>
          <w:rFonts w:cstheme="minorHAnsi"/>
          <w:color w:val="000000" w:themeColor="text1"/>
          <w:sz w:val="22"/>
        </w:rPr>
        <w:t xml:space="preserve"> One may derive the central argument of Porter’s essay from the following passage:</w:t>
      </w:r>
    </w:p>
    <w:p w14:paraId="36B38809" w14:textId="77777777" w:rsidR="0072217C" w:rsidRPr="00C83B79" w:rsidRDefault="0072217C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4B7995D0" w14:textId="58DCF8D4" w:rsidR="006A72AF" w:rsidRPr="00C83B79" w:rsidRDefault="006A72AF" w:rsidP="0072217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There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are </w:t>
      </w:r>
      <w:r w:rsidRPr="00C83B79">
        <w:rPr>
          <w:rFonts w:cstheme="minorHAnsi"/>
          <w:color w:val="000000" w:themeColor="text1"/>
          <w:sz w:val="22"/>
        </w:rPr>
        <w:t>counterexamples to the [unity] thesis which are . . . difficult to address, precisely because they call attention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to people who apparently combine real and even heroic virtues with equally real and crippling vices in one character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and one lifetime. King . . . offers such an example. Together with his heroic and saintly virtues, he displayed clear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weakness, particularly through repeated extramarital affairs which he clearly regretted, yet could not forswear.</w:t>
      </w:r>
      <w:r w:rsidRPr="00C83B79">
        <w:rPr>
          <w:rFonts w:cstheme="minorHAnsi"/>
          <w:color w:val="000000" w:themeColor="text1"/>
          <w:sz w:val="22"/>
          <w:vertAlign w:val="superscript"/>
        </w:rPr>
        <w:t>483</w:t>
      </w:r>
    </w:p>
    <w:p w14:paraId="7DAE3AEE" w14:textId="77777777" w:rsidR="0072217C" w:rsidRPr="00C83B79" w:rsidRDefault="0072217C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51AA771D" w14:textId="2A917EE2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Porter’s argument takes the objections of the previous section up a notch as she not only contrasts an abstract ideal of unified virtue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with an equally, and ironically, abstract notion of “the average individual” but with an actual human being who is generally regarded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as having possessed heroic virtue. If the unity thesis is true, according to Porter, then the courage and justice of King would not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qualify as virtue. If the virtue of King cannot pass muster, then whose can? In Porter’s judgment, then, it is only a seriously flawed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definition of virtue that would be unable to account for the virtues of an individual who, like King, seemed to possess a character</w:t>
      </w:r>
      <w:r w:rsidR="009C43B2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capable of seamlessly and repeatedly moving between displays of heroic virtue at one moment and serious sin the next.</w:t>
      </w:r>
    </w:p>
    <w:p w14:paraId="2F492D0A" w14:textId="5F217E63" w:rsidR="006A72AF" w:rsidRPr="00C83B79" w:rsidRDefault="006A72AF" w:rsidP="009C73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Furthermore, Porter’s essay is directly responsive to the issue of whether the infused virtues, particularly as understood within a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Thomistic framework, may be able to overcome the problem of moral conflict as existing in individuals such as King. The problem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with Aquinas’s understanding of acquired virtue, according to Porter, is that it “seems to imply that anyone whose life is marked by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 pattern of serious moral struggle, in any respect, is therefore not a person of true virtue.”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484</w:t>
      </w:r>
      <w:r w:rsidRPr="00C83B79">
        <w:rPr>
          <w:rFonts w:cstheme="minorHAnsi"/>
          <w:color w:val="000000" w:themeColor="text1"/>
          <w:sz w:val="22"/>
        </w:rPr>
        <w:t xml:space="preserve"> Thus, the courage of King would have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to be placed in the same category as the brave bank robber, and she thinks “there must be something wrong with that conclusion.”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485</w:t>
      </w:r>
    </w:p>
    <w:p w14:paraId="06E5A061" w14:textId="35E9A0A8" w:rsidR="006A72AF" w:rsidRPr="00C83B79" w:rsidRDefault="006A72AF" w:rsidP="009C73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Porter acknowledges, then, that objections to the unity thesis need to account for important differences in the kind of unity thesis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under review. To illustrate, Porter clarifies that for Aquinas “the normal context for the development and exercise of the virtues is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life of grace.”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486</w:t>
      </w:r>
      <w:r w:rsidRPr="00C83B79">
        <w:rPr>
          <w:rFonts w:cstheme="minorHAnsi"/>
          <w:color w:val="000000" w:themeColor="text1"/>
          <w:sz w:val="22"/>
        </w:rPr>
        <w:t xml:space="preserve"> According to Aquinas, those who partake of this life have all of the virtues infused into them directly by God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through charity.</w:t>
      </w:r>
      <w:r w:rsidRPr="00C83B79">
        <w:rPr>
          <w:rFonts w:cstheme="minorHAnsi"/>
          <w:color w:val="000000" w:themeColor="text1"/>
          <w:sz w:val="22"/>
          <w:vertAlign w:val="superscript"/>
        </w:rPr>
        <w:t>487</w:t>
      </w:r>
      <w:r w:rsidRPr="00C83B79">
        <w:rPr>
          <w:rFonts w:cstheme="minorHAnsi"/>
          <w:color w:val="000000" w:themeColor="text1"/>
          <w:sz w:val="22"/>
        </w:rPr>
        <w:t xml:space="preserve"> However, such a person may continue to experience moral conflict and struggle due to “the effects of past habits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or some other cause.”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488</w:t>
      </w:r>
      <w:r w:rsidRPr="00C83B79">
        <w:rPr>
          <w:rFonts w:cstheme="minorHAnsi"/>
          <w:color w:val="000000" w:themeColor="text1"/>
          <w:sz w:val="22"/>
        </w:rPr>
        <w:t xml:space="preserve"> Thus, Aquinas’s thesis “can account for the possibility that someone who is truly virtuous is nonetheless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also morally flawed in some ways.”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489</w:t>
      </w:r>
      <w:r w:rsidRPr="00C83B79">
        <w:rPr>
          <w:rFonts w:cstheme="minorHAnsi"/>
          <w:color w:val="000000" w:themeColor="text1"/>
          <w:sz w:val="22"/>
        </w:rPr>
        <w:t xml:space="preserve"> This Thomistic view, then, could explain individuals such as King who seem to exhibit</w:t>
      </w:r>
      <w:r w:rsidR="009C731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moral heroism despite moral struggles.</w:t>
      </w:r>
    </w:p>
    <w:p w14:paraId="4F8AF3B9" w14:textId="52AC785A" w:rsidR="009B6587" w:rsidRPr="00C83B79" w:rsidRDefault="006A72AF" w:rsidP="009C73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Ultimately, however, Porter argues that the Thomistic thesis fails because it can only account for “moral flaws” that “are not </w:t>
      </w:r>
      <w:r w:rsidRPr="00C83B79">
        <w:rPr>
          <w:rFonts w:cstheme="minorHAnsi"/>
          <w:i/>
          <w:iCs/>
          <w:color w:val="000000" w:themeColor="text1"/>
          <w:sz w:val="22"/>
        </w:rPr>
        <w:t>too</w:t>
      </w:r>
      <w:r w:rsidR="009C7319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serious.”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490</w:t>
      </w:r>
      <w:r w:rsidRPr="00C83B79">
        <w:rPr>
          <w:rFonts w:cstheme="minorHAnsi"/>
          <w:color w:val="000000" w:themeColor="text1"/>
          <w:sz w:val="22"/>
        </w:rPr>
        <w:t xml:space="preserve"> In Porter’s view, “repeated infidelity” implies a persistent and severe “kind of callousness” that even the Thomistic</w:t>
      </w:r>
    </w:p>
    <w:p w14:paraId="20B4D7A7" w14:textId="77777777" w:rsidR="006A72AF" w:rsidRPr="00C83B79" w:rsidRDefault="006A72AF" w:rsidP="0072217C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lastRenderedPageBreak/>
        <w:t>96</w:t>
      </w:r>
    </w:p>
    <w:p w14:paraId="2AF55FCC" w14:textId="7DFCDCA8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thesis is unable to harmonize with the life of grace.</w:t>
      </w:r>
      <w:r w:rsidR="006841C8" w:rsidRPr="00C83B79">
        <w:rPr>
          <w:rFonts w:cstheme="minorHAnsi"/>
          <w:color w:val="000000" w:themeColor="text1"/>
          <w:sz w:val="22"/>
          <w:vertAlign w:val="superscript"/>
        </w:rPr>
        <w:t>491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Drawing from Porter’s analysis, then, we may now consider the shape of the</w:t>
      </w:r>
      <w:r w:rsidR="00856C1E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objections of the preceding section as applied to Francis’s presentation of authentic evangelization.</w:t>
      </w:r>
    </w:p>
    <w:p w14:paraId="681A26D9" w14:textId="307B2EEF" w:rsidR="006A72AF" w:rsidRPr="00C83B79" w:rsidRDefault="006A72AF" w:rsidP="006841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Beginning with the impossibility of growth objection, it would not be difficult to read a definition of virtue as a range quality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into the passages from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referenced earlier. For example, characteristics belonging to Group A such as having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accepted Jesus’s “offer of salvation,” being “set free from sin,” and possessing a “joy that is constantly born anew” could be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interpreted as absolute states not subject to gradation.</w:t>
      </w:r>
      <w:r w:rsidRPr="00C83B79">
        <w:rPr>
          <w:rFonts w:cstheme="minorHAnsi"/>
          <w:color w:val="000000" w:themeColor="text1"/>
          <w:sz w:val="22"/>
          <w:vertAlign w:val="superscript"/>
        </w:rPr>
        <w:t>492</w:t>
      </w:r>
      <w:r w:rsidRPr="00C83B79">
        <w:rPr>
          <w:rFonts w:cstheme="minorHAnsi"/>
          <w:color w:val="000000" w:themeColor="text1"/>
          <w:sz w:val="22"/>
        </w:rPr>
        <w:t xml:space="preserve"> One has either accepted Jesus’s offer of salvation, or one has not. One has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either been set free from sin, or one has not. One either is constantly born anew, or one is not.</w:t>
      </w:r>
    </w:p>
    <w:p w14:paraId="075852FD" w14:textId="31A46C5C" w:rsidR="006A72AF" w:rsidRPr="00C83B79" w:rsidRDefault="006A72AF" w:rsidP="006841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In keeping with Porter’s just mentioned critique, one may also observe that the characteristics possessed by those in Group B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seem to be mutually exclusive from the characteristics possessed by those in Group A such that one could not possess both at the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same time. It is difficult, for example, to imagine an individual who is endowed with the capacity to transmit the “beauty of the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saving love of God made manifest in Jesus Christ who died and rose from the dead,” while simultaneously remaining “obsessed with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disjointed transmission of a multitude of doctrines to be insistently imposed.”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493</w:t>
      </w:r>
      <w:r w:rsidRPr="00C83B79">
        <w:rPr>
          <w:rFonts w:cstheme="minorHAnsi"/>
          <w:color w:val="000000" w:themeColor="text1"/>
          <w:sz w:val="22"/>
        </w:rPr>
        <w:t xml:space="preserve"> It is, again, hard to imagine one and the same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person evangelizing in a manner informed by love and selflessness while remaining “dejected, discouraged, impatient or anxious.”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494</w:t>
      </w:r>
      <w:r w:rsidRPr="00C83B79">
        <w:rPr>
          <w:rFonts w:cstheme="minorHAnsi"/>
          <w:color w:val="000000" w:themeColor="text1"/>
          <w:sz w:val="22"/>
        </w:rPr>
        <w:t xml:space="preserve"> More concretely, perhaps, one either possesses a “deep and sincere faith” in Jesus, placing her or him in Group A, or “does not</w:t>
      </w:r>
      <w:r w:rsidR="006841C8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know Jesus, or rejects Jesus,” placing her or him in Group B.</w:t>
      </w:r>
      <w:r w:rsidRPr="00C83B79">
        <w:rPr>
          <w:rFonts w:cstheme="minorHAnsi"/>
          <w:color w:val="000000" w:themeColor="text1"/>
          <w:sz w:val="22"/>
          <w:vertAlign w:val="superscript"/>
        </w:rPr>
        <w:t>495</w:t>
      </w:r>
    </w:p>
    <w:p w14:paraId="31EDD21A" w14:textId="40ADC186" w:rsidR="006A72AF" w:rsidRPr="00C83B79" w:rsidRDefault="006A72AF" w:rsidP="005435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This brings us to the impossibility of transition objection as applied to Francis’s presentation of authentic evangelization. This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objection is particularly salient here as evangelization by its very nature is directed to the other. Thus, if an implacable divide exists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between Group A and Group B, then all attempts at evangelization would turn out to be nothing other than self-referential,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tendentious, and vain endeavors.</w:t>
      </w:r>
    </w:p>
    <w:p w14:paraId="07EB2DC3" w14:textId="5FB1FECF" w:rsidR="006A72AF" w:rsidRPr="00C83B79" w:rsidRDefault="006A72AF" w:rsidP="005435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As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observes, if there is no “point of moral contact” between those in Group A and those in Group B, then no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improvement can take place. Further, to apply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argument to the issue here under review, if Group A is utterly perfect in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 and suffer from no serious sin, while Group B is “devoid of virtue” and mired in sin, then there would, it seems, be no such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point of contact. The question, then, is whether the infused virtues can bridge the chasm between Group A and Group B in a manner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that the acquired virtues cannot.</w:t>
      </w:r>
    </w:p>
    <w:p w14:paraId="1ECFC08F" w14:textId="6C411ABD" w:rsidR="006A72AF" w:rsidRPr="00C83B79" w:rsidRDefault="006A72AF" w:rsidP="008F5A5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John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has argued that rooting the unity thesis in Christian faith and charity leads to a version of the unity thesis that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causes more problems than it solves as it “produces a double standard in the evaluation of Christian and non-Christian persons.”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rightly recognizes that Augustine’s version of the unity thesis </w:t>
      </w:r>
      <w:proofErr w:type="gramStart"/>
      <w:r w:rsidRPr="00C83B79">
        <w:rPr>
          <w:rFonts w:cstheme="minorHAnsi"/>
          <w:color w:val="000000" w:themeColor="text1"/>
          <w:sz w:val="22"/>
        </w:rPr>
        <w:t>is able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account for the “possibility that virtue and sin can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coexist in the individual agent” while at the same time “giving a gradualist account of the development of the life of true virtue.”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However,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criticizes Augustine’s thesis for denying non-Christians not only “the moral virtues which classical antiquity</w:t>
      </w:r>
      <w:r w:rsidR="005435A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regarded as the height of human achievement,” but also “the theocentric virtues of faith and charity.”</w:t>
      </w:r>
      <w:r w:rsidRPr="00C83B79">
        <w:rPr>
          <w:rFonts w:cstheme="minorHAnsi"/>
          <w:color w:val="000000" w:themeColor="text1"/>
          <w:sz w:val="22"/>
          <w:vertAlign w:val="superscript"/>
        </w:rPr>
        <w:t>496</w:t>
      </w:r>
      <w:r w:rsidRPr="00C83B79">
        <w:rPr>
          <w:rFonts w:cstheme="minorHAnsi"/>
          <w:color w:val="000000" w:themeColor="text1"/>
          <w:sz w:val="22"/>
        </w:rPr>
        <w:t xml:space="preserve"> This “double standard”</w:t>
      </w:r>
      <w:r w:rsidR="008F5A5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arising from Christian versions of the unity thesis, then, is particularly relevant in light of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critique insofar as it would</w:t>
      </w:r>
      <w:r w:rsidR="008F5A5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amount not just to unfairness but the impossibility of moral communication and growth. When considered in reference to</w:t>
      </w:r>
      <w:r w:rsidR="008F5A5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evangelization, then, these observations become quite troubling. If this view is correct, then, as I said before, evangelization would</w:t>
      </w:r>
      <w:r w:rsidR="008F5A55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be at best a fool’s errand and at worst delusional vanity.</w:t>
      </w:r>
    </w:p>
    <w:p w14:paraId="231AE0AE" w14:textId="77777777" w:rsidR="006A72AF" w:rsidRPr="00C83B79" w:rsidRDefault="006A72AF" w:rsidP="00856C1E">
      <w:pPr>
        <w:pStyle w:val="Heading1"/>
        <w:rPr>
          <w:color w:val="000000" w:themeColor="text1"/>
        </w:rPr>
      </w:pPr>
      <w:r w:rsidRPr="00C83B79">
        <w:rPr>
          <w:color w:val="000000" w:themeColor="text1"/>
        </w:rPr>
        <w:lastRenderedPageBreak/>
        <w:t>III. Scalar Virtue</w:t>
      </w:r>
    </w:p>
    <w:p w14:paraId="1B6D1A59" w14:textId="62D70026" w:rsidR="006A72AF" w:rsidRPr="00C83B79" w:rsidRDefault="006A72AF" w:rsidP="00BD6D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The purpose of this final section is to assess the objections to the unity thesis heretofore considered both in and of themselves and as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applied to Francis’s understanding of authentic evangelization. In order to do so we first need to make clear that the unity thesis does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not axiomatically imply that virtue is a range quality and examine the implications of this. Having accomplished this task, we may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then advance to a more accurate evaluation of Francis’s understanding of authentic evangelization. In this way, I maintain that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Francis’s view overcomes the objections of the previous section while also casting new light upon the radical distinctiveness of the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Thomistic unity thesis considered within a theological framework.</w:t>
      </w:r>
    </w:p>
    <w:p w14:paraId="67F02224" w14:textId="0CCADA52" w:rsidR="006A72AF" w:rsidRPr="00C83B79" w:rsidRDefault="006A72AF" w:rsidP="00BD6D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Christian accounts of the unity of the virtues generally follow the Augustinian move of defining virtue as a scalar quality. Were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it not for Protagoras and Aristotle, one might even trace the historical emergence of this definition back to Augustine’s critique of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Stoics:</w:t>
      </w:r>
    </w:p>
    <w:p w14:paraId="0E6A5E1B" w14:textId="77777777" w:rsidR="008F5A55" w:rsidRPr="00C83B79" w:rsidRDefault="008F5A55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0093CA26" w14:textId="0E096899" w:rsidR="006A72AF" w:rsidRPr="00C83B79" w:rsidRDefault="006A72AF" w:rsidP="00BD6DD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It seems to me that the Stoics are wrong in refusing to admit that the man who is increasing in wisdom has any wisdom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at all, and insisting that he has it only when he is absolutely perfect in it; not that they refuse to admit the increase, but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for them he is not wise in any degree unless he suddenly springs forth into the free air of wisdom after coming up and,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as it were, emerging from the depths of the sea.</w:t>
      </w:r>
      <w:r w:rsidRPr="00C83B79">
        <w:rPr>
          <w:rFonts w:cstheme="minorHAnsi"/>
          <w:color w:val="000000" w:themeColor="text1"/>
          <w:sz w:val="22"/>
          <w:vertAlign w:val="superscript"/>
        </w:rPr>
        <w:t>497</w:t>
      </w:r>
    </w:p>
    <w:p w14:paraId="4F4ADF0B" w14:textId="77777777" w:rsidR="00BD6DD1" w:rsidRPr="00C83B79" w:rsidRDefault="00BD6DD1" w:rsidP="00EA718B">
      <w:pPr>
        <w:spacing w:after="0"/>
        <w:rPr>
          <w:rFonts w:cstheme="minorHAnsi"/>
          <w:color w:val="000000" w:themeColor="text1"/>
          <w:sz w:val="22"/>
        </w:rPr>
      </w:pPr>
    </w:p>
    <w:p w14:paraId="40BEB7FF" w14:textId="19FE63E4" w:rsidR="006A72AF" w:rsidRPr="00C83B79" w:rsidRDefault="006A72AF" w:rsidP="00F90E06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97</w:t>
      </w:r>
    </w:p>
    <w:p w14:paraId="2B326238" w14:textId="25176BB3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Repudiating the Stoic definition of virtue as a range quality, Augustine likens the attainment of virtue to emerging from a dark cave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and gradually adjusting to the light </w:t>
      </w:r>
      <w:r w:rsidR="004A6A0F" w:rsidRPr="00C83B79">
        <w:rPr>
          <w:rFonts w:cstheme="minorHAnsi"/>
          <w:color w:val="000000" w:themeColor="text1"/>
          <w:sz w:val="22"/>
          <w:vertAlign w:val="superscript"/>
        </w:rPr>
        <w:t>498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Defining virtue as a scalar quality, then, Augustine argues that virtue is </w:t>
      </w:r>
      <w:proofErr w:type="gramStart"/>
      <w:r w:rsidRPr="00C83B79">
        <w:rPr>
          <w:rFonts w:cstheme="minorHAnsi"/>
          <w:color w:val="000000" w:themeColor="text1"/>
          <w:sz w:val="22"/>
        </w:rPr>
        <w:t>achieved  by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degrees (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progrediendo</w:t>
      </w:r>
      <w:proofErr w:type="spellEnd"/>
      <w:r w:rsidRPr="00C83B79">
        <w:rPr>
          <w:rFonts w:cstheme="minorHAnsi"/>
          <w:color w:val="000000" w:themeColor="text1"/>
          <w:sz w:val="22"/>
        </w:rPr>
        <w:t>). Additionally, as mentioned earlier, Augustine transposes the unity thesis into a distinctively Christian framework as</w:t>
      </w:r>
      <w:r w:rsidR="00BD6DD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may be observed from the following:</w:t>
      </w:r>
    </w:p>
    <w:p w14:paraId="020462E8" w14:textId="77777777" w:rsidR="00BD6DD1" w:rsidRPr="00C83B79" w:rsidRDefault="00BD6DD1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545F1764" w14:textId="5B0484EE" w:rsidR="006A72AF" w:rsidRPr="00C83B79" w:rsidRDefault="006A72AF" w:rsidP="004A6A0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To sum up briefly the general view I have about virtue so far as relates to right living: Virtue is the charity by which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what ought to be loved is loved. This charity exists more in some, less in others, and in some not at all; but the greatest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charity, which admits no increase, exists in no human living on earth. So long as it admits of increase, what makes it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less than it ought </w:t>
      </w:r>
      <w:proofErr w:type="gramStart"/>
      <w:r w:rsidRPr="00C83B79">
        <w:rPr>
          <w:rFonts w:cstheme="minorHAnsi"/>
          <w:color w:val="000000" w:themeColor="text1"/>
          <w:sz w:val="22"/>
        </w:rPr>
        <w:t>is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due surely to vice.</w:t>
      </w:r>
      <w:r w:rsidRPr="00C83B79">
        <w:rPr>
          <w:rFonts w:cstheme="minorHAnsi"/>
          <w:color w:val="000000" w:themeColor="text1"/>
          <w:sz w:val="22"/>
          <w:vertAlign w:val="superscript"/>
        </w:rPr>
        <w:t>499</w:t>
      </w:r>
    </w:p>
    <w:p w14:paraId="76AC3359" w14:textId="77777777" w:rsidR="00BD6DD1" w:rsidRPr="00C83B79" w:rsidRDefault="00BD6DD1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527146CF" w14:textId="0A7A556B" w:rsidR="006A72AF" w:rsidRPr="00C83B79" w:rsidRDefault="006A72AF" w:rsidP="00F90E06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Aquinas follows not only Augustine but also Aristotle in defining virtue as a scalar quality noting that, for the philosopher, “virtue is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tendency of something complete towards what is best. However, someone can be more disposed or less disposed towards what is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best; accordingly, he has virtue to a greater or lesser degree.”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500</w:t>
      </w:r>
      <w:r w:rsidRPr="00C83B79">
        <w:rPr>
          <w:rFonts w:cstheme="minorHAnsi"/>
          <w:color w:val="000000" w:themeColor="text1"/>
          <w:sz w:val="22"/>
        </w:rPr>
        <w:t xml:space="preserve"> Aquinas borrows the Augustinian move of differentiating his scalar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quality definition from the range quality definition of the Stoics who erred when they said “that no one possesses a virtue without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possessing it supremely.” According to Aquinas, the Stoic position “does not seem to follow from the character of a virtue, because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there is such a variety of ways in which people share in a virtue.”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501</w:t>
      </w:r>
    </w:p>
    <w:p w14:paraId="368325AC" w14:textId="7356EB73" w:rsidR="006A72AF" w:rsidRPr="00C83B79" w:rsidRDefault="006A72AF" w:rsidP="00F538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proofErr w:type="gramStart"/>
      <w:r w:rsidRPr="00C83B79">
        <w:rPr>
          <w:rFonts w:cstheme="minorHAnsi"/>
          <w:color w:val="000000" w:themeColor="text1"/>
          <w:sz w:val="22"/>
        </w:rPr>
        <w:t>Obviously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Aristotle, Augustine, and Aquinas did not recognize an intrinsic conflict between the unity thesis and virtue defined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as a scalar quality. Indeed, as demonstrated earlier, the Stoic view was a critique of the Aristotelian view while the Augustinian and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Thomistic views are, in several ways, a critique of the Stoic view. It makes sense, then, that there would be noteworthy</w:t>
      </w:r>
      <w:r w:rsidR="004A6A0F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differentiation here. However, the question </w:t>
      </w:r>
      <w:proofErr w:type="gramStart"/>
      <w:r w:rsidRPr="00C83B79">
        <w:rPr>
          <w:rFonts w:cstheme="minorHAnsi"/>
          <w:color w:val="000000" w:themeColor="text1"/>
          <w:sz w:val="22"/>
        </w:rPr>
        <w:t>still remains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of how the unity thesis operates when joined to an understanding of virtue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as a scalar quality. Daniel McInerny examines this issue in the following passage:</w:t>
      </w:r>
    </w:p>
    <w:p w14:paraId="34F34951" w14:textId="77777777" w:rsidR="00BD6DD1" w:rsidRPr="00C83B79" w:rsidRDefault="00BD6DD1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41912EEF" w14:textId="5BE052E4" w:rsidR="006A72AF" w:rsidRPr="00C83B79" w:rsidRDefault="006A72AF" w:rsidP="00BD6DD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lastRenderedPageBreak/>
        <w:t>While admitting that no one said the virtuous life was going to be easy, we should add that no one ever said (except the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Stoics) that the virtuous life had to be capped off in order to be fully virtuous. There are, in other words, degrees of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perfection and of unity in attainment of the virtues, and it is reasonable to suppose that we can achieve a certain level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of perfection and unity in the life of virtue without having yet achieved </w:t>
      </w:r>
      <w:proofErr w:type="gramStart"/>
      <w:r w:rsidRPr="00C83B79">
        <w:rPr>
          <w:rFonts w:cstheme="minorHAnsi"/>
          <w:color w:val="000000" w:themeColor="text1"/>
          <w:sz w:val="22"/>
        </w:rPr>
        <w:t>absolutely perfect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unity of the virtues.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Accordingly, the virtuous life might most realistically be described as the life devoted to achieving perfect unity of the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virtues, with the recognition built-in that we are always on the way towards that perfect unity.</w:t>
      </w:r>
      <w:r w:rsidRPr="00C83B79">
        <w:rPr>
          <w:rFonts w:cstheme="minorHAnsi"/>
          <w:color w:val="000000" w:themeColor="text1"/>
          <w:sz w:val="22"/>
          <w:vertAlign w:val="superscript"/>
        </w:rPr>
        <w:t>502</w:t>
      </w:r>
    </w:p>
    <w:p w14:paraId="4C2A0456" w14:textId="77777777" w:rsidR="00BD6DD1" w:rsidRPr="00C83B79" w:rsidRDefault="00BD6DD1" w:rsidP="00BD6DD1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22692D3C" w14:textId="7FC6F9FE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This view harmonizes with Francis’s reference to the Thomistic notion of mercy as “the greatest of the virtues, since all the others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revolve around it and, more than this, it makes up for their deficiencies.”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503</w:t>
      </w:r>
      <w:r w:rsidRPr="00C83B79">
        <w:rPr>
          <w:rFonts w:cstheme="minorHAnsi"/>
          <w:color w:val="000000" w:themeColor="text1"/>
          <w:sz w:val="22"/>
        </w:rPr>
        <w:t xml:space="preserve"> It wouldn’t make much sense for Aquinas to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simultaneously assert that virtue does not admit of deficiency and also that mercy “makes up” for the deficiencies of certain virtues.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That mercy </w:t>
      </w:r>
      <w:proofErr w:type="gramStart"/>
      <w:r w:rsidRPr="00C83B79">
        <w:rPr>
          <w:rFonts w:cstheme="minorHAnsi"/>
          <w:color w:val="000000" w:themeColor="text1"/>
          <w:sz w:val="22"/>
        </w:rPr>
        <w:t>is able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do this would indeed be an untenable position if virtue is a range quality but is congruous with virtue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understood as a scalar quality.</w:t>
      </w:r>
    </w:p>
    <w:p w14:paraId="436DF1A1" w14:textId="5CA8B5D4" w:rsidR="006A72AF" w:rsidRPr="00C83B79" w:rsidRDefault="006A72AF" w:rsidP="005D38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While defining virtue as a scalar quality attends to the impossibility of growth objection, it does not, in and of itself, respond to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impossibility of transition objection. Even were one to recognize the possibility of “true but imperfect virtue” there still remains</w:t>
      </w:r>
      <w:r w:rsidR="00F53889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possibility that the individual who is virtuous to degree X might be so far removed from the person who is virtuous to degree Y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that there does not exist a “point of moral contact” between the two.</w:t>
      </w:r>
      <w:r w:rsidRPr="00C83B79">
        <w:rPr>
          <w:rFonts w:cstheme="minorHAnsi"/>
          <w:color w:val="000000" w:themeColor="text1"/>
          <w:sz w:val="22"/>
          <w:vertAlign w:val="superscript"/>
        </w:rPr>
        <w:t>504</w:t>
      </w:r>
      <w:r w:rsidRPr="00C83B79">
        <w:rPr>
          <w:rFonts w:cstheme="minorHAnsi"/>
          <w:color w:val="000000" w:themeColor="text1"/>
          <w:sz w:val="22"/>
        </w:rPr>
        <w:t xml:space="preserve"> Brought back into the realm of authentic evangelization as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put forward by Francis, then, there would still be the problem of evangelization achieving its end. Envisioning virtue and the moral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life in a scalar context </w:t>
      </w:r>
      <w:proofErr w:type="gramStart"/>
      <w:r w:rsidRPr="00C83B79">
        <w:rPr>
          <w:rFonts w:cstheme="minorHAnsi"/>
          <w:color w:val="000000" w:themeColor="text1"/>
          <w:sz w:val="22"/>
        </w:rPr>
        <w:t>enables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Francis to characterize Group A’s interactions with Group B not as demanding “surprisingly sudden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and implausibly difficult” transitions but rather as accompanying others “with mercy and patience” as one transitions between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multiform gradations “of personal growth as these progressively occur.”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505</w:t>
      </w:r>
      <w:r w:rsidRPr="00C83B79">
        <w:rPr>
          <w:rFonts w:cstheme="minorHAnsi"/>
          <w:color w:val="000000" w:themeColor="text1"/>
          <w:sz w:val="22"/>
        </w:rPr>
        <w:t xml:space="preserve"> This “accompaniment” language is of fundamental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importance, because “in every activity of evangelization, the primacy always belongs to God, who has called us to cooperate with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him and who leads us on by the power of his Spirit.”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506</w:t>
      </w:r>
      <w:r w:rsidRPr="00C83B79">
        <w:rPr>
          <w:rFonts w:cstheme="minorHAnsi"/>
          <w:color w:val="000000" w:themeColor="text1"/>
          <w:sz w:val="22"/>
        </w:rPr>
        <w:t xml:space="preserve"> It is God alone who “gives the growth.”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507</w:t>
      </w:r>
    </w:p>
    <w:p w14:paraId="30E8BC2F" w14:textId="0BC76815" w:rsidR="006A72AF" w:rsidRPr="00C83B79" w:rsidRDefault="006A72AF" w:rsidP="005D38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In addition to being responsive to the objections heretofore considered, then, Francis’s utilization of the unity thesis as a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criterion for virtue also sheds new light upon the radical distinctiveness of the Thomistic unity thesis considered within a theological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framework. By making God’s mercy communicated to us through Christ, the impetus of the moral life, Francis reminds us that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theological versions of the unity thesis must be sufficiently theological. More precisely put, the Augustinian and Thomistic versions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of the unity thesis are not merely the Platonic and Aristotelian theses wearing theological hats. Rather, the respective theses of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Augustine and Aquinas differ from those of Plato and Aristotle not only in degree but in kind. The latter root virtue in human effort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alone, while the former root virtue in a response to the God who “has loved us first.”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508</w:t>
      </w:r>
    </w:p>
    <w:p w14:paraId="6B8826A5" w14:textId="77777777" w:rsidR="006A72AF" w:rsidRPr="00C83B79" w:rsidRDefault="006A72AF" w:rsidP="00BD6DD1">
      <w:pPr>
        <w:ind w:firstLine="720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Notwithstanding, there remain several issues interrelated to but importantly distinct from the arguments of this chapter that</w:t>
      </w:r>
    </w:p>
    <w:p w14:paraId="613F8465" w14:textId="77777777" w:rsidR="006A72AF" w:rsidRPr="00C83B79" w:rsidRDefault="006A72AF" w:rsidP="00F90E06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98</w:t>
      </w:r>
    </w:p>
    <w:p w14:paraId="7CECABDB" w14:textId="4CAE9BEB" w:rsidR="006A72AF" w:rsidRPr="00C83B79" w:rsidRDefault="006A72AF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require serious reflection. One main issue, in my view, may be gleaned from </w:t>
      </w:r>
      <w:proofErr w:type="spellStart"/>
      <w:r w:rsidRPr="00C83B79">
        <w:rPr>
          <w:rFonts w:cstheme="minorHAnsi"/>
          <w:color w:val="000000" w:themeColor="text1"/>
          <w:sz w:val="22"/>
        </w:rPr>
        <w:t>Langan’s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contention that the very notion of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distinctively Christian virtue creates “a double standard” which is problematic for any moral system, but particularly problematic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proofErr w:type="gramStart"/>
      <w:r w:rsidRPr="00C83B79">
        <w:rPr>
          <w:rFonts w:cstheme="minorHAnsi"/>
          <w:color w:val="000000" w:themeColor="text1"/>
          <w:sz w:val="22"/>
        </w:rPr>
        <w:t>with regard to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moral systems, “whether philosophical or theological,” that wish “to be universal.”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views this as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exceptionally troublesome for “Christians who live in a world that is characterized by both religious pluralism and secular unbelief.”</w:t>
      </w:r>
      <w:r w:rsidR="000369A1" w:rsidRPr="00C83B79">
        <w:rPr>
          <w:rFonts w:cstheme="minorHAnsi"/>
          <w:color w:val="000000" w:themeColor="text1"/>
          <w:sz w:val="22"/>
          <w:vertAlign w:val="superscript"/>
        </w:rPr>
        <w:t>509</w:t>
      </w:r>
      <w:r w:rsidR="000369A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On one level, Francis seems resigned to a sectarian view of Christianity as he admits that Christians “will never </w:t>
      </w:r>
      <w:r w:rsidRPr="00C83B79">
        <w:rPr>
          <w:rFonts w:cstheme="minorHAnsi"/>
          <w:color w:val="000000" w:themeColor="text1"/>
          <w:sz w:val="22"/>
        </w:rPr>
        <w:lastRenderedPageBreak/>
        <w:t>be able to make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Church’s teachings easily understood or readily appreciated by everyone. Faith always remains something of a cross; it retains a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certain obscurity which does not detract from the firmness of its assent.” Moreover, Francis does not seem to think that reason can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play a decisive role in addressing the just mentioned problem since “some things are understood and appreciated only from the</w:t>
      </w:r>
      <w:r w:rsidR="005D38F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standpoint of this assent, which is a sister to love, beyond the range of clear reasons and arguments.”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510</w:t>
      </w:r>
      <w:r w:rsidRPr="00C83B79">
        <w:rPr>
          <w:rFonts w:cstheme="minorHAnsi"/>
          <w:color w:val="000000" w:themeColor="text1"/>
          <w:sz w:val="22"/>
        </w:rPr>
        <w:t xml:space="preserve"> In view of this problem,</w:t>
      </w:r>
      <w:r w:rsidR="000369A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Francis urges us to “remember that all religious teaching ultimately has to be reflected in the teacher’s way of life, which awakens</w:t>
      </w:r>
      <w:r w:rsidR="00DC20B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the assent of the heart by its nearness, love and witness.”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511</w:t>
      </w:r>
      <w:r w:rsidRPr="00C83B79">
        <w:rPr>
          <w:rFonts w:cstheme="minorHAnsi"/>
          <w:color w:val="000000" w:themeColor="text1"/>
          <w:sz w:val="22"/>
        </w:rPr>
        <w:t xml:space="preserve"> Such a way of life, in Francis’s view, would subsist in a soul possessing</w:t>
      </w:r>
      <w:r w:rsidR="00DC20BC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all of the virtues and, by the power of the Spirit, be communicated to others in a “missionary key.”</w:t>
      </w:r>
      <w:r w:rsidRPr="00C83B79">
        <w:rPr>
          <w:rFonts w:cstheme="minorHAnsi"/>
          <w:color w:val="000000" w:themeColor="text1"/>
          <w:sz w:val="22"/>
          <w:vertAlign w:val="superscript"/>
        </w:rPr>
        <w:t>512</w:t>
      </w:r>
    </w:p>
    <w:p w14:paraId="61A0659A" w14:textId="77777777" w:rsidR="00DC20BC" w:rsidRPr="00C83B79" w:rsidRDefault="00DC20BC" w:rsidP="006A72A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 w:val="22"/>
        </w:rPr>
      </w:pPr>
    </w:p>
    <w:p w14:paraId="1E89E407" w14:textId="77777777" w:rsidR="006A72AF" w:rsidRPr="00C83B79" w:rsidRDefault="006A72AF" w:rsidP="00DC20BC">
      <w:pPr>
        <w:pStyle w:val="Heading1"/>
        <w:rPr>
          <w:color w:val="000000" w:themeColor="text1"/>
        </w:rPr>
      </w:pPr>
      <w:r w:rsidRPr="00C83B79">
        <w:rPr>
          <w:color w:val="000000" w:themeColor="text1"/>
        </w:rPr>
        <w:t>Bibliography</w:t>
      </w:r>
    </w:p>
    <w:p w14:paraId="2AFD9093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Adams, Robert </w:t>
      </w:r>
      <w:proofErr w:type="spellStart"/>
      <w:r w:rsidRPr="00C83B79">
        <w:rPr>
          <w:rFonts w:cstheme="minorHAnsi"/>
          <w:color w:val="000000" w:themeColor="text1"/>
          <w:sz w:val="22"/>
        </w:rPr>
        <w:t>Merrihew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. </w:t>
      </w:r>
      <w:r w:rsidRPr="00C83B79">
        <w:rPr>
          <w:rFonts w:cstheme="minorHAnsi"/>
          <w:i/>
          <w:iCs/>
          <w:color w:val="000000" w:themeColor="text1"/>
          <w:sz w:val="22"/>
        </w:rPr>
        <w:t>A Theory of Virtue</w:t>
      </w:r>
      <w:r w:rsidRPr="00C83B79">
        <w:rPr>
          <w:rFonts w:cstheme="minorHAnsi"/>
          <w:color w:val="000000" w:themeColor="text1"/>
          <w:sz w:val="22"/>
        </w:rPr>
        <w:t>. Oxford: Clarendon, 2006.</w:t>
      </w:r>
    </w:p>
    <w:p w14:paraId="5CA01B70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Aquinas, Thomas. </w:t>
      </w:r>
      <w:r w:rsidRPr="00C83B79">
        <w:rPr>
          <w:rFonts w:cstheme="minorHAnsi"/>
          <w:i/>
          <w:iCs/>
          <w:color w:val="000000" w:themeColor="text1"/>
          <w:sz w:val="22"/>
        </w:rPr>
        <w:t>Summa Theologica</w:t>
      </w:r>
      <w:r w:rsidRPr="00C83B79">
        <w:rPr>
          <w:rFonts w:cstheme="minorHAnsi"/>
          <w:color w:val="000000" w:themeColor="text1"/>
          <w:sz w:val="22"/>
        </w:rPr>
        <w:t xml:space="preserve">. Translated by the English Dominicans. 3 volumes. New York: </w:t>
      </w:r>
      <w:proofErr w:type="spellStart"/>
      <w:r w:rsidRPr="00C83B79">
        <w:rPr>
          <w:rFonts w:cstheme="minorHAnsi"/>
          <w:color w:val="000000" w:themeColor="text1"/>
          <w:sz w:val="22"/>
        </w:rPr>
        <w:t>Benziger</w:t>
      </w:r>
      <w:proofErr w:type="spellEnd"/>
      <w:r w:rsidRPr="00C83B79">
        <w:rPr>
          <w:rFonts w:cstheme="minorHAnsi"/>
          <w:color w:val="000000" w:themeColor="text1"/>
          <w:sz w:val="22"/>
        </w:rPr>
        <w:t>, 1912–36.</w:t>
      </w:r>
    </w:p>
    <w:p w14:paraId="6D2D9E5E" w14:textId="58765B76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———.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Questions on Virtue: Quaestio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disputata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virtutibus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communi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, Quaestio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disputata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virtutibus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cardinalibus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fraterni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correctionis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>.</w:t>
      </w:r>
      <w:r w:rsidR="00DC20BC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Edited by E. M. Atkins and Thomas Williams. Translated by E. M. Atkins. Cambridge: Cambridge University Press, 2005.</w:t>
      </w:r>
    </w:p>
    <w:p w14:paraId="0A2176CF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Doris, John M.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Lack of Character. </w:t>
      </w:r>
      <w:r w:rsidRPr="00C83B79">
        <w:rPr>
          <w:rFonts w:cstheme="minorHAnsi"/>
          <w:color w:val="000000" w:themeColor="text1"/>
          <w:sz w:val="22"/>
        </w:rPr>
        <w:t>Cambridge: Cambridge University Press, 2002.</w:t>
      </w:r>
    </w:p>
    <w:p w14:paraId="2BBBE580" w14:textId="2360CC4E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Fowl, Stephen. “Could Horace Talk with the Hebrews? Translatability and Moral Disagreement in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and Stout” </w:t>
      </w:r>
      <w:r w:rsidRPr="00C83B79">
        <w:rPr>
          <w:rFonts w:cstheme="minorHAnsi"/>
          <w:i/>
          <w:iCs/>
          <w:color w:val="000000" w:themeColor="text1"/>
          <w:sz w:val="22"/>
        </w:rPr>
        <w:t>The Journal of Religious</w:t>
      </w:r>
      <w:r w:rsidR="00001EF7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Ethics </w:t>
      </w:r>
      <w:r w:rsidRPr="00C83B79">
        <w:rPr>
          <w:rFonts w:cstheme="minorHAnsi"/>
          <w:color w:val="000000" w:themeColor="text1"/>
          <w:sz w:val="22"/>
        </w:rPr>
        <w:t>19, no. 1 (1991) 1–20.</w:t>
      </w:r>
    </w:p>
    <w:p w14:paraId="1FC11913" w14:textId="59368BB2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Fitzgerald, John J. “No Woe to You Lawyers: A Virtue-Based Approach to Happiness Within the Legal Profession.”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Journal of Moral Theology </w:t>
      </w:r>
      <w:r w:rsidRPr="00C83B79">
        <w:rPr>
          <w:rFonts w:cstheme="minorHAnsi"/>
          <w:color w:val="000000" w:themeColor="text1"/>
          <w:sz w:val="22"/>
        </w:rPr>
        <w:t>4, no. 2</w:t>
      </w:r>
      <w:r w:rsidR="00001EF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(2015) 89–120.</w:t>
      </w:r>
    </w:p>
    <w:p w14:paraId="654A0482" w14:textId="4AE29702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Francis.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color w:val="000000" w:themeColor="text1"/>
          <w:sz w:val="22"/>
        </w:rPr>
        <w:t>: Apostolic Exhortation of the Holy Father Francis to the Bishops, Clergy, Consecrated Persons, and the Lay Faithful on the</w:t>
      </w:r>
      <w:r w:rsidR="00001EF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Proclamation of the Gospel in Today’s Word. Vatican City: </w:t>
      </w:r>
      <w:proofErr w:type="spellStart"/>
      <w:r w:rsidRPr="00C83B79">
        <w:rPr>
          <w:rFonts w:cstheme="minorHAnsi"/>
          <w:color w:val="000000" w:themeColor="text1"/>
          <w:sz w:val="22"/>
        </w:rPr>
        <w:t>Libreria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Editrice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Vaticana</w:t>
      </w:r>
      <w:proofErr w:type="spellEnd"/>
      <w:r w:rsidRPr="00C83B79">
        <w:rPr>
          <w:rFonts w:cstheme="minorHAnsi"/>
          <w:color w:val="000000" w:themeColor="text1"/>
          <w:sz w:val="22"/>
        </w:rPr>
        <w:t>, 2013.</w:t>
      </w:r>
    </w:p>
    <w:p w14:paraId="639BEAA2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i/>
          <w:iCs/>
          <w:color w:val="000000" w:themeColor="text1"/>
          <w:sz w:val="22"/>
        </w:rPr>
        <w:t xml:space="preserve">Gaudium et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spes</w:t>
      </w:r>
      <w:proofErr w:type="spellEnd"/>
      <w:r w:rsidRPr="00C83B79">
        <w:rPr>
          <w:rFonts w:cstheme="minorHAnsi"/>
          <w:color w:val="000000" w:themeColor="text1"/>
          <w:sz w:val="22"/>
        </w:rPr>
        <w:t>, Pastoral Constitution on the Church in the Modern World. Translated by Austin Flannery. Dublin, Ireland: Dominican, 1996.</w:t>
      </w:r>
    </w:p>
    <w:p w14:paraId="6F8528E8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Hare, R. M.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The Language of Morals. </w:t>
      </w:r>
      <w:r w:rsidRPr="00C83B79">
        <w:rPr>
          <w:rFonts w:cstheme="minorHAnsi"/>
          <w:color w:val="000000" w:themeColor="text1"/>
          <w:sz w:val="22"/>
        </w:rPr>
        <w:t>Oxford: Oxford University Press, 1952.</w:t>
      </w:r>
    </w:p>
    <w:p w14:paraId="47DCCBD9" w14:textId="69582ACE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Hauerwas, Stanley. “The Church as God’s New Language.” In </w:t>
      </w:r>
      <w:proofErr w:type="gramStart"/>
      <w:r w:rsidRPr="00C83B79">
        <w:rPr>
          <w:rFonts w:cstheme="minorHAnsi"/>
          <w:i/>
          <w:iCs/>
          <w:color w:val="000000" w:themeColor="text1"/>
          <w:sz w:val="22"/>
        </w:rPr>
        <w:t>The</w:t>
      </w:r>
      <w:proofErr w:type="gramEnd"/>
      <w:r w:rsidRPr="00C83B79">
        <w:rPr>
          <w:rFonts w:cstheme="minorHAnsi"/>
          <w:i/>
          <w:iCs/>
          <w:color w:val="000000" w:themeColor="text1"/>
          <w:sz w:val="22"/>
        </w:rPr>
        <w:t xml:space="preserve"> Hauerwas Reader</w:t>
      </w:r>
      <w:r w:rsidRPr="00C83B79">
        <w:rPr>
          <w:rFonts w:cstheme="minorHAnsi"/>
          <w:color w:val="000000" w:themeColor="text1"/>
          <w:sz w:val="22"/>
        </w:rPr>
        <w:t>, edited by John Berkman and Michael Cartwright, 142–65.</w:t>
      </w:r>
      <w:r w:rsidR="00001EF7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Durham, NC: Duke University Press, 2001.</w:t>
      </w:r>
    </w:p>
    <w:p w14:paraId="7C8511C1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Houser, R. E. </w:t>
      </w:r>
      <w:r w:rsidRPr="00C83B79">
        <w:rPr>
          <w:rFonts w:cstheme="minorHAnsi"/>
          <w:i/>
          <w:iCs/>
          <w:color w:val="000000" w:themeColor="text1"/>
          <w:sz w:val="22"/>
        </w:rPr>
        <w:t>The Cardinal Virtues: Aquinas, Albert, and Philip the Chancellor</w:t>
      </w:r>
      <w:r w:rsidRPr="00C83B79">
        <w:rPr>
          <w:rFonts w:cstheme="minorHAnsi"/>
          <w:color w:val="000000" w:themeColor="text1"/>
          <w:sz w:val="22"/>
        </w:rPr>
        <w:t>. Toronto: Pontifical Institute of Mediaeval Studies, 2004.</w:t>
      </w:r>
    </w:p>
    <w:p w14:paraId="62D91061" w14:textId="33DCC63D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Kent, Bonnie. “Rethinking Moral Dispositions: Scotus on the Virtues.” In </w:t>
      </w:r>
      <w:proofErr w:type="gramStart"/>
      <w:r w:rsidRPr="00C83B79">
        <w:rPr>
          <w:rFonts w:cstheme="minorHAnsi"/>
          <w:i/>
          <w:iCs/>
          <w:color w:val="000000" w:themeColor="text1"/>
          <w:sz w:val="22"/>
        </w:rPr>
        <w:t>The</w:t>
      </w:r>
      <w:proofErr w:type="gramEnd"/>
      <w:r w:rsidRPr="00C83B79">
        <w:rPr>
          <w:rFonts w:cstheme="minorHAnsi"/>
          <w:i/>
          <w:iCs/>
          <w:color w:val="000000" w:themeColor="text1"/>
          <w:sz w:val="22"/>
        </w:rPr>
        <w:t xml:space="preserve"> Cambridge Companion to Duns Scotus</w:t>
      </w:r>
      <w:r w:rsidRPr="00C83B79">
        <w:rPr>
          <w:rFonts w:cstheme="minorHAnsi"/>
          <w:color w:val="000000" w:themeColor="text1"/>
          <w:sz w:val="22"/>
        </w:rPr>
        <w:t>, edited by Thomas Williams, 352–54. Cambridge: Cambridge University Press, 2003.</w:t>
      </w:r>
    </w:p>
    <w:p w14:paraId="3C563F97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Kim, Andrew. “Thomas Aquinas on the Connection of the Virtues.” PhD diss., Catholic University of America, 2013.</w:t>
      </w:r>
    </w:p>
    <w:p w14:paraId="53D26257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———. “Have the Manicheans Returned? An Augustinian Alternative to Situationist Psychology.”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Studies in Christian Ethics </w:t>
      </w:r>
      <w:r w:rsidRPr="00C83B79">
        <w:rPr>
          <w:rFonts w:cstheme="minorHAnsi"/>
          <w:color w:val="000000" w:themeColor="text1"/>
          <w:sz w:val="22"/>
        </w:rPr>
        <w:t>26, no. 4 (2013) 451–72.</w:t>
      </w:r>
    </w:p>
    <w:p w14:paraId="49137F51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———. “Progress in the Good: A Defense of the Thomistic Unity Thesis.”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Journal of Moral Theology </w:t>
      </w:r>
      <w:r w:rsidRPr="00C83B79">
        <w:rPr>
          <w:rFonts w:cstheme="minorHAnsi"/>
          <w:color w:val="000000" w:themeColor="text1"/>
          <w:sz w:val="22"/>
        </w:rPr>
        <w:t>3, no. 1 (2014) 147–74.</w:t>
      </w:r>
    </w:p>
    <w:p w14:paraId="0C082CDB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———. “Aquinas and Hauerwas on the Religious and the Secular”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New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Blackfriars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96, no. 1063 (2015) 311–25.</w:t>
      </w:r>
    </w:p>
    <w:p w14:paraId="30AD8CA6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——</w:t>
      </w:r>
      <w:proofErr w:type="gramStart"/>
      <w:r w:rsidRPr="00C83B79">
        <w:rPr>
          <w:rFonts w:cstheme="minorHAnsi"/>
          <w:color w:val="000000" w:themeColor="text1"/>
          <w:sz w:val="22"/>
        </w:rPr>
        <w:t>—.“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Dialogue and Communion”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Journal of Moral Theology </w:t>
      </w:r>
      <w:r w:rsidRPr="00C83B79">
        <w:rPr>
          <w:rFonts w:cstheme="minorHAnsi"/>
          <w:color w:val="000000" w:themeColor="text1"/>
          <w:sz w:val="22"/>
        </w:rPr>
        <w:t>5, no. 2 (2016) 179–83.</w:t>
      </w:r>
    </w:p>
    <w:p w14:paraId="0CF993E6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proofErr w:type="spellStart"/>
      <w:r w:rsidRPr="00C83B79">
        <w:rPr>
          <w:rFonts w:cstheme="minorHAnsi"/>
          <w:color w:val="000000" w:themeColor="text1"/>
          <w:sz w:val="22"/>
        </w:rPr>
        <w:t>Knobel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Angela McKay. “Two Theories of Christian Virtue.” In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America Catholic Philosophical Quarterly </w:t>
      </w:r>
      <w:r w:rsidRPr="00C83B79">
        <w:rPr>
          <w:rFonts w:cstheme="minorHAnsi"/>
          <w:color w:val="000000" w:themeColor="text1"/>
          <w:sz w:val="22"/>
        </w:rPr>
        <w:t>84, no. 3 (2010) 599–618.</w:t>
      </w:r>
    </w:p>
    <w:p w14:paraId="5DAB9EFE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proofErr w:type="spellStart"/>
      <w:r w:rsidRPr="00C83B79">
        <w:rPr>
          <w:rFonts w:cstheme="minorHAnsi"/>
          <w:color w:val="000000" w:themeColor="text1"/>
          <w:sz w:val="22"/>
        </w:rPr>
        <w:lastRenderedPageBreak/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John P. “Augustine on the Unity and the Interconnection of the Virtues.”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Harvard Theological Review </w:t>
      </w:r>
      <w:r w:rsidRPr="00C83B79">
        <w:rPr>
          <w:rFonts w:cstheme="minorHAnsi"/>
          <w:color w:val="000000" w:themeColor="text1"/>
          <w:sz w:val="22"/>
        </w:rPr>
        <w:t>72, no. 1 (1979) 81–95.</w:t>
      </w:r>
    </w:p>
    <w:p w14:paraId="2DE7AC3E" w14:textId="0A449ADE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Lutz, Christopher </w:t>
      </w:r>
      <w:proofErr w:type="spellStart"/>
      <w:proofErr w:type="gramStart"/>
      <w:r w:rsidRPr="00C83B79">
        <w:rPr>
          <w:rFonts w:cstheme="minorHAnsi"/>
          <w:color w:val="000000" w:themeColor="text1"/>
          <w:sz w:val="22"/>
        </w:rPr>
        <w:t>Steven.“</w:t>
      </w:r>
      <w:proofErr w:type="gramEnd"/>
      <w:r w:rsidRPr="00C83B79">
        <w:rPr>
          <w:rFonts w:cstheme="minorHAnsi"/>
          <w:color w:val="000000" w:themeColor="text1"/>
          <w:sz w:val="22"/>
        </w:rPr>
        <w:t>Is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Theory of Tradition Relativistic?” In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Tradition in the Ethics of Alasdair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>: Relativism, Thomism and</w:t>
      </w:r>
      <w:r w:rsidR="00001EF7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i/>
          <w:iCs/>
          <w:color w:val="000000" w:themeColor="text1"/>
          <w:sz w:val="22"/>
        </w:rPr>
        <w:t>Philosophy</w:t>
      </w:r>
      <w:r w:rsidRPr="00C83B79">
        <w:rPr>
          <w:rFonts w:cstheme="minorHAnsi"/>
          <w:color w:val="000000" w:themeColor="text1"/>
          <w:sz w:val="22"/>
        </w:rPr>
        <w:t>, edited by Christopher Steven Lutz, 65–109. Plymouth, UK: Lexington, 2004.</w:t>
      </w:r>
    </w:p>
    <w:p w14:paraId="2BC788D6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Alasdair. </w:t>
      </w:r>
      <w:r w:rsidRPr="00C83B79">
        <w:rPr>
          <w:rFonts w:cstheme="minorHAnsi"/>
          <w:i/>
          <w:iCs/>
          <w:color w:val="000000" w:themeColor="text1"/>
          <w:sz w:val="22"/>
        </w:rPr>
        <w:t>After Virtue</w:t>
      </w:r>
      <w:r w:rsidRPr="00C83B79">
        <w:rPr>
          <w:rFonts w:cstheme="minorHAnsi"/>
          <w:color w:val="000000" w:themeColor="text1"/>
          <w:sz w:val="22"/>
        </w:rPr>
        <w:t>. Notre Dame: University of Notre Dame Press, 1981.</w:t>
      </w:r>
    </w:p>
    <w:p w14:paraId="20D94A11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———. </w:t>
      </w:r>
      <w:r w:rsidRPr="00C83B79">
        <w:rPr>
          <w:rFonts w:cstheme="minorHAnsi"/>
          <w:i/>
          <w:iCs/>
          <w:color w:val="000000" w:themeColor="text1"/>
          <w:sz w:val="22"/>
        </w:rPr>
        <w:t>Whose Justice? Which Rationality</w:t>
      </w:r>
      <w:r w:rsidRPr="00C83B79">
        <w:rPr>
          <w:rFonts w:cstheme="minorHAnsi"/>
          <w:color w:val="000000" w:themeColor="text1"/>
          <w:sz w:val="22"/>
        </w:rPr>
        <w:t>. Notre Dame: University of Notre Dame Press, 1988.</w:t>
      </w:r>
    </w:p>
    <w:p w14:paraId="4AFB3D3A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Mattison III, William C. “Can Christians Possess the Acquired Virtues?”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Theological Studies </w:t>
      </w:r>
      <w:r w:rsidRPr="00C83B79">
        <w:rPr>
          <w:rFonts w:cstheme="minorHAnsi"/>
          <w:color w:val="000000" w:themeColor="text1"/>
          <w:sz w:val="22"/>
        </w:rPr>
        <w:t>72 (2011) 558–85.</w:t>
      </w:r>
    </w:p>
    <w:p w14:paraId="2368A5C0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McInerny, Daniel. </w:t>
      </w:r>
      <w:r w:rsidRPr="00C83B79">
        <w:rPr>
          <w:rFonts w:cstheme="minorHAnsi"/>
          <w:i/>
          <w:iCs/>
          <w:color w:val="000000" w:themeColor="text1"/>
          <w:sz w:val="22"/>
        </w:rPr>
        <w:t>The Difficult Good: A Thomistic Approach to Moral Conflict and Human Happiness</w:t>
      </w:r>
      <w:r w:rsidRPr="00C83B79">
        <w:rPr>
          <w:rFonts w:cstheme="minorHAnsi"/>
          <w:color w:val="000000" w:themeColor="text1"/>
          <w:sz w:val="22"/>
        </w:rPr>
        <w:t>. New York: Fordham University Press, 2006.</w:t>
      </w:r>
    </w:p>
    <w:p w14:paraId="4DB7A67B" w14:textId="2288CCD0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Miller, Christian B. “Should Christians Be Worried about Situationist Claims in Psychology and Philosophy?”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Faith and Philosophy </w:t>
      </w:r>
      <w:r w:rsidRPr="00C83B79">
        <w:rPr>
          <w:rFonts w:cstheme="minorHAnsi"/>
          <w:color w:val="000000" w:themeColor="text1"/>
          <w:sz w:val="22"/>
        </w:rPr>
        <w:t>33, no. 1 (2016) 48–73.</w:t>
      </w:r>
    </w:p>
    <w:p w14:paraId="197A90D5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Murray, Alan Christopher. “Wandering Virtues: Modesty, Patience, and Loyalty in Clinical Medicine.” PhD diss., Vanderbilt University, 2016.</w:t>
      </w:r>
    </w:p>
    <w:p w14:paraId="0E12F9A6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Porter, Jean. “Virtue and Sin: The Connection of the Virtues and the Flawed Saint.”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Journal of Religion </w:t>
      </w:r>
      <w:r w:rsidRPr="00C83B79">
        <w:rPr>
          <w:rFonts w:cstheme="minorHAnsi"/>
          <w:color w:val="000000" w:themeColor="text1"/>
          <w:sz w:val="22"/>
        </w:rPr>
        <w:t>75, no. 4 (1995) 521–39.</w:t>
      </w:r>
    </w:p>
    <w:p w14:paraId="0900069C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Rawls, John. </w:t>
      </w:r>
      <w:r w:rsidRPr="00C83B79">
        <w:rPr>
          <w:rFonts w:cstheme="minorHAnsi"/>
          <w:i/>
          <w:iCs/>
          <w:color w:val="000000" w:themeColor="text1"/>
          <w:sz w:val="22"/>
        </w:rPr>
        <w:t>A Theory of Justice</w:t>
      </w:r>
      <w:r w:rsidRPr="00C83B79">
        <w:rPr>
          <w:rFonts w:cstheme="minorHAnsi"/>
          <w:color w:val="000000" w:themeColor="text1"/>
          <w:sz w:val="22"/>
        </w:rPr>
        <w:t>. Oxford: Oxford University Press, 1971.</w:t>
      </w:r>
    </w:p>
    <w:p w14:paraId="610A5614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proofErr w:type="spellStart"/>
      <w:r w:rsidRPr="00C83B79">
        <w:rPr>
          <w:rFonts w:cstheme="minorHAnsi"/>
          <w:color w:val="000000" w:themeColor="text1"/>
          <w:sz w:val="22"/>
        </w:rPr>
        <w:t>Rist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J. M. </w:t>
      </w:r>
      <w:r w:rsidRPr="00C83B79">
        <w:rPr>
          <w:rFonts w:cstheme="minorHAnsi"/>
          <w:i/>
          <w:iCs/>
          <w:color w:val="000000" w:themeColor="text1"/>
          <w:sz w:val="22"/>
        </w:rPr>
        <w:t>Stoic Philosophy</w:t>
      </w:r>
      <w:r w:rsidRPr="00C83B79">
        <w:rPr>
          <w:rFonts w:cstheme="minorHAnsi"/>
          <w:color w:val="000000" w:themeColor="text1"/>
          <w:sz w:val="22"/>
        </w:rPr>
        <w:t>. Cambridge: Cambridge University Press, 1969.</w:t>
      </w:r>
    </w:p>
    <w:p w14:paraId="64951B13" w14:textId="77777777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Stout, Jeffrey. </w:t>
      </w:r>
      <w:r w:rsidRPr="00C83B79">
        <w:rPr>
          <w:rFonts w:cstheme="minorHAnsi"/>
          <w:i/>
          <w:iCs/>
          <w:color w:val="000000" w:themeColor="text1"/>
          <w:sz w:val="22"/>
        </w:rPr>
        <w:t>Ethics after Babel: The Language of Morals and Their Discontents</w:t>
      </w:r>
      <w:r w:rsidRPr="00C83B79">
        <w:rPr>
          <w:rFonts w:cstheme="minorHAnsi"/>
          <w:color w:val="000000" w:themeColor="text1"/>
          <w:sz w:val="22"/>
        </w:rPr>
        <w:t>. Boston: Beacon, 1988.</w:t>
      </w:r>
    </w:p>
    <w:p w14:paraId="453161E0" w14:textId="3A608AE4" w:rsidR="006A72AF" w:rsidRPr="00C83B79" w:rsidRDefault="006A72AF" w:rsidP="00DC20B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Titus, Craig Steven. “Moral Development and Connecting the Virtues: Aquinas, Porter and the Flawed Saint.” In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Ressourcement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Thomism: Sacred</w:t>
      </w:r>
      <w:r w:rsidR="00207121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i/>
          <w:iCs/>
          <w:color w:val="000000" w:themeColor="text1"/>
          <w:sz w:val="22"/>
        </w:rPr>
        <w:t>Doctrine, the Sacraments, and the Moral Life</w:t>
      </w:r>
      <w:r w:rsidRPr="00C83B79">
        <w:rPr>
          <w:rFonts w:cstheme="minorHAnsi"/>
          <w:color w:val="000000" w:themeColor="text1"/>
          <w:sz w:val="22"/>
        </w:rPr>
        <w:t xml:space="preserve">, edited by Reinhard </w:t>
      </w:r>
      <w:proofErr w:type="spellStart"/>
      <w:r w:rsidRPr="00C83B79">
        <w:rPr>
          <w:rFonts w:cstheme="minorHAnsi"/>
          <w:color w:val="000000" w:themeColor="text1"/>
          <w:sz w:val="22"/>
        </w:rPr>
        <w:t>Hütter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and Matthew Levering, 330–52. Washington, DC: Catholic University of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America, 2010.</w:t>
      </w:r>
    </w:p>
    <w:p w14:paraId="12849F60" w14:textId="77777777" w:rsidR="006A72AF" w:rsidRPr="00C83B79" w:rsidRDefault="006A72AF" w:rsidP="00DC20BC">
      <w:pPr>
        <w:ind w:left="720" w:hanging="720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Waldron, Jeremy. </w:t>
      </w:r>
      <w:r w:rsidRPr="00C83B79">
        <w:rPr>
          <w:rFonts w:cstheme="minorHAnsi"/>
          <w:i/>
          <w:iCs/>
          <w:color w:val="000000" w:themeColor="text1"/>
          <w:sz w:val="22"/>
        </w:rPr>
        <w:t>Species and the Shape of Equality</w:t>
      </w:r>
      <w:r w:rsidRPr="00C83B79">
        <w:rPr>
          <w:rFonts w:cstheme="minorHAnsi"/>
          <w:color w:val="000000" w:themeColor="text1"/>
          <w:sz w:val="22"/>
        </w:rPr>
        <w:t>. Cambridge: Cambridge University Press, 2002.</w:t>
      </w:r>
    </w:p>
    <w:p w14:paraId="04E2E6EB" w14:textId="77777777" w:rsidR="006A72AF" w:rsidRPr="00C83B79" w:rsidRDefault="006A72AF" w:rsidP="00F90E06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99</w:t>
      </w:r>
    </w:p>
    <w:p w14:paraId="0FC16BF6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456. Kim, “Thomas Aquinas on the Connection of the Virtues.”</w:t>
      </w:r>
    </w:p>
    <w:p w14:paraId="0A5784C0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457. Pope Francis,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Evangelii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gaudium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(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hereafter).</w:t>
      </w:r>
    </w:p>
    <w:p w14:paraId="5A8C7F0F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458. Here I borrow a term used by McInerny. See </w:t>
      </w:r>
      <w:r w:rsidRPr="00C83B79">
        <w:rPr>
          <w:rFonts w:cstheme="minorHAnsi"/>
          <w:i/>
          <w:iCs/>
          <w:color w:val="000000" w:themeColor="text1"/>
          <w:sz w:val="22"/>
        </w:rPr>
        <w:t>Difficult Good</w:t>
      </w:r>
      <w:r w:rsidRPr="00C83B79">
        <w:rPr>
          <w:rFonts w:cstheme="minorHAnsi"/>
          <w:color w:val="000000" w:themeColor="text1"/>
          <w:sz w:val="22"/>
        </w:rPr>
        <w:t>.</w:t>
      </w:r>
    </w:p>
    <w:p w14:paraId="40769364" w14:textId="3772A36E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459. See Rawls, </w:t>
      </w:r>
      <w:r w:rsidRPr="00C83B79">
        <w:rPr>
          <w:rFonts w:cstheme="minorHAnsi"/>
          <w:i/>
          <w:iCs/>
          <w:color w:val="000000" w:themeColor="text1"/>
          <w:sz w:val="22"/>
        </w:rPr>
        <w:t>Theory of Justice</w:t>
      </w:r>
      <w:r w:rsidRPr="00C83B79">
        <w:rPr>
          <w:rFonts w:cstheme="minorHAnsi"/>
          <w:color w:val="000000" w:themeColor="text1"/>
          <w:sz w:val="22"/>
        </w:rPr>
        <w:t xml:space="preserve">, 506. Also see Waldron’s discussion of this topic in </w:t>
      </w:r>
      <w:r w:rsidRPr="00C83B79">
        <w:rPr>
          <w:rFonts w:cstheme="minorHAnsi"/>
          <w:i/>
          <w:iCs/>
          <w:color w:val="000000" w:themeColor="text1"/>
          <w:sz w:val="22"/>
        </w:rPr>
        <w:t>Species and the Shape of Equality</w:t>
      </w:r>
      <w:r w:rsidRPr="00C83B79">
        <w:rPr>
          <w:rFonts w:cstheme="minorHAnsi"/>
          <w:color w:val="000000" w:themeColor="text1"/>
          <w:sz w:val="22"/>
        </w:rPr>
        <w:t>, 76–82. I employ the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concepts of a “range” property versus a “scalar” property to delineate between competing definitions of virtue.</w:t>
      </w:r>
    </w:p>
    <w:p w14:paraId="020C09CA" w14:textId="0A1BD36B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460. For example, see Doris, </w:t>
      </w:r>
      <w:r w:rsidRPr="00C83B79">
        <w:rPr>
          <w:rFonts w:cstheme="minorHAnsi"/>
          <w:i/>
          <w:iCs/>
          <w:color w:val="000000" w:themeColor="text1"/>
          <w:sz w:val="22"/>
        </w:rPr>
        <w:t>Lack of Character</w:t>
      </w:r>
      <w:r w:rsidRPr="00C83B79">
        <w:rPr>
          <w:rFonts w:cstheme="minorHAnsi"/>
          <w:color w:val="000000" w:themeColor="text1"/>
          <w:sz w:val="22"/>
        </w:rPr>
        <w:t>. For a critique of the metaphysical assumptions underlying situationist psychology as articulated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by Doris, see my “Have the Manicheans Returned?” For a broader discussion of this topic see Miller, “Should Christians Be Worried about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Situationist Claims in Psychology and Philosophy?” Miller affirms the general premise of my just mentioned article insofar as he insists upon the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need for Christian ethicists to take the claims of situationist psychology more seriously than they currently are (49). However, more relevant to the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current chapter, Miller upholds the definition of virtue espoused by situationist psychology as more in keeping with Christian faith than idealized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definitions. As we shall see, the current chapter disagrees with this claim.</w:t>
      </w:r>
    </w:p>
    <w:p w14:paraId="22E03E9C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461. Adams, </w:t>
      </w:r>
      <w:r w:rsidRPr="00C83B79">
        <w:rPr>
          <w:rFonts w:cstheme="minorHAnsi"/>
          <w:i/>
          <w:iCs/>
          <w:color w:val="000000" w:themeColor="text1"/>
          <w:sz w:val="22"/>
        </w:rPr>
        <w:t>Theory of Virtue</w:t>
      </w:r>
      <w:r w:rsidRPr="00C83B79">
        <w:rPr>
          <w:rFonts w:cstheme="minorHAnsi"/>
          <w:color w:val="000000" w:themeColor="text1"/>
          <w:sz w:val="22"/>
        </w:rPr>
        <w:t>, 173.</w:t>
      </w:r>
    </w:p>
    <w:p w14:paraId="0FCEB14E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462. Cicero,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finibus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3.14.48.</w:t>
      </w:r>
    </w:p>
    <w:p w14:paraId="0774C486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463. </w:t>
      </w:r>
      <w:proofErr w:type="spellStart"/>
      <w:r w:rsidRPr="00C83B79">
        <w:rPr>
          <w:rFonts w:cstheme="minorHAnsi"/>
          <w:color w:val="000000" w:themeColor="text1"/>
          <w:sz w:val="22"/>
        </w:rPr>
        <w:t>Rist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</w:t>
      </w:r>
      <w:r w:rsidRPr="00C83B79">
        <w:rPr>
          <w:rFonts w:cstheme="minorHAnsi"/>
          <w:i/>
          <w:iCs/>
          <w:color w:val="000000" w:themeColor="text1"/>
          <w:sz w:val="22"/>
        </w:rPr>
        <w:t>Stoic Philosophy</w:t>
      </w:r>
      <w:r w:rsidRPr="00C83B79">
        <w:rPr>
          <w:rFonts w:cstheme="minorHAnsi"/>
          <w:color w:val="000000" w:themeColor="text1"/>
          <w:sz w:val="22"/>
        </w:rPr>
        <w:t>, 84.</w:t>
      </w:r>
    </w:p>
    <w:p w14:paraId="25A3EB3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464. Adams, </w:t>
      </w:r>
      <w:r w:rsidRPr="00C83B79">
        <w:rPr>
          <w:rFonts w:cstheme="minorHAnsi"/>
          <w:i/>
          <w:iCs/>
          <w:color w:val="000000" w:themeColor="text1"/>
          <w:sz w:val="22"/>
        </w:rPr>
        <w:t>Theory of Virtue</w:t>
      </w:r>
      <w:r w:rsidRPr="00C83B79">
        <w:rPr>
          <w:rFonts w:cstheme="minorHAnsi"/>
          <w:color w:val="000000" w:themeColor="text1"/>
          <w:sz w:val="22"/>
        </w:rPr>
        <w:t>, 173.</w:t>
      </w:r>
    </w:p>
    <w:p w14:paraId="4442B541" w14:textId="30B1A988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lastRenderedPageBreak/>
        <w:t xml:space="preserve">465.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</w:t>
      </w:r>
      <w:r w:rsidRPr="00C83B79">
        <w:rPr>
          <w:rFonts w:cstheme="minorHAnsi"/>
          <w:i/>
          <w:iCs/>
          <w:color w:val="000000" w:themeColor="text1"/>
          <w:sz w:val="22"/>
        </w:rPr>
        <w:t>After Virtue</w:t>
      </w:r>
      <w:r w:rsidRPr="00C83B79">
        <w:rPr>
          <w:rFonts w:cstheme="minorHAnsi"/>
          <w:color w:val="000000" w:themeColor="text1"/>
          <w:sz w:val="22"/>
        </w:rPr>
        <w:t xml:space="preserve">, 180; my italics. For a critique of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view as put forward in </w:t>
      </w:r>
      <w:r w:rsidRPr="00C83B79">
        <w:rPr>
          <w:rFonts w:cstheme="minorHAnsi"/>
          <w:i/>
          <w:iCs/>
          <w:color w:val="000000" w:themeColor="text1"/>
          <w:sz w:val="22"/>
        </w:rPr>
        <w:t>After Virtue</w:t>
      </w:r>
      <w:r w:rsidRPr="00C83B79">
        <w:rPr>
          <w:rFonts w:cstheme="minorHAnsi"/>
          <w:color w:val="000000" w:themeColor="text1"/>
          <w:sz w:val="22"/>
        </w:rPr>
        <w:t xml:space="preserve">, see Lutz, “Is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Theory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of Tradition Relativistic?”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later revised his view. See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Whose Justice? Which Rationality? </w:t>
      </w:r>
      <w:r w:rsidRPr="00C83B79">
        <w:rPr>
          <w:rFonts w:cstheme="minorHAnsi"/>
          <w:color w:val="000000" w:themeColor="text1"/>
          <w:sz w:val="22"/>
        </w:rPr>
        <w:t>One might observe how the</w:t>
      </w:r>
      <w:r w:rsidR="00207121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objection considered here corresponds with </w:t>
      </w:r>
      <w:proofErr w:type="spellStart"/>
      <w:r w:rsidRPr="00C83B79">
        <w:rPr>
          <w:rFonts w:cstheme="minorHAnsi"/>
          <w:color w:val="000000" w:themeColor="text1"/>
          <w:sz w:val="22"/>
        </w:rPr>
        <w:t>MacIntyre’s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work regarding the possibility of dialogue across moral traditions. For more on this topic,</w:t>
      </w:r>
      <w:r w:rsidR="007C47BA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see Fowl, “Could Horace Talk with the Hebrews?”; Hare, </w:t>
      </w:r>
      <w:r w:rsidRPr="00C83B79">
        <w:rPr>
          <w:rFonts w:cstheme="minorHAnsi"/>
          <w:i/>
          <w:iCs/>
          <w:color w:val="000000" w:themeColor="text1"/>
          <w:sz w:val="22"/>
        </w:rPr>
        <w:t>Language of Morals</w:t>
      </w:r>
      <w:r w:rsidRPr="00C83B79">
        <w:rPr>
          <w:rFonts w:cstheme="minorHAnsi"/>
          <w:color w:val="000000" w:themeColor="text1"/>
          <w:sz w:val="22"/>
        </w:rPr>
        <w:t xml:space="preserve">; Hauerwas, “The Church as God’s New Language”; Stout, </w:t>
      </w:r>
      <w:r w:rsidRPr="00C83B79">
        <w:rPr>
          <w:rFonts w:cstheme="minorHAnsi"/>
          <w:i/>
          <w:iCs/>
          <w:color w:val="000000" w:themeColor="text1"/>
          <w:sz w:val="22"/>
        </w:rPr>
        <w:t>Ethics</w:t>
      </w:r>
      <w:r w:rsidR="007C47BA"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i/>
          <w:iCs/>
          <w:color w:val="000000" w:themeColor="text1"/>
          <w:sz w:val="22"/>
        </w:rPr>
        <w:t>After Babel</w:t>
      </w:r>
      <w:r w:rsidRPr="00C83B79">
        <w:rPr>
          <w:rFonts w:cstheme="minorHAnsi"/>
          <w:color w:val="000000" w:themeColor="text1"/>
          <w:sz w:val="22"/>
        </w:rPr>
        <w:t>.</w:t>
      </w:r>
    </w:p>
    <w:p w14:paraId="31A3F5F5" w14:textId="700C6F22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466.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>, “Augustine on the Unity and the Interconnection of the Virtues,” 89. Kent has also explored the “acquiring the virtues all at once</w:t>
      </w:r>
      <w:r w:rsidR="00622FE4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problem.” See Kent, “Rethinking Moral Dispositions: Scotus on the Virtues.”</w:t>
      </w:r>
    </w:p>
    <w:p w14:paraId="7A1F8B7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467.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1–2.</w:t>
      </w:r>
    </w:p>
    <w:p w14:paraId="27368823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468.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1–3.</w:t>
      </w:r>
    </w:p>
    <w:p w14:paraId="72115ED5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469.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1–6.</w:t>
      </w:r>
    </w:p>
    <w:p w14:paraId="1F701375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470.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6–7; 272.</w:t>
      </w:r>
    </w:p>
    <w:p w14:paraId="29A72F92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471.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8.</w:t>
      </w:r>
    </w:p>
    <w:p w14:paraId="0DD8B322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472.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10.</w:t>
      </w:r>
    </w:p>
    <w:p w14:paraId="4D5CD094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473.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11–13.</w:t>
      </w:r>
    </w:p>
    <w:p w14:paraId="7CBAA490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474.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14.</w:t>
      </w:r>
    </w:p>
    <w:p w14:paraId="1F48309C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475.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 xml:space="preserve">30; Also see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Gaudium et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spes</w:t>
      </w:r>
      <w:proofErr w:type="spellEnd"/>
      <w:r w:rsidRPr="00C83B79">
        <w:rPr>
          <w:rFonts w:cstheme="minorHAnsi"/>
          <w:color w:val="000000" w:themeColor="text1"/>
          <w:sz w:val="22"/>
        </w:rPr>
        <w:t>, 19–20.</w:t>
      </w:r>
    </w:p>
    <w:p w14:paraId="2F7D93BC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476.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34–36.</w:t>
      </w:r>
    </w:p>
    <w:p w14:paraId="7F995C93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477.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35.</w:t>
      </w:r>
    </w:p>
    <w:p w14:paraId="398165F8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478.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 xml:space="preserve">37–38, referencing Aquinas,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Summa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theologiae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(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 </w:t>
      </w:r>
      <w:r w:rsidRPr="00C83B79">
        <w:rPr>
          <w:rFonts w:cstheme="minorHAnsi"/>
          <w:color w:val="000000" w:themeColor="text1"/>
          <w:sz w:val="22"/>
        </w:rPr>
        <w:t xml:space="preserve">hereafter) </w:t>
      </w:r>
      <w:proofErr w:type="spellStart"/>
      <w:r w:rsidRPr="00C83B79">
        <w:rPr>
          <w:rFonts w:cstheme="minorHAnsi"/>
          <w:color w:val="000000" w:themeColor="text1"/>
          <w:sz w:val="22"/>
        </w:rPr>
        <w:t>IIa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IIae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q. 30 a. 4.</w:t>
      </w:r>
    </w:p>
    <w:p w14:paraId="3431AA98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479.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39.</w:t>
      </w:r>
    </w:p>
    <w:p w14:paraId="706A5857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480.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 </w:t>
      </w:r>
      <w:proofErr w:type="spellStart"/>
      <w:r w:rsidRPr="00C83B79">
        <w:rPr>
          <w:rFonts w:cstheme="minorHAnsi"/>
          <w:color w:val="000000" w:themeColor="text1"/>
          <w:sz w:val="22"/>
        </w:rPr>
        <w:t>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IIae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q. 65 a. 3.</w:t>
      </w:r>
    </w:p>
    <w:p w14:paraId="3E5A405D" w14:textId="6410C5E5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481. For more on the distinction between infused and acquired virtue, see McKay-</w:t>
      </w:r>
      <w:proofErr w:type="spellStart"/>
      <w:r w:rsidRPr="00C83B79">
        <w:rPr>
          <w:rFonts w:cstheme="minorHAnsi"/>
          <w:color w:val="000000" w:themeColor="text1"/>
          <w:sz w:val="22"/>
        </w:rPr>
        <w:t>Knobel’s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“Two Theories of Christian Virtue.” For a recent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defense of what </w:t>
      </w:r>
      <w:proofErr w:type="spellStart"/>
      <w:r w:rsidRPr="00C83B79">
        <w:rPr>
          <w:rFonts w:cstheme="minorHAnsi"/>
          <w:color w:val="000000" w:themeColor="text1"/>
          <w:sz w:val="22"/>
        </w:rPr>
        <w:t>Knobel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refers to as “unification theory,” see Mattison, “Can Christians Possess the Acquired Virtues?”</w:t>
      </w:r>
    </w:p>
    <w:p w14:paraId="478765FE" w14:textId="4693FA18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482. Porter, “Virtue and Sin.” For a critique of Porter’s argument, see Titus, “Moral Development and Connecting the Virtues.” For a critique of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both views, see my “Progress in the Good.” Some have taken issue with my argument regarding the distinctiveness and value of the Thomistic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version of the unity thesis. For example, see Murray, “Wandering Virtues,” 35. Others, however, have found the argument compelling. For instance,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see Fitzgerald, “No Woe to You Lawyers.”</w:t>
      </w:r>
    </w:p>
    <w:p w14:paraId="3060998A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483. Porter, “Virtue and Sin,” 528; her italics.</w:t>
      </w:r>
    </w:p>
    <w:p w14:paraId="04EF1BED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484. Ibid., 529.</w:t>
      </w:r>
    </w:p>
    <w:p w14:paraId="640F0FF0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485. Ibid.</w:t>
      </w:r>
    </w:p>
    <w:p w14:paraId="30E356E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486. Ibid.</w:t>
      </w:r>
    </w:p>
    <w:p w14:paraId="1C89F1A1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487.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 </w:t>
      </w:r>
      <w:proofErr w:type="spellStart"/>
      <w:r w:rsidRPr="00C83B79">
        <w:rPr>
          <w:rFonts w:cstheme="minorHAnsi"/>
          <w:color w:val="000000" w:themeColor="text1"/>
          <w:sz w:val="22"/>
        </w:rPr>
        <w:t>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IIae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q. 65 a. 3.</w:t>
      </w:r>
    </w:p>
    <w:p w14:paraId="73075DD0" w14:textId="77777777" w:rsidR="006A72AF" w:rsidRPr="00C83B79" w:rsidRDefault="004E0EEE" w:rsidP="00207121">
      <w:pPr>
        <w:ind w:left="720" w:hanging="720"/>
        <w:rPr>
          <w:rFonts w:cstheme="minorHAnsi"/>
          <w:i/>
          <w:iCs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488. Porter, “Virtue and Sin,” 530; </w:t>
      </w:r>
      <w:r w:rsidRPr="00C83B79">
        <w:rPr>
          <w:rFonts w:cstheme="minorHAnsi"/>
          <w:i/>
          <w:iCs/>
          <w:color w:val="000000" w:themeColor="text1"/>
          <w:sz w:val="22"/>
        </w:rPr>
        <w:t>ST</w:t>
      </w:r>
    </w:p>
    <w:p w14:paraId="7CA6FAD5" w14:textId="77777777" w:rsidR="004E0EEE" w:rsidRPr="00C83B79" w:rsidRDefault="004E0EEE" w:rsidP="00F90E06">
      <w:pPr>
        <w:ind w:left="720" w:hanging="720"/>
        <w:jc w:val="right"/>
        <w:rPr>
          <w:rFonts w:cstheme="minorHAnsi"/>
          <w:iCs/>
          <w:color w:val="000000" w:themeColor="text1"/>
          <w:sz w:val="22"/>
        </w:rPr>
      </w:pPr>
      <w:r w:rsidRPr="00C83B79">
        <w:rPr>
          <w:rFonts w:cstheme="minorHAnsi"/>
          <w:iCs/>
          <w:color w:val="000000" w:themeColor="text1"/>
          <w:sz w:val="22"/>
        </w:rPr>
        <w:t>100</w:t>
      </w:r>
    </w:p>
    <w:p w14:paraId="2CF1AA67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490. Ibid.; Porter’s italics.</w:t>
      </w:r>
    </w:p>
    <w:p w14:paraId="6786B73C" w14:textId="5AC1379C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491. Ibid. </w:t>
      </w:r>
      <w:proofErr w:type="gramStart"/>
      <w:r w:rsidRPr="00C83B79">
        <w:rPr>
          <w:rFonts w:cstheme="minorHAnsi"/>
          <w:color w:val="000000" w:themeColor="text1"/>
          <w:sz w:val="22"/>
        </w:rPr>
        <w:t>This is why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Porter argues that Aquinas’s thesis is “inadequate.” See Porter, “Virtue and Sin,</w:t>
      </w:r>
      <w:proofErr w:type="gramStart"/>
      <w:r w:rsidRPr="00C83B79">
        <w:rPr>
          <w:rFonts w:cstheme="minorHAnsi"/>
          <w:color w:val="000000" w:themeColor="text1"/>
          <w:sz w:val="22"/>
        </w:rPr>
        <w:t>” .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In my view, Porter’s 537 argument takes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insufficient notice of Aquinas’s view which, while acknowledging that charity can be lost through a single act, also makes clear that charity can “be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restored through a single act of repentance: An act of repentance is, by virtue of grace, able to destroy a vicious habit that has been generated. That is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why if someone has the vice of intemperateness, when he repents it no longer remains there alongside the infused virtue of temperance in the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character of a vice. Rather, it is already in the process of being destroyed, and </w:t>
      </w:r>
      <w:r w:rsidRPr="00C83B79">
        <w:rPr>
          <w:rFonts w:cstheme="minorHAnsi"/>
          <w:color w:val="000000" w:themeColor="text1"/>
          <w:sz w:val="22"/>
        </w:rPr>
        <w:lastRenderedPageBreak/>
        <w:t>has become instead a sort of tendency. However, a tendency is not the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contrary of a perfected habit.”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>. comm</w:t>
      </w:r>
      <w:r w:rsidRPr="00C83B79">
        <w:rPr>
          <w:rFonts w:cstheme="minorHAnsi"/>
          <w:color w:val="000000" w:themeColor="text1"/>
          <w:sz w:val="22"/>
        </w:rPr>
        <w:t>. a.10 ad. 16.</w:t>
      </w:r>
    </w:p>
    <w:p w14:paraId="36306957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492.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1–2.</w:t>
      </w:r>
    </w:p>
    <w:p w14:paraId="7A4601B3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493.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34–36.</w:t>
      </w:r>
    </w:p>
    <w:p w14:paraId="6ABC1AB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494.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10.</w:t>
      </w:r>
    </w:p>
    <w:p w14:paraId="4D5A1E3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495.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15.</w:t>
      </w:r>
    </w:p>
    <w:p w14:paraId="39EDF8F7" w14:textId="73106ED0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496.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, “Augustine on the Unity and the Interconnection of the Virtues,” 95. What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refers to as a “gradualist account” is, I think,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much more significant than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recognizes. How one evaluates the unity of the virtues is contingent on whether one presumes an understanding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of virtue as a range quality or scalar (gradualist in </w:t>
      </w:r>
      <w:proofErr w:type="spellStart"/>
      <w:r w:rsidRPr="00C83B79">
        <w:rPr>
          <w:rFonts w:cstheme="minorHAnsi"/>
          <w:color w:val="000000" w:themeColor="text1"/>
          <w:sz w:val="22"/>
        </w:rPr>
        <w:t>Langan’s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language).</w:t>
      </w:r>
    </w:p>
    <w:p w14:paraId="7974ED79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497. Augustine,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Epist. </w:t>
      </w:r>
      <w:r w:rsidRPr="00C83B79">
        <w:rPr>
          <w:rFonts w:cstheme="minorHAnsi"/>
          <w:color w:val="000000" w:themeColor="text1"/>
          <w:sz w:val="22"/>
        </w:rPr>
        <w:t>167.2.4.</w:t>
      </w:r>
    </w:p>
    <w:p w14:paraId="15C741AE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498. Ibid.</w:t>
      </w:r>
    </w:p>
    <w:p w14:paraId="182F7A78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499. Ibid. See Houser, </w:t>
      </w:r>
      <w:r w:rsidRPr="00C83B79">
        <w:rPr>
          <w:rFonts w:cstheme="minorHAnsi"/>
          <w:i/>
          <w:iCs/>
          <w:color w:val="000000" w:themeColor="text1"/>
          <w:sz w:val="22"/>
        </w:rPr>
        <w:t>Cardinal Virtues</w:t>
      </w:r>
      <w:r w:rsidRPr="00C83B79">
        <w:rPr>
          <w:rFonts w:cstheme="minorHAnsi"/>
          <w:color w:val="000000" w:themeColor="text1"/>
          <w:sz w:val="22"/>
        </w:rPr>
        <w:t>, 215.</w:t>
      </w:r>
    </w:p>
    <w:p w14:paraId="707A014B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500.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virtutibus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communis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a. 11 ad 15.</w:t>
      </w:r>
    </w:p>
    <w:p w14:paraId="29AAEBC1" w14:textId="71834F88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501.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virtutibus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cardnalibus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a. 3. Francis seems importantly aware of this distinction as he warns against distorting Christian morality into “a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form of stoicism” as referenced earlier.</w:t>
      </w:r>
    </w:p>
    <w:p w14:paraId="1D23216F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502. McInerny,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Difficult Good, </w:t>
      </w:r>
      <w:r w:rsidRPr="00C83B79">
        <w:rPr>
          <w:rFonts w:cstheme="minorHAnsi"/>
          <w:color w:val="000000" w:themeColor="text1"/>
          <w:sz w:val="22"/>
        </w:rPr>
        <w:t>85.</w:t>
      </w:r>
    </w:p>
    <w:p w14:paraId="67C65C64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503.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 xml:space="preserve">37-38, referencing Aquinas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 </w:t>
      </w:r>
      <w:proofErr w:type="spellStart"/>
      <w:r w:rsidRPr="00C83B79">
        <w:rPr>
          <w:rFonts w:cstheme="minorHAnsi"/>
          <w:color w:val="000000" w:themeColor="text1"/>
          <w:sz w:val="22"/>
        </w:rPr>
        <w:t>IIa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IIae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q. 30 a. 4.</w:t>
      </w:r>
    </w:p>
    <w:p w14:paraId="6D1A124A" w14:textId="15F91D9F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504.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De </w:t>
      </w:r>
      <w:proofErr w:type="spellStart"/>
      <w:r w:rsidRPr="00C83B79">
        <w:rPr>
          <w:rFonts w:cstheme="minorHAnsi"/>
          <w:i/>
          <w:iCs/>
          <w:color w:val="000000" w:themeColor="text1"/>
          <w:sz w:val="22"/>
        </w:rPr>
        <w:t>virtut</w:t>
      </w:r>
      <w:proofErr w:type="spellEnd"/>
      <w:r w:rsidRPr="00C83B79">
        <w:rPr>
          <w:rFonts w:cstheme="minorHAnsi"/>
          <w:i/>
          <w:iCs/>
          <w:color w:val="000000" w:themeColor="text1"/>
          <w:sz w:val="22"/>
        </w:rPr>
        <w:t>. card</w:t>
      </w:r>
      <w:r w:rsidRPr="00C83B79">
        <w:rPr>
          <w:rFonts w:cstheme="minorHAnsi"/>
          <w:color w:val="000000" w:themeColor="text1"/>
          <w:sz w:val="22"/>
        </w:rPr>
        <w:t xml:space="preserve">., a. 2. Also see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ST </w:t>
      </w:r>
      <w:proofErr w:type="spellStart"/>
      <w:r w:rsidRPr="00C83B79">
        <w:rPr>
          <w:rFonts w:cstheme="minorHAnsi"/>
          <w:color w:val="000000" w:themeColor="text1"/>
          <w:sz w:val="22"/>
        </w:rPr>
        <w:t>Ia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</w:t>
      </w:r>
      <w:proofErr w:type="spellStart"/>
      <w:r w:rsidRPr="00C83B79">
        <w:rPr>
          <w:rFonts w:cstheme="minorHAnsi"/>
          <w:color w:val="000000" w:themeColor="text1"/>
          <w:sz w:val="22"/>
        </w:rPr>
        <w:t>IIae</w:t>
      </w:r>
      <w:proofErr w:type="spellEnd"/>
      <w:r w:rsidRPr="00C83B79">
        <w:rPr>
          <w:rFonts w:cstheme="minorHAnsi"/>
          <w:color w:val="000000" w:themeColor="text1"/>
          <w:sz w:val="22"/>
        </w:rPr>
        <w:t xml:space="preserve"> q. 65 a. 2. “It is therefore clear from what has been said that only the infused virtues are </w:t>
      </w:r>
      <w:proofErr w:type="gramStart"/>
      <w:r w:rsidRPr="00C83B79">
        <w:rPr>
          <w:rFonts w:cstheme="minorHAnsi"/>
          <w:color w:val="000000" w:themeColor="text1"/>
          <w:sz w:val="22"/>
        </w:rPr>
        <w:t>perfect, and</w:t>
      </w:r>
      <w:proofErr w:type="gramEnd"/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deserve to be called virtues simply: since they direct man well to the ultimate end. But the other virtues, those namely, that are acquired, are virtues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 xml:space="preserve">in a restricted sense, but not simply, for they direct man well in respect of the last end in some </w:t>
      </w:r>
      <w:proofErr w:type="gramStart"/>
      <w:r w:rsidRPr="00C83B79">
        <w:rPr>
          <w:rFonts w:cstheme="minorHAnsi"/>
          <w:color w:val="000000" w:themeColor="text1"/>
          <w:sz w:val="22"/>
        </w:rPr>
        <w:t>particular genus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of action, but not in respect to the last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end simply.”</w:t>
      </w:r>
    </w:p>
    <w:p w14:paraId="1C3C9CD1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505.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44.</w:t>
      </w:r>
    </w:p>
    <w:p w14:paraId="5C58C22F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506.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12.</w:t>
      </w:r>
    </w:p>
    <w:p w14:paraId="541E711F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507. Ibid., referencing 1 Cor 3:7.</w:t>
      </w:r>
    </w:p>
    <w:p w14:paraId="2EE68941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508.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12, referencing 1 John 4:19.</w:t>
      </w:r>
    </w:p>
    <w:p w14:paraId="5D2C5808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509. </w:t>
      </w:r>
      <w:proofErr w:type="spellStart"/>
      <w:r w:rsidRPr="00C83B79">
        <w:rPr>
          <w:rFonts w:cstheme="minorHAnsi"/>
          <w:color w:val="000000" w:themeColor="text1"/>
          <w:sz w:val="22"/>
        </w:rPr>
        <w:t>Langan</w:t>
      </w:r>
      <w:proofErr w:type="spellEnd"/>
      <w:r w:rsidRPr="00C83B79">
        <w:rPr>
          <w:rFonts w:cstheme="minorHAnsi"/>
          <w:color w:val="000000" w:themeColor="text1"/>
          <w:sz w:val="22"/>
        </w:rPr>
        <w:t>, “Augustine on the Unity and the Interconnection of the Virtues,” 95.</w:t>
      </w:r>
    </w:p>
    <w:p w14:paraId="093A0772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510.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42. For a Thomistic reply to the sectarian problem, see my “Aquinas and Hauerwas on the Religious and the Secular.”</w:t>
      </w:r>
    </w:p>
    <w:p w14:paraId="123C6068" w14:textId="77777777" w:rsidR="004E0EEE" w:rsidRPr="00C83B79" w:rsidRDefault="004E0EEE" w:rsidP="0020712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511.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>42.</w:t>
      </w:r>
    </w:p>
    <w:p w14:paraId="2C2CD2A2" w14:textId="0ECC7C2B" w:rsidR="004E0EEE" w:rsidRPr="00C83B79" w:rsidRDefault="004E0EEE" w:rsidP="00F90E0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 xml:space="preserve">512. </w:t>
      </w:r>
      <w:r w:rsidRPr="00C83B79">
        <w:rPr>
          <w:rFonts w:cstheme="minorHAnsi"/>
          <w:i/>
          <w:iCs/>
          <w:color w:val="000000" w:themeColor="text1"/>
          <w:sz w:val="22"/>
        </w:rPr>
        <w:t xml:space="preserve">EG </w:t>
      </w:r>
      <w:r w:rsidRPr="00C83B79">
        <w:rPr>
          <w:rFonts w:cstheme="minorHAnsi"/>
          <w:color w:val="000000" w:themeColor="text1"/>
          <w:sz w:val="22"/>
        </w:rPr>
        <w:t xml:space="preserve">33. It seems, then, that more attention to the role of the virtues in evangelization in general and dialogue </w:t>
      </w:r>
      <w:proofErr w:type="gramStart"/>
      <w:r w:rsidRPr="00C83B79">
        <w:rPr>
          <w:rFonts w:cstheme="minorHAnsi"/>
          <w:color w:val="000000" w:themeColor="text1"/>
          <w:sz w:val="22"/>
        </w:rPr>
        <w:t>in particular is</w:t>
      </w:r>
      <w:proofErr w:type="gramEnd"/>
      <w:r w:rsidRPr="00C83B79">
        <w:rPr>
          <w:rFonts w:cstheme="minorHAnsi"/>
          <w:color w:val="000000" w:themeColor="text1"/>
          <w:sz w:val="22"/>
        </w:rPr>
        <w:t xml:space="preserve"> needed. For more</w:t>
      </w:r>
      <w:r w:rsidR="00F90E06" w:rsidRPr="00C83B79">
        <w:rPr>
          <w:rFonts w:cstheme="minorHAnsi"/>
          <w:color w:val="000000" w:themeColor="text1"/>
          <w:sz w:val="22"/>
        </w:rPr>
        <w:t xml:space="preserve"> </w:t>
      </w:r>
      <w:r w:rsidRPr="00C83B79">
        <w:rPr>
          <w:rFonts w:cstheme="minorHAnsi"/>
          <w:color w:val="000000" w:themeColor="text1"/>
          <w:sz w:val="22"/>
        </w:rPr>
        <w:t>on this topic, see my “Dialogue and Communion.”</w:t>
      </w:r>
    </w:p>
    <w:p w14:paraId="6473C88B" w14:textId="77777777" w:rsidR="00F90E06" w:rsidRPr="00C83B79" w:rsidRDefault="00F90E06" w:rsidP="004E0EEE">
      <w:pPr>
        <w:rPr>
          <w:rFonts w:cstheme="minorHAnsi"/>
          <w:color w:val="000000" w:themeColor="text1"/>
          <w:sz w:val="22"/>
        </w:rPr>
      </w:pPr>
    </w:p>
    <w:p w14:paraId="4E9950EA" w14:textId="55C43D62" w:rsidR="004E0EEE" w:rsidRPr="00C83B79" w:rsidRDefault="004E0EEE" w:rsidP="00F90E06">
      <w:pPr>
        <w:jc w:val="right"/>
        <w:rPr>
          <w:rFonts w:cstheme="minorHAnsi"/>
          <w:color w:val="000000" w:themeColor="text1"/>
          <w:sz w:val="22"/>
        </w:rPr>
      </w:pPr>
      <w:r w:rsidRPr="00C83B79">
        <w:rPr>
          <w:rFonts w:cstheme="minorHAnsi"/>
          <w:color w:val="000000" w:themeColor="text1"/>
          <w:sz w:val="22"/>
        </w:rPr>
        <w:t>101</w:t>
      </w:r>
    </w:p>
    <w:p w14:paraId="6AC20675" w14:textId="77777777" w:rsidR="004E0EEE" w:rsidRPr="00C83B79" w:rsidRDefault="004E0EEE" w:rsidP="004E0EEE">
      <w:pPr>
        <w:rPr>
          <w:rFonts w:cstheme="minorHAnsi"/>
          <w:color w:val="000000" w:themeColor="text1"/>
        </w:rPr>
      </w:pPr>
    </w:p>
    <w:sectPr w:rsidR="004E0EEE" w:rsidRPr="00C8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Y+tWPZqTkUU/gphKDcrTLieZnCI8uATx303NGxQ7289Ky7Dn2QFr7/Enp86j3y0QF6JOUUkxY7o9TPm+GorCGg==" w:salt="JLI0ahRIoTv30p8jUrRQh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819"/>
    <w:rsid w:val="00001EF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69A1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6FC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4896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07121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649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8542D"/>
    <w:rsid w:val="00290D4A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5FD8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A6A0F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0EEE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4F61F6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5AF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36D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38FC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2FE4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19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1C8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2AF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17C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47BA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C1E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5A55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0572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A57"/>
    <w:rsid w:val="00937D12"/>
    <w:rsid w:val="00940ED2"/>
    <w:rsid w:val="00942819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587"/>
    <w:rsid w:val="009B6983"/>
    <w:rsid w:val="009B7813"/>
    <w:rsid w:val="009B783F"/>
    <w:rsid w:val="009C2070"/>
    <w:rsid w:val="009C2969"/>
    <w:rsid w:val="009C2B3A"/>
    <w:rsid w:val="009C380F"/>
    <w:rsid w:val="009C43B2"/>
    <w:rsid w:val="009C4845"/>
    <w:rsid w:val="009C5450"/>
    <w:rsid w:val="009C5716"/>
    <w:rsid w:val="009C7319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15D8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184A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077B"/>
    <w:rsid w:val="00AC1274"/>
    <w:rsid w:val="00AC23F7"/>
    <w:rsid w:val="00AC2A14"/>
    <w:rsid w:val="00AC3DB4"/>
    <w:rsid w:val="00AC3EB6"/>
    <w:rsid w:val="00AD0685"/>
    <w:rsid w:val="00AD1218"/>
    <w:rsid w:val="00AD261E"/>
    <w:rsid w:val="00AD38C1"/>
    <w:rsid w:val="00AD4EA9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181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47E68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66EF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D6DD1"/>
    <w:rsid w:val="00BE2644"/>
    <w:rsid w:val="00BE3624"/>
    <w:rsid w:val="00BE42F3"/>
    <w:rsid w:val="00BE4FAD"/>
    <w:rsid w:val="00BE551C"/>
    <w:rsid w:val="00BE5DCD"/>
    <w:rsid w:val="00BE62DD"/>
    <w:rsid w:val="00BF0CC7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3B79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C41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20BC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2D40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2E6"/>
    <w:rsid w:val="00E52F87"/>
    <w:rsid w:val="00E560B4"/>
    <w:rsid w:val="00E567B2"/>
    <w:rsid w:val="00E57E95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18B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88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0E06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6360"/>
  <w15:chartTrackingRefBased/>
  <w15:docId w15:val="{F96D014D-DDC4-4A7C-856A-276DA38C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77FB69-0D23-4966-994F-4ECD7BA7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E71707-8BEF-4885-AD0A-56EA59C76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C91DC-1551-42F2-99D4-2C5233C5ED56}">
  <ds:schemaRefs>
    <ds:schemaRef ds:uri="1dc5a16d-a9e1-4107-81af-b56e13c8526c"/>
    <ds:schemaRef ds:uri="455b151d-75b8-4438-a72d-e06b314124a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7658</Words>
  <Characters>43655</Characters>
  <Application>Microsoft Office Word</Application>
  <DocSecurity>8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46</cp:revision>
  <dcterms:created xsi:type="dcterms:W3CDTF">2019-04-08T15:42:00Z</dcterms:created>
  <dcterms:modified xsi:type="dcterms:W3CDTF">2019-04-08T16:50:00Z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