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27DE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727DE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27DE0">
        <w:rPr>
          <w:rFonts w:cstheme="minorHAnsi"/>
          <w:b/>
          <w:bCs/>
          <w:color w:val="316192"/>
          <w:sz w:val="28"/>
          <w:szCs w:val="26"/>
        </w:rPr>
        <w:t>Marquette University</w:t>
      </w:r>
    </w:p>
    <w:p w14:paraId="158D4B9F" w14:textId="77777777" w:rsidR="000A7622" w:rsidRPr="00727DE0" w:rsidRDefault="000A7622" w:rsidP="00D14423">
      <w:pPr>
        <w:autoSpaceDE w:val="0"/>
        <w:autoSpaceDN w:val="0"/>
        <w:adjustRightInd w:val="0"/>
        <w:rPr>
          <w:rFonts w:cstheme="minorHAnsi"/>
          <w:b/>
          <w:bCs/>
          <w:color w:val="316192"/>
          <w:sz w:val="40"/>
          <w:szCs w:val="36"/>
        </w:rPr>
      </w:pPr>
      <w:r w:rsidRPr="00727DE0">
        <w:rPr>
          <w:rFonts w:cstheme="minorHAnsi"/>
          <w:b/>
          <w:bCs/>
          <w:color w:val="316192"/>
          <w:sz w:val="40"/>
          <w:szCs w:val="36"/>
        </w:rPr>
        <w:t>e-Publications@Marquette</w:t>
      </w:r>
    </w:p>
    <w:p w14:paraId="689ACF87" w14:textId="77777777" w:rsidR="000A7622" w:rsidRPr="00727DE0" w:rsidRDefault="000A7622" w:rsidP="00D14423">
      <w:pPr>
        <w:autoSpaceDE w:val="0"/>
        <w:autoSpaceDN w:val="0"/>
        <w:adjustRightInd w:val="0"/>
        <w:rPr>
          <w:rFonts w:cstheme="minorHAnsi"/>
          <w:b/>
          <w:bCs/>
          <w:i/>
          <w:iCs/>
        </w:rPr>
      </w:pPr>
    </w:p>
    <w:p w14:paraId="161853CC" w14:textId="6D5B7E32" w:rsidR="000A7622" w:rsidRPr="00727DE0" w:rsidRDefault="00FA7671" w:rsidP="00D14423">
      <w:pPr>
        <w:autoSpaceDE w:val="0"/>
        <w:autoSpaceDN w:val="0"/>
        <w:adjustRightInd w:val="0"/>
        <w:rPr>
          <w:rFonts w:cstheme="minorHAnsi"/>
          <w:b/>
          <w:bCs/>
          <w:i/>
          <w:iCs/>
          <w:sz w:val="32"/>
          <w:szCs w:val="32"/>
        </w:rPr>
      </w:pPr>
      <w:r w:rsidRPr="00727DE0">
        <w:rPr>
          <w:rFonts w:cstheme="minorHAnsi"/>
          <w:b/>
          <w:bCs/>
          <w:i/>
          <w:iCs/>
          <w:sz w:val="32"/>
          <w:szCs w:val="32"/>
        </w:rPr>
        <w:t xml:space="preserve">Biology </w:t>
      </w:r>
      <w:r w:rsidR="000A7622" w:rsidRPr="00727DE0">
        <w:rPr>
          <w:rFonts w:cstheme="minorHAnsi"/>
          <w:b/>
          <w:bCs/>
          <w:i/>
          <w:iCs/>
          <w:sz w:val="32"/>
          <w:szCs w:val="32"/>
        </w:rPr>
        <w:t>Faculty Research and Publications/</w:t>
      </w:r>
      <w:r w:rsidR="009732A9" w:rsidRPr="00727DE0">
        <w:rPr>
          <w:rFonts w:cstheme="minorHAnsi"/>
          <w:b/>
          <w:bCs/>
          <w:i/>
          <w:iCs/>
          <w:sz w:val="32"/>
          <w:szCs w:val="32"/>
        </w:rPr>
        <w:t xml:space="preserve">College of </w:t>
      </w:r>
      <w:r w:rsidRPr="00727DE0">
        <w:rPr>
          <w:rFonts w:cstheme="minorHAnsi"/>
          <w:b/>
          <w:bCs/>
          <w:i/>
          <w:iCs/>
          <w:sz w:val="32"/>
          <w:szCs w:val="32"/>
        </w:rPr>
        <w:t>Arts and Sciences</w:t>
      </w:r>
    </w:p>
    <w:bookmarkEnd w:id="1"/>
    <w:p w14:paraId="3E538636" w14:textId="77777777" w:rsidR="000A7622" w:rsidRPr="00727DE0" w:rsidRDefault="000A7622" w:rsidP="00D14423">
      <w:pPr>
        <w:jc w:val="center"/>
        <w:rPr>
          <w:rFonts w:cstheme="minorHAnsi"/>
          <w:b/>
          <w:bCs/>
          <w:i/>
          <w:iCs/>
        </w:rPr>
      </w:pPr>
    </w:p>
    <w:p w14:paraId="25509BF0" w14:textId="5E0CF78D" w:rsidR="000A7622" w:rsidRPr="00727DE0" w:rsidRDefault="000A7622" w:rsidP="00D14423">
      <w:pPr>
        <w:jc w:val="center"/>
        <w:rPr>
          <w:rFonts w:cstheme="minorHAnsi"/>
          <w:sz w:val="24"/>
          <w:szCs w:val="24"/>
        </w:rPr>
      </w:pPr>
      <w:r w:rsidRPr="00727DE0">
        <w:rPr>
          <w:rFonts w:cstheme="minorHAnsi"/>
          <w:b/>
          <w:bCs/>
          <w:i/>
          <w:iCs/>
          <w:sz w:val="24"/>
          <w:szCs w:val="24"/>
        </w:rPr>
        <w:t xml:space="preserve">This paper is NOT THE PUBLISHED VERSION; </w:t>
      </w:r>
      <w:r w:rsidRPr="00727DE0">
        <w:rPr>
          <w:rFonts w:cstheme="minorHAnsi"/>
          <w:b/>
          <w:bCs/>
          <w:sz w:val="24"/>
          <w:szCs w:val="24"/>
        </w:rPr>
        <w:t xml:space="preserve">but the author’s final, peer-reviewed manuscript. </w:t>
      </w:r>
      <w:r w:rsidRPr="00727DE0">
        <w:rPr>
          <w:rFonts w:cstheme="minorHAnsi"/>
          <w:sz w:val="24"/>
          <w:szCs w:val="24"/>
        </w:rPr>
        <w:t>The published version may be accessed by following the link in th</w:t>
      </w:r>
      <w:r w:rsidR="006755E8" w:rsidRPr="00727DE0">
        <w:rPr>
          <w:rFonts w:cstheme="minorHAnsi"/>
          <w:sz w:val="24"/>
          <w:szCs w:val="24"/>
        </w:rPr>
        <w:t>e</w:t>
      </w:r>
      <w:r w:rsidRPr="00727DE0">
        <w:rPr>
          <w:rFonts w:cstheme="minorHAnsi"/>
          <w:sz w:val="24"/>
          <w:szCs w:val="24"/>
        </w:rPr>
        <w:t xml:space="preserve"> citation below.</w:t>
      </w:r>
    </w:p>
    <w:p w14:paraId="207B0342" w14:textId="77777777" w:rsidR="000A7622" w:rsidRPr="00727DE0" w:rsidRDefault="000A7622" w:rsidP="00D14423">
      <w:pPr>
        <w:jc w:val="center"/>
        <w:rPr>
          <w:rFonts w:cstheme="minorHAnsi"/>
          <w:sz w:val="24"/>
          <w:szCs w:val="24"/>
        </w:rPr>
      </w:pPr>
    </w:p>
    <w:p w14:paraId="2A38AFE1" w14:textId="4AC057E6" w:rsidR="000A7622" w:rsidRPr="00727DE0" w:rsidRDefault="00294512" w:rsidP="00D14423">
      <w:pPr>
        <w:rPr>
          <w:rFonts w:cstheme="minorHAnsi"/>
          <w:sz w:val="24"/>
          <w:szCs w:val="24"/>
        </w:rPr>
      </w:pPr>
      <w:r w:rsidRPr="00727DE0">
        <w:rPr>
          <w:rFonts w:cstheme="minorHAnsi"/>
          <w:i/>
          <w:sz w:val="24"/>
          <w:szCs w:val="24"/>
          <w:lang w:val="fr-FR"/>
        </w:rPr>
        <w:t>Ecology Letters</w:t>
      </w:r>
      <w:r w:rsidR="000A7622" w:rsidRPr="00727DE0">
        <w:rPr>
          <w:rFonts w:cstheme="minorHAnsi"/>
          <w:sz w:val="24"/>
          <w:szCs w:val="24"/>
          <w:lang w:val="fr-FR"/>
        </w:rPr>
        <w:t xml:space="preserve">, Vol. </w:t>
      </w:r>
      <w:r w:rsidRPr="00727DE0">
        <w:rPr>
          <w:rFonts w:cstheme="minorHAnsi"/>
          <w:sz w:val="24"/>
          <w:szCs w:val="24"/>
          <w:lang w:val="fr-FR"/>
        </w:rPr>
        <w:t>8</w:t>
      </w:r>
      <w:r w:rsidR="000A7622" w:rsidRPr="00727DE0">
        <w:rPr>
          <w:rFonts w:cstheme="minorHAnsi"/>
          <w:sz w:val="24"/>
          <w:szCs w:val="24"/>
          <w:lang w:val="fr-FR"/>
        </w:rPr>
        <w:t xml:space="preserve">, No. </w:t>
      </w:r>
      <w:r w:rsidRPr="00727DE0">
        <w:rPr>
          <w:rFonts w:cstheme="minorHAnsi"/>
          <w:sz w:val="24"/>
          <w:szCs w:val="24"/>
          <w:lang w:val="fr-FR"/>
        </w:rPr>
        <w:t>11</w:t>
      </w:r>
      <w:r w:rsidR="000A7622" w:rsidRPr="00727DE0">
        <w:rPr>
          <w:rFonts w:cstheme="minorHAnsi"/>
          <w:sz w:val="24"/>
          <w:szCs w:val="24"/>
          <w:lang w:val="fr-FR"/>
        </w:rPr>
        <w:t xml:space="preserve"> (</w:t>
      </w:r>
      <w:r w:rsidRPr="00727DE0">
        <w:rPr>
          <w:rFonts w:cstheme="minorHAnsi"/>
          <w:sz w:val="24"/>
          <w:szCs w:val="24"/>
          <w:lang w:val="fr-FR"/>
        </w:rPr>
        <w:t>November, 2005</w:t>
      </w:r>
      <w:r w:rsidR="000A7622" w:rsidRPr="00727DE0">
        <w:rPr>
          <w:rFonts w:cstheme="minorHAnsi"/>
          <w:sz w:val="24"/>
          <w:szCs w:val="24"/>
          <w:lang w:val="fr-FR"/>
        </w:rPr>
        <w:t xml:space="preserve">): </w:t>
      </w:r>
      <w:r w:rsidR="00746722" w:rsidRPr="00727DE0">
        <w:rPr>
          <w:rFonts w:cstheme="minorHAnsi"/>
          <w:sz w:val="24"/>
          <w:szCs w:val="24"/>
          <w:lang w:val="fr-FR"/>
        </w:rPr>
        <w:t>1191</w:t>
      </w:r>
      <w:r w:rsidR="000A7622" w:rsidRPr="00727DE0">
        <w:rPr>
          <w:rFonts w:cstheme="minorHAnsi"/>
          <w:sz w:val="24"/>
          <w:szCs w:val="24"/>
          <w:lang w:val="fr-FR"/>
        </w:rPr>
        <w:t>-</w:t>
      </w:r>
      <w:r w:rsidR="00746722" w:rsidRPr="00727DE0">
        <w:rPr>
          <w:rFonts w:cstheme="minorHAnsi"/>
          <w:sz w:val="24"/>
          <w:szCs w:val="24"/>
          <w:lang w:val="fr-FR"/>
        </w:rPr>
        <w:t>1200</w:t>
      </w:r>
      <w:r w:rsidR="000A7622" w:rsidRPr="00727DE0">
        <w:rPr>
          <w:rFonts w:cstheme="minorHAnsi"/>
          <w:sz w:val="24"/>
          <w:szCs w:val="24"/>
          <w:lang w:val="fr-FR"/>
        </w:rPr>
        <w:t xml:space="preserve">. </w:t>
      </w:r>
      <w:hyperlink r:id="rId8" w:history="1">
        <w:r w:rsidR="000A7622" w:rsidRPr="00727DE0">
          <w:rPr>
            <w:rFonts w:cstheme="minorHAnsi"/>
            <w:color w:val="0563C1" w:themeColor="hyperlink"/>
            <w:sz w:val="24"/>
            <w:szCs w:val="24"/>
            <w:u w:val="single"/>
            <w:lang w:val="fr-FR"/>
          </w:rPr>
          <w:t>DOI</w:t>
        </w:r>
      </w:hyperlink>
      <w:r w:rsidR="000A7622" w:rsidRPr="00727DE0">
        <w:rPr>
          <w:rFonts w:cstheme="minorHAnsi"/>
          <w:sz w:val="24"/>
          <w:szCs w:val="24"/>
          <w:lang w:val="fr-FR"/>
        </w:rPr>
        <w:t xml:space="preserve">. </w:t>
      </w:r>
      <w:r w:rsidR="000A7622" w:rsidRPr="00727DE0">
        <w:rPr>
          <w:rFonts w:cstheme="minorHAnsi"/>
          <w:sz w:val="24"/>
          <w:szCs w:val="24"/>
        </w:rPr>
        <w:t xml:space="preserve">This article is © </w:t>
      </w:r>
      <w:r w:rsidR="00FB384C" w:rsidRPr="00727DE0">
        <w:rPr>
          <w:rFonts w:cstheme="minorHAnsi"/>
          <w:sz w:val="24"/>
          <w:szCs w:val="24"/>
        </w:rPr>
        <w:t>Wiley</w:t>
      </w:r>
      <w:r w:rsidR="000A7622" w:rsidRPr="00727DE0">
        <w:rPr>
          <w:rFonts w:cstheme="minorHAnsi"/>
          <w:sz w:val="24"/>
          <w:szCs w:val="24"/>
        </w:rPr>
        <w:t xml:space="preserve"> and permission has been granted for this version to appear in </w:t>
      </w:r>
      <w:hyperlink r:id="rId9" w:history="1">
        <w:r w:rsidR="000A7622" w:rsidRPr="00727DE0">
          <w:rPr>
            <w:rFonts w:cstheme="minorHAnsi"/>
            <w:color w:val="0563C1" w:themeColor="hyperlink"/>
            <w:sz w:val="24"/>
            <w:szCs w:val="24"/>
            <w:u w:val="single"/>
          </w:rPr>
          <w:t>e-Publications@Marquette</w:t>
        </w:r>
      </w:hyperlink>
      <w:r w:rsidR="000A7622" w:rsidRPr="00727DE0">
        <w:rPr>
          <w:rFonts w:cstheme="minorHAnsi"/>
          <w:sz w:val="24"/>
          <w:szCs w:val="24"/>
        </w:rPr>
        <w:t xml:space="preserve">. </w:t>
      </w:r>
      <w:r w:rsidR="00FB384C" w:rsidRPr="00727DE0">
        <w:rPr>
          <w:rFonts w:cstheme="minorHAnsi"/>
          <w:sz w:val="24"/>
          <w:szCs w:val="24"/>
        </w:rPr>
        <w:t>Wiley</w:t>
      </w:r>
      <w:r w:rsidR="000A7622" w:rsidRPr="00727DE0">
        <w:rPr>
          <w:rFonts w:cstheme="minorHAnsi"/>
          <w:sz w:val="24"/>
          <w:szCs w:val="24"/>
        </w:rPr>
        <w:t xml:space="preserve"> does not grant permission for this article to be further copied/distributed or hosted elsewhere without the express permission from </w:t>
      </w:r>
      <w:r w:rsidR="00FB384C" w:rsidRPr="00727DE0">
        <w:rPr>
          <w:rFonts w:cstheme="minorHAnsi"/>
          <w:sz w:val="24"/>
          <w:szCs w:val="24"/>
        </w:rPr>
        <w:t>Wiley</w:t>
      </w:r>
      <w:r w:rsidR="000A7622" w:rsidRPr="00727DE0">
        <w:rPr>
          <w:rFonts w:cstheme="minorHAnsi"/>
          <w:sz w:val="24"/>
          <w:szCs w:val="24"/>
        </w:rPr>
        <w:t xml:space="preserve">. </w:t>
      </w:r>
    </w:p>
    <w:bookmarkEnd w:id="2"/>
    <w:p w14:paraId="5BC0075B" w14:textId="5313E10F" w:rsidR="000A7622" w:rsidRPr="00727DE0" w:rsidRDefault="000A7622" w:rsidP="000A7622">
      <w:pPr>
        <w:rPr>
          <w:rFonts w:cstheme="minorHAnsi"/>
        </w:rPr>
      </w:pPr>
    </w:p>
    <w:p w14:paraId="0F6E0D57" w14:textId="63A46BCF" w:rsidR="00EE6386" w:rsidRPr="00727DE0" w:rsidRDefault="00EE6386" w:rsidP="00EE6386">
      <w:pPr>
        <w:pStyle w:val="Title"/>
        <w:rPr>
          <w:rFonts w:asciiTheme="minorHAnsi" w:hAnsiTheme="minorHAnsi" w:cstheme="minorHAnsi"/>
        </w:rPr>
      </w:pPr>
      <w:r w:rsidRPr="00727DE0">
        <w:rPr>
          <w:rFonts w:asciiTheme="minorHAnsi" w:hAnsiTheme="minorHAnsi" w:cstheme="minorHAnsi"/>
        </w:rPr>
        <w:t xml:space="preserve">Spatially </w:t>
      </w:r>
      <w:r w:rsidR="00454D8B" w:rsidRPr="00727DE0">
        <w:rPr>
          <w:rFonts w:asciiTheme="minorHAnsi" w:hAnsiTheme="minorHAnsi" w:cstheme="minorHAnsi"/>
        </w:rPr>
        <w:t xml:space="preserve">Disjunct Effects </w:t>
      </w:r>
      <w:r w:rsidRPr="00727DE0">
        <w:rPr>
          <w:rFonts w:asciiTheme="minorHAnsi" w:hAnsiTheme="minorHAnsi" w:cstheme="minorHAnsi"/>
        </w:rPr>
        <w:t xml:space="preserve">of </w:t>
      </w:r>
      <w:r w:rsidR="00454D8B" w:rsidRPr="00727DE0">
        <w:rPr>
          <w:rFonts w:asciiTheme="minorHAnsi" w:hAnsiTheme="minorHAnsi" w:cstheme="minorHAnsi"/>
        </w:rPr>
        <w:t>Co</w:t>
      </w:r>
      <w:r w:rsidRPr="00727DE0">
        <w:rPr>
          <w:rFonts w:asciiTheme="minorHAnsi" w:hAnsiTheme="minorHAnsi" w:cstheme="minorHAnsi"/>
        </w:rPr>
        <w:t xml:space="preserve">‐occurring </w:t>
      </w:r>
      <w:r w:rsidR="00454D8B" w:rsidRPr="00727DE0">
        <w:rPr>
          <w:rFonts w:asciiTheme="minorHAnsi" w:hAnsiTheme="minorHAnsi" w:cstheme="minorHAnsi"/>
        </w:rPr>
        <w:t xml:space="preserve">Competition </w:t>
      </w:r>
      <w:r w:rsidRPr="00727DE0">
        <w:rPr>
          <w:rFonts w:asciiTheme="minorHAnsi" w:hAnsiTheme="minorHAnsi" w:cstheme="minorHAnsi"/>
        </w:rPr>
        <w:t xml:space="preserve">and </w:t>
      </w:r>
      <w:r w:rsidR="00454D8B" w:rsidRPr="00727DE0">
        <w:rPr>
          <w:rFonts w:asciiTheme="minorHAnsi" w:hAnsiTheme="minorHAnsi" w:cstheme="minorHAnsi"/>
        </w:rPr>
        <w:t>Facilitation</w:t>
      </w:r>
    </w:p>
    <w:p w14:paraId="7587C541" w14:textId="77777777" w:rsidR="00454D8B" w:rsidRPr="00727DE0" w:rsidRDefault="00454D8B" w:rsidP="000633BD">
      <w:pPr>
        <w:pStyle w:val="NoSpacing"/>
        <w:spacing w:line="259" w:lineRule="auto"/>
        <w:rPr>
          <w:rFonts w:cstheme="minorHAnsi"/>
          <w:sz w:val="32"/>
          <w:szCs w:val="32"/>
        </w:rPr>
      </w:pPr>
    </w:p>
    <w:p w14:paraId="7BD4A948" w14:textId="35C8DB09" w:rsidR="006A30ED" w:rsidRPr="00727DE0" w:rsidRDefault="006A30ED" w:rsidP="000633BD">
      <w:pPr>
        <w:pStyle w:val="NoSpacing"/>
        <w:spacing w:line="259" w:lineRule="auto"/>
        <w:rPr>
          <w:rFonts w:cstheme="minorHAnsi"/>
          <w:sz w:val="32"/>
          <w:szCs w:val="32"/>
        </w:rPr>
      </w:pPr>
      <w:r w:rsidRPr="00727DE0">
        <w:rPr>
          <w:rFonts w:cstheme="minorHAnsi"/>
          <w:sz w:val="32"/>
          <w:szCs w:val="32"/>
        </w:rPr>
        <w:t>Ian A. Dickie</w:t>
      </w:r>
    </w:p>
    <w:p w14:paraId="48B49039" w14:textId="38A7C95A" w:rsidR="00690C5F" w:rsidRPr="00727DE0" w:rsidRDefault="006A30ED" w:rsidP="000633BD">
      <w:pPr>
        <w:pStyle w:val="NoSpacing"/>
        <w:spacing w:line="259" w:lineRule="auto"/>
        <w:rPr>
          <w:rFonts w:cstheme="minorHAnsi"/>
        </w:rPr>
      </w:pPr>
      <w:r w:rsidRPr="00727DE0">
        <w:rPr>
          <w:rFonts w:cstheme="minorHAnsi"/>
        </w:rPr>
        <w:t>Department of Forest Resources, University of Minnesota, Green Hall, St Paul, MN 55108, USA</w:t>
      </w:r>
      <w:r w:rsidR="00690C5F" w:rsidRPr="00727DE0">
        <w:rPr>
          <w:rFonts w:cstheme="minorHAnsi"/>
        </w:rPr>
        <w:t> </w:t>
      </w:r>
    </w:p>
    <w:p w14:paraId="520DBC7D" w14:textId="2BA18A96" w:rsidR="00690C5F" w:rsidRPr="00727DE0" w:rsidRDefault="00690C5F" w:rsidP="000633BD">
      <w:pPr>
        <w:pStyle w:val="NoSpacing"/>
        <w:spacing w:line="259" w:lineRule="auto"/>
        <w:rPr>
          <w:rFonts w:cstheme="minorHAnsi"/>
          <w:sz w:val="32"/>
          <w:szCs w:val="32"/>
        </w:rPr>
      </w:pPr>
      <w:r w:rsidRPr="00727DE0">
        <w:rPr>
          <w:rFonts w:cstheme="minorHAnsi"/>
          <w:sz w:val="32"/>
          <w:szCs w:val="32"/>
        </w:rPr>
        <w:t>Stefan A. Schnitzer</w:t>
      </w:r>
    </w:p>
    <w:p w14:paraId="7404E2D2" w14:textId="77777777" w:rsidR="00690C5F" w:rsidRPr="00727DE0" w:rsidRDefault="00690C5F" w:rsidP="000633BD">
      <w:pPr>
        <w:pStyle w:val="NoSpacing"/>
        <w:spacing w:line="259" w:lineRule="auto"/>
        <w:rPr>
          <w:rFonts w:cstheme="minorHAnsi"/>
        </w:rPr>
      </w:pPr>
      <w:r w:rsidRPr="00727DE0">
        <w:rPr>
          <w:rFonts w:cstheme="minorHAnsi"/>
        </w:rPr>
        <w:t>Department of Forest Resources, University of Minnesota, Green Hall, St Paul, MN 55108, USA</w:t>
      </w:r>
    </w:p>
    <w:p w14:paraId="7A7E8334" w14:textId="6F4E5D4D" w:rsidR="00690C5F" w:rsidRPr="00727DE0" w:rsidRDefault="00690C5F" w:rsidP="000633BD">
      <w:pPr>
        <w:pStyle w:val="NoSpacing"/>
        <w:spacing w:line="259" w:lineRule="auto"/>
        <w:rPr>
          <w:rFonts w:cstheme="minorHAnsi"/>
        </w:rPr>
      </w:pPr>
      <w:r w:rsidRPr="00727DE0">
        <w:rPr>
          <w:rFonts w:cstheme="minorHAnsi"/>
        </w:rPr>
        <w:t>Present address: University of Wisconsin–Milwaukee, PO Box 413, Milwaukee, WI 53201, USA</w:t>
      </w:r>
    </w:p>
    <w:p w14:paraId="125F10B1" w14:textId="62582DA3" w:rsidR="00451540" w:rsidRPr="00727DE0" w:rsidRDefault="00451540" w:rsidP="000633BD">
      <w:pPr>
        <w:pStyle w:val="NoSpacing"/>
        <w:spacing w:line="259" w:lineRule="auto"/>
        <w:rPr>
          <w:rFonts w:cstheme="minorHAnsi"/>
          <w:sz w:val="32"/>
          <w:szCs w:val="32"/>
        </w:rPr>
      </w:pPr>
      <w:r w:rsidRPr="00727DE0">
        <w:rPr>
          <w:rFonts w:cstheme="minorHAnsi"/>
          <w:sz w:val="32"/>
          <w:szCs w:val="32"/>
        </w:rPr>
        <w:t>Peter B. Reich</w:t>
      </w:r>
    </w:p>
    <w:p w14:paraId="64101756" w14:textId="77777777" w:rsidR="00451540" w:rsidRPr="00727DE0" w:rsidRDefault="00451540" w:rsidP="000633BD">
      <w:pPr>
        <w:pStyle w:val="NoSpacing"/>
        <w:spacing w:line="259" w:lineRule="auto"/>
        <w:rPr>
          <w:rFonts w:cstheme="minorHAnsi"/>
        </w:rPr>
      </w:pPr>
      <w:r w:rsidRPr="00727DE0">
        <w:rPr>
          <w:rFonts w:cstheme="minorHAnsi"/>
        </w:rPr>
        <w:t>Department of Forest Resources, University of Minnesota, Green Hall, St Paul, MN 55108, USA</w:t>
      </w:r>
    </w:p>
    <w:p w14:paraId="295465CD" w14:textId="22B1E5EE" w:rsidR="00451540" w:rsidRPr="00727DE0" w:rsidRDefault="00451540" w:rsidP="000633BD">
      <w:pPr>
        <w:pStyle w:val="NoSpacing"/>
        <w:spacing w:line="259" w:lineRule="auto"/>
        <w:rPr>
          <w:rFonts w:cstheme="minorHAnsi"/>
          <w:sz w:val="32"/>
          <w:szCs w:val="32"/>
        </w:rPr>
      </w:pPr>
      <w:r w:rsidRPr="00727DE0">
        <w:rPr>
          <w:rFonts w:cstheme="minorHAnsi"/>
          <w:sz w:val="32"/>
          <w:szCs w:val="32"/>
        </w:rPr>
        <w:t>Sarah E. Hobbie</w:t>
      </w:r>
    </w:p>
    <w:p w14:paraId="25D2221F" w14:textId="77777777" w:rsidR="00451540" w:rsidRPr="00727DE0" w:rsidRDefault="00451540" w:rsidP="000633BD">
      <w:pPr>
        <w:pStyle w:val="NoSpacing"/>
        <w:spacing w:line="259" w:lineRule="auto"/>
        <w:rPr>
          <w:rFonts w:cstheme="minorHAnsi"/>
        </w:rPr>
      </w:pPr>
      <w:r w:rsidRPr="00727DE0">
        <w:rPr>
          <w:rFonts w:cstheme="minorHAnsi"/>
        </w:rPr>
        <w:t>Department of Ecology, Evolution, and Behavior, University of Minnesota, St Paul, MN 55108, USA</w:t>
      </w:r>
    </w:p>
    <w:p w14:paraId="7ABACAD0" w14:textId="77777777" w:rsidR="001C5D41" w:rsidRPr="00727DE0" w:rsidRDefault="001C5D41" w:rsidP="000A7622">
      <w:pPr>
        <w:rPr>
          <w:rFonts w:cstheme="minorHAnsi"/>
        </w:rPr>
      </w:pPr>
    </w:p>
    <w:p w14:paraId="71529FA8" w14:textId="77777777" w:rsidR="00BA109F" w:rsidRPr="00727DE0" w:rsidRDefault="00BA109F" w:rsidP="000633BD">
      <w:pPr>
        <w:pStyle w:val="Heading1"/>
        <w:rPr>
          <w:rFonts w:asciiTheme="minorHAnsi" w:hAnsiTheme="minorHAnsi" w:cstheme="minorHAnsi"/>
        </w:rPr>
      </w:pPr>
      <w:r w:rsidRPr="00727DE0">
        <w:rPr>
          <w:rFonts w:asciiTheme="minorHAnsi" w:hAnsiTheme="minorHAnsi" w:cstheme="minorHAnsi"/>
        </w:rPr>
        <w:t>Abstract</w:t>
      </w:r>
    </w:p>
    <w:p w14:paraId="09C3EFF0" w14:textId="77777777" w:rsidR="00BA109F" w:rsidRPr="00727DE0" w:rsidRDefault="00BA109F" w:rsidP="000633BD">
      <w:pPr>
        <w:rPr>
          <w:rFonts w:cstheme="minorHAnsi"/>
        </w:rPr>
      </w:pPr>
      <w:r w:rsidRPr="00727DE0">
        <w:rPr>
          <w:rFonts w:cstheme="minorHAnsi"/>
        </w:rPr>
        <w:t>Little is known of the co‐occurrence and implications of competitive and facilitative interactions within sites. Here we show spatially disjunct competition and facilitation at forest edges, with beneficial influences of trees on seedling growth via increased ectomycorrhizal infection apparent from 12 to 20</w:t>
      </w:r>
      <w:r w:rsidRPr="00727DE0">
        <w:rPr>
          <w:rFonts w:cstheme="minorHAnsi"/>
        </w:rPr>
        <w:t> </w:t>
      </w:r>
      <w:r w:rsidRPr="00727DE0">
        <w:rPr>
          <w:rFonts w:cstheme="minorHAnsi"/>
        </w:rPr>
        <w:t>m while closer to trees seedling growth is negatively correlated with canopy closure. As a result, seedling growth is maximized at intermediate distances. Facilitative interactions were nonlinear: being within 15.7</w:t>
      </w:r>
      <w:r w:rsidRPr="00727DE0">
        <w:rPr>
          <w:rFonts w:cstheme="minorHAnsi"/>
        </w:rPr>
        <w:t> </w:t>
      </w:r>
      <w:r w:rsidRPr="00727DE0">
        <w:rPr>
          <w:rFonts w:cstheme="minorHAnsi"/>
        </w:rPr>
        <w:t xml:space="preserve">m of a tree maximized </w:t>
      </w:r>
      <w:r w:rsidRPr="00727DE0">
        <w:rPr>
          <w:rFonts w:cstheme="minorHAnsi"/>
        </w:rPr>
        <w:lastRenderedPageBreak/>
        <w:t>seedling mycorrhizal infection; while competitive effects were correlated with canopy closure, which was related to distance and generally scales with density. These patterns result in a positive correlation of tree density and seedling growth at low densities of trees, and negative correlation at higher densities because of competition. A spatial model suggests that plant communities are a mosaic of positive and negative interactions, which may contribute to population homeostasis and plant diversity.</w:t>
      </w:r>
    </w:p>
    <w:p w14:paraId="3CD88010" w14:textId="77777777" w:rsidR="00BA109F" w:rsidRPr="00727DE0" w:rsidRDefault="00BA109F" w:rsidP="000633BD">
      <w:pPr>
        <w:pStyle w:val="Heading1"/>
        <w:rPr>
          <w:rFonts w:asciiTheme="minorHAnsi" w:hAnsiTheme="minorHAnsi" w:cstheme="minorHAnsi"/>
        </w:rPr>
      </w:pPr>
      <w:r w:rsidRPr="00727DE0">
        <w:rPr>
          <w:rFonts w:asciiTheme="minorHAnsi" w:hAnsiTheme="minorHAnsi" w:cstheme="minorHAnsi"/>
        </w:rPr>
        <w:t>Introduction</w:t>
      </w:r>
    </w:p>
    <w:p w14:paraId="58B5B04A" w14:textId="77777777" w:rsidR="00BA109F" w:rsidRPr="00727DE0" w:rsidRDefault="00BA109F" w:rsidP="000633BD">
      <w:pPr>
        <w:rPr>
          <w:rFonts w:cstheme="minorHAnsi"/>
        </w:rPr>
      </w:pPr>
      <w:r w:rsidRPr="00727DE0">
        <w:rPr>
          <w:rFonts w:cstheme="minorHAnsi"/>
        </w:rPr>
        <w:t>The establishment of seedlings may be both inhibited and facilitated by established plants (</w:t>
      </w:r>
      <w:hyperlink r:id="rId10" w:anchor="b17" w:history="1">
        <w:r w:rsidRPr="00727DE0">
          <w:rPr>
            <w:rStyle w:val="Hyperlink"/>
            <w:rFonts w:eastAsiaTheme="majorEastAsia" w:cstheme="minorHAnsi"/>
            <w:b/>
            <w:bCs/>
            <w:color w:val="000000"/>
          </w:rPr>
          <w:t>Connell &amp; Slatyer 1977</w:t>
        </w:r>
      </w:hyperlink>
      <w:r w:rsidRPr="00727DE0">
        <w:rPr>
          <w:rFonts w:cstheme="minorHAnsi"/>
        </w:rPr>
        <w:t>; </w:t>
      </w:r>
      <w:hyperlink r:id="rId11" w:anchor="b13" w:history="1">
        <w:r w:rsidRPr="00727DE0">
          <w:rPr>
            <w:rStyle w:val="Hyperlink"/>
            <w:rFonts w:eastAsiaTheme="majorEastAsia" w:cstheme="minorHAnsi"/>
            <w:b/>
            <w:bCs/>
            <w:color w:val="000000"/>
          </w:rPr>
          <w:t>Callaway &amp; Walker 1997</w:t>
        </w:r>
      </w:hyperlink>
      <w:r w:rsidRPr="00727DE0">
        <w:rPr>
          <w:rFonts w:cstheme="minorHAnsi"/>
        </w:rPr>
        <w:t>). Facilitation may occur where established plants increase the availability of otherwise limiting symbionts, provide increased water or nutrients or ameliorate harsh environmental conditions (</w:t>
      </w:r>
      <w:hyperlink r:id="rId12" w:anchor="b12" w:history="1">
        <w:r w:rsidRPr="00727DE0">
          <w:rPr>
            <w:rStyle w:val="Hyperlink"/>
            <w:rFonts w:eastAsiaTheme="majorEastAsia" w:cstheme="minorHAnsi"/>
            <w:b/>
            <w:bCs/>
            <w:color w:val="000000"/>
          </w:rPr>
          <w:t>Callaway 1995</w:t>
        </w:r>
      </w:hyperlink>
      <w:r w:rsidRPr="00727DE0">
        <w:rPr>
          <w:rFonts w:cstheme="minorHAnsi"/>
        </w:rPr>
        <w:t>; </w:t>
      </w:r>
      <w:hyperlink r:id="rId13" w:anchor="b10" w:history="1">
        <w:r w:rsidRPr="00727DE0">
          <w:rPr>
            <w:rStyle w:val="Hyperlink"/>
            <w:rFonts w:eastAsiaTheme="majorEastAsia" w:cstheme="minorHAnsi"/>
            <w:b/>
            <w:bCs/>
            <w:color w:val="000000"/>
          </w:rPr>
          <w:t>Bruno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2003</w:t>
        </w:r>
      </w:hyperlink>
      <w:r w:rsidRPr="00727DE0">
        <w:rPr>
          <w:rFonts w:cstheme="minorHAnsi"/>
        </w:rPr>
        <w:t>). At the same time, established plants may inhibit the establishment of seedlings through competition, allelopathy, or by increasing populations of herbivores and pathogens (</w:t>
      </w:r>
      <w:hyperlink r:id="rId14" w:anchor="b46" w:history="1">
        <w:r w:rsidRPr="00727DE0">
          <w:rPr>
            <w:rStyle w:val="Hyperlink"/>
            <w:rFonts w:eastAsiaTheme="majorEastAsia" w:cstheme="minorHAnsi"/>
            <w:b/>
            <w:bCs/>
            <w:color w:val="000000"/>
          </w:rPr>
          <w:t>Tilman 1982</w:t>
        </w:r>
      </w:hyperlink>
      <w:r w:rsidRPr="00727DE0">
        <w:rPr>
          <w:rFonts w:cstheme="minorHAnsi"/>
        </w:rPr>
        <w:t>; </w:t>
      </w:r>
      <w:hyperlink r:id="rId15" w:anchor="b35" w:history="1">
        <w:r w:rsidRPr="00727DE0">
          <w:rPr>
            <w:rStyle w:val="Hyperlink"/>
            <w:rFonts w:eastAsiaTheme="majorEastAsia" w:cstheme="minorHAnsi"/>
            <w:b/>
            <w:bCs/>
            <w:color w:val="000000"/>
          </w:rPr>
          <w:t>Packer &amp; Clay 2003</w:t>
        </w:r>
      </w:hyperlink>
      <w:r w:rsidRPr="00727DE0">
        <w:rPr>
          <w:rFonts w:cstheme="minorHAnsi"/>
        </w:rPr>
        <w:t>). Positive and negative interactions between established plants and seedlings are believed to influence plant succession (</w:t>
      </w:r>
      <w:hyperlink r:id="rId16" w:anchor="b39" w:history="1">
        <w:r w:rsidRPr="00727DE0">
          <w:rPr>
            <w:rStyle w:val="Hyperlink"/>
            <w:rFonts w:eastAsiaTheme="majorEastAsia" w:cstheme="minorHAnsi"/>
            <w:b/>
            <w:bCs/>
            <w:color w:val="000000"/>
          </w:rPr>
          <w:t>Pickett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1987</w:t>
        </w:r>
      </w:hyperlink>
      <w:r w:rsidRPr="00727DE0">
        <w:rPr>
          <w:rFonts w:cstheme="minorHAnsi"/>
        </w:rPr>
        <w:t>), invasion (</w:t>
      </w:r>
      <w:hyperlink r:id="rId17" w:anchor="b16" w:history="1">
        <w:r w:rsidRPr="00727DE0">
          <w:rPr>
            <w:rStyle w:val="Hyperlink"/>
            <w:rFonts w:eastAsiaTheme="majorEastAsia" w:cstheme="minorHAnsi"/>
            <w:b/>
            <w:bCs/>
            <w:color w:val="000000"/>
          </w:rPr>
          <w:t>Callaway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2004</w:t>
        </w:r>
      </w:hyperlink>
      <w:r w:rsidRPr="00727DE0">
        <w:rPr>
          <w:rFonts w:cstheme="minorHAnsi"/>
        </w:rPr>
        <w:t>; </w:t>
      </w:r>
      <w:hyperlink r:id="rId18" w:anchor="b42" w:history="1">
        <w:r w:rsidRPr="00727DE0">
          <w:rPr>
            <w:rStyle w:val="Hyperlink"/>
            <w:rFonts w:eastAsiaTheme="majorEastAsia" w:cstheme="minorHAnsi"/>
            <w:b/>
            <w:bCs/>
            <w:color w:val="000000"/>
          </w:rPr>
          <w:t>Reinhart &amp; Callaway 2004</w:t>
        </w:r>
      </w:hyperlink>
      <w:r w:rsidRPr="00727DE0">
        <w:rPr>
          <w:rFonts w:cstheme="minorHAnsi"/>
        </w:rPr>
        <w:t>), diversity (</w:t>
      </w:r>
      <w:hyperlink r:id="rId19" w:anchor="b27" w:history="1">
        <w:r w:rsidRPr="00727DE0">
          <w:rPr>
            <w:rStyle w:val="Hyperlink"/>
            <w:rFonts w:eastAsiaTheme="majorEastAsia" w:cstheme="minorHAnsi"/>
            <w:b/>
            <w:bCs/>
            <w:color w:val="000000"/>
          </w:rPr>
          <w:t>Janzen 1970</w:t>
        </w:r>
      </w:hyperlink>
      <w:r w:rsidRPr="00727DE0">
        <w:rPr>
          <w:rFonts w:cstheme="minorHAnsi"/>
        </w:rPr>
        <w:t>; </w:t>
      </w:r>
      <w:hyperlink r:id="rId20" w:anchor="b4" w:history="1">
        <w:r w:rsidRPr="00727DE0">
          <w:rPr>
            <w:rStyle w:val="Hyperlink"/>
            <w:rFonts w:eastAsiaTheme="majorEastAsia" w:cstheme="minorHAnsi"/>
            <w:b/>
            <w:bCs/>
            <w:color w:val="000000"/>
          </w:rPr>
          <w:t>Bever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1997</w:t>
        </w:r>
      </w:hyperlink>
      <w:r w:rsidRPr="00727DE0">
        <w:rPr>
          <w:rFonts w:cstheme="minorHAnsi"/>
        </w:rPr>
        <w:t>; </w:t>
      </w:r>
      <w:hyperlink r:id="rId21" w:anchor="b24" w:history="1">
        <w:r w:rsidRPr="00727DE0">
          <w:rPr>
            <w:rStyle w:val="Hyperlink"/>
            <w:rFonts w:eastAsiaTheme="majorEastAsia" w:cstheme="minorHAnsi"/>
            <w:b/>
            <w:bCs/>
            <w:color w:val="000000"/>
          </w:rPr>
          <w:t>Hacker &amp; Gaines 1997</w:t>
        </w:r>
      </w:hyperlink>
      <w:r w:rsidRPr="00727DE0">
        <w:rPr>
          <w:rFonts w:cstheme="minorHAnsi"/>
        </w:rPr>
        <w:t>), and ecosystem resilience and stability (</w:t>
      </w:r>
      <w:hyperlink r:id="rId22" w:anchor="b36" w:history="1">
        <w:r w:rsidRPr="00727DE0">
          <w:rPr>
            <w:rStyle w:val="Hyperlink"/>
            <w:rFonts w:eastAsiaTheme="majorEastAsia" w:cstheme="minorHAnsi"/>
            <w:b/>
            <w:bCs/>
            <w:color w:val="000000"/>
          </w:rPr>
          <w:t>Perry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1989</w:t>
        </w:r>
      </w:hyperlink>
      <w:r w:rsidRPr="00727DE0">
        <w:rPr>
          <w:rFonts w:cstheme="minorHAnsi"/>
        </w:rPr>
        <w:t>). There has therefore been a great deal of interest in competition and facilitation and the environmental factors that regulate the balance between these positive and negative interactions (</w:t>
      </w:r>
      <w:hyperlink r:id="rId23" w:anchor="b3" w:history="1">
        <w:r w:rsidRPr="00727DE0">
          <w:rPr>
            <w:rStyle w:val="Hyperlink"/>
            <w:rFonts w:eastAsiaTheme="majorEastAsia" w:cstheme="minorHAnsi"/>
            <w:b/>
            <w:bCs/>
            <w:color w:val="000000"/>
          </w:rPr>
          <w:t>Berkowitz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1995</w:t>
        </w:r>
      </w:hyperlink>
      <w:r w:rsidRPr="00727DE0">
        <w:rPr>
          <w:rFonts w:cstheme="minorHAnsi"/>
        </w:rPr>
        <w:t>; </w:t>
      </w:r>
      <w:hyperlink r:id="rId24" w:anchor="b25" w:history="1">
        <w:r w:rsidRPr="00727DE0">
          <w:rPr>
            <w:rStyle w:val="Hyperlink"/>
            <w:rFonts w:eastAsiaTheme="majorEastAsia" w:cstheme="minorHAnsi"/>
            <w:b/>
            <w:bCs/>
            <w:color w:val="000000"/>
          </w:rPr>
          <w:t>Holmgren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1997</w:t>
        </w:r>
      </w:hyperlink>
      <w:r w:rsidRPr="00727DE0">
        <w:rPr>
          <w:rFonts w:cstheme="minorHAnsi"/>
        </w:rPr>
        <w:t>; </w:t>
      </w:r>
      <w:hyperlink r:id="rId25" w:anchor="b8" w:history="1">
        <w:r w:rsidRPr="00727DE0">
          <w:rPr>
            <w:rStyle w:val="Hyperlink"/>
            <w:rFonts w:eastAsiaTheme="majorEastAsia" w:cstheme="minorHAnsi"/>
            <w:b/>
            <w:bCs/>
            <w:color w:val="000000"/>
          </w:rPr>
          <w:t>Brooker &amp; Callaghan 1998</w:t>
        </w:r>
      </w:hyperlink>
      <w:r w:rsidRPr="00727DE0">
        <w:rPr>
          <w:rFonts w:cstheme="minorHAnsi"/>
        </w:rPr>
        <w:t>; </w:t>
      </w:r>
      <w:hyperlink r:id="rId26" w:anchor="b31" w:history="1">
        <w:r w:rsidRPr="00727DE0">
          <w:rPr>
            <w:rStyle w:val="Hyperlink"/>
            <w:rFonts w:eastAsiaTheme="majorEastAsia" w:cstheme="minorHAnsi"/>
            <w:b/>
            <w:bCs/>
            <w:color w:val="000000"/>
          </w:rPr>
          <w:t>Maestre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2005</w:t>
        </w:r>
      </w:hyperlink>
      <w:r w:rsidRPr="00727DE0">
        <w:rPr>
          <w:rFonts w:cstheme="minorHAnsi"/>
        </w:rPr>
        <w:t>). Nonetheless, most researchers have focused on between‐site differences, particularly along stress gradients (</w:t>
      </w:r>
      <w:hyperlink r:id="rId27" w:anchor="b13" w:history="1">
        <w:r w:rsidRPr="00727DE0">
          <w:rPr>
            <w:rStyle w:val="Hyperlink"/>
            <w:rFonts w:eastAsiaTheme="majorEastAsia" w:cstheme="minorHAnsi"/>
            <w:b/>
            <w:bCs/>
            <w:color w:val="000000"/>
          </w:rPr>
          <w:t>Callaway &amp; Walker 1997</w:t>
        </w:r>
      </w:hyperlink>
      <w:r w:rsidRPr="00727DE0">
        <w:rPr>
          <w:rFonts w:cstheme="minorHAnsi"/>
        </w:rPr>
        <w:t>; </w:t>
      </w:r>
      <w:hyperlink r:id="rId28" w:anchor="b40" w:history="1">
        <w:r w:rsidRPr="00727DE0">
          <w:rPr>
            <w:rStyle w:val="Hyperlink"/>
            <w:rFonts w:eastAsiaTheme="majorEastAsia" w:cstheme="minorHAnsi"/>
            <w:b/>
            <w:bCs/>
            <w:color w:val="000000"/>
          </w:rPr>
          <w:t>Pugnaire &amp; Luque 2001</w:t>
        </w:r>
      </w:hyperlink>
      <w:r w:rsidRPr="00727DE0">
        <w:rPr>
          <w:rFonts w:cstheme="minorHAnsi"/>
        </w:rPr>
        <w:t>; </w:t>
      </w:r>
      <w:hyperlink r:id="rId29" w:anchor="b15" w:history="1">
        <w:r w:rsidRPr="00727DE0">
          <w:rPr>
            <w:rStyle w:val="Hyperlink"/>
            <w:rFonts w:eastAsiaTheme="majorEastAsia" w:cstheme="minorHAnsi"/>
            <w:b/>
            <w:bCs/>
            <w:color w:val="000000"/>
          </w:rPr>
          <w:t>Callaway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2002</w:t>
        </w:r>
      </w:hyperlink>
      <w:r w:rsidRPr="00727DE0">
        <w:rPr>
          <w:rFonts w:cstheme="minorHAnsi"/>
        </w:rPr>
        <w:t>). While it has been recognized that competition and facilitation commonly co‐occur within sites, the net effect has generally been assumed to be spatially uniform (</w:t>
      </w:r>
      <w:hyperlink r:id="rId30" w:anchor="b14" w:history="1">
        <w:r w:rsidRPr="00727DE0">
          <w:rPr>
            <w:rStyle w:val="Hyperlink"/>
            <w:rFonts w:eastAsiaTheme="majorEastAsia" w:cstheme="minorHAnsi"/>
            <w:b/>
            <w:bCs/>
            <w:color w:val="000000"/>
          </w:rPr>
          <w:t>Callaway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1991</w:t>
        </w:r>
      </w:hyperlink>
      <w:r w:rsidRPr="00727DE0">
        <w:rPr>
          <w:rFonts w:cstheme="minorHAnsi"/>
        </w:rPr>
        <w:t>; </w:t>
      </w:r>
      <w:hyperlink r:id="rId31" w:anchor="b12" w:history="1">
        <w:r w:rsidRPr="00727DE0">
          <w:rPr>
            <w:rStyle w:val="Hyperlink"/>
            <w:rFonts w:eastAsiaTheme="majorEastAsia" w:cstheme="minorHAnsi"/>
            <w:b/>
            <w:bCs/>
            <w:color w:val="000000"/>
          </w:rPr>
          <w:t>Callaway 1995</w:t>
        </w:r>
      </w:hyperlink>
      <w:r w:rsidRPr="00727DE0">
        <w:rPr>
          <w:rFonts w:cstheme="minorHAnsi"/>
        </w:rPr>
        <w:t>). Currently, there is only limited understanding of how net competition and facilitation might spatially co‐occur within sites, potentially including both competition and facilitation from the same source to the same recipient.</w:t>
      </w:r>
    </w:p>
    <w:p w14:paraId="4D38F5DA" w14:textId="77777777" w:rsidR="00BA109F" w:rsidRPr="00727DE0" w:rsidRDefault="00BA109F" w:rsidP="000633BD">
      <w:pPr>
        <w:rPr>
          <w:rFonts w:cstheme="minorHAnsi"/>
        </w:rPr>
      </w:pPr>
      <w:r w:rsidRPr="00727DE0">
        <w:rPr>
          <w:rFonts w:cstheme="minorHAnsi"/>
        </w:rPr>
        <w:t>One system where spatial co‐occurrence of net competition and facilitation might be particularly likely is where established plants facilitate the establishment of seedlings by providing increased populations of root symbionts. Increased symbiotic infection of seedlings by established plants has been shown for ectomycorrhiza (</w:t>
      </w:r>
      <w:hyperlink r:id="rId32" w:anchor="b2" w:history="1">
        <w:r w:rsidRPr="00727DE0">
          <w:rPr>
            <w:rStyle w:val="Hyperlink"/>
            <w:rFonts w:eastAsiaTheme="majorEastAsia" w:cstheme="minorHAnsi"/>
            <w:b/>
            <w:bCs/>
            <w:color w:val="000000"/>
          </w:rPr>
          <w:t>Baylis 1980</w:t>
        </w:r>
      </w:hyperlink>
      <w:r w:rsidRPr="00727DE0">
        <w:rPr>
          <w:rFonts w:cstheme="minorHAnsi"/>
        </w:rPr>
        <w:t>; </w:t>
      </w:r>
      <w:hyperlink r:id="rId33" w:anchor="b36" w:history="1">
        <w:r w:rsidRPr="00727DE0">
          <w:rPr>
            <w:rStyle w:val="Hyperlink"/>
            <w:rFonts w:eastAsiaTheme="majorEastAsia" w:cstheme="minorHAnsi"/>
            <w:b/>
            <w:bCs/>
            <w:color w:val="000000"/>
          </w:rPr>
          <w:t>Perry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1989</w:t>
        </w:r>
      </w:hyperlink>
      <w:r w:rsidRPr="00727DE0">
        <w:rPr>
          <w:rFonts w:cstheme="minorHAnsi"/>
        </w:rPr>
        <w:t>; </w:t>
      </w:r>
      <w:hyperlink r:id="rId34" w:anchor="b21" w:history="1">
        <w:r w:rsidRPr="00727DE0">
          <w:rPr>
            <w:rStyle w:val="Hyperlink"/>
            <w:rFonts w:eastAsiaTheme="majorEastAsia" w:cstheme="minorHAnsi"/>
            <w:b/>
            <w:bCs/>
            <w:color w:val="000000"/>
          </w:rPr>
          <w:t>Dickie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2002</w:t>
        </w:r>
      </w:hyperlink>
      <w:r w:rsidRPr="00727DE0">
        <w:rPr>
          <w:rFonts w:cstheme="minorHAnsi"/>
        </w:rPr>
        <w:t>; </w:t>
      </w:r>
      <w:hyperlink r:id="rId35" w:anchor="b20" w:history="1">
        <w:r w:rsidRPr="00727DE0">
          <w:rPr>
            <w:rStyle w:val="Hyperlink"/>
            <w:rFonts w:eastAsiaTheme="majorEastAsia" w:cstheme="minorHAnsi"/>
            <w:b/>
            <w:bCs/>
            <w:color w:val="000000"/>
          </w:rPr>
          <w:t>Dickie &amp; Reich 2005</w:t>
        </w:r>
      </w:hyperlink>
      <w:r w:rsidRPr="00727DE0">
        <w:rPr>
          <w:rFonts w:cstheme="minorHAnsi"/>
        </w:rPr>
        <w:t>), arbuscular mycorrhiza (</w:t>
      </w:r>
      <w:hyperlink r:id="rId36" w:anchor="b49" w:history="1">
        <w:r w:rsidRPr="00727DE0">
          <w:rPr>
            <w:rStyle w:val="Hyperlink"/>
            <w:rFonts w:eastAsiaTheme="majorEastAsia" w:cstheme="minorHAnsi"/>
            <w:b/>
            <w:bCs/>
            <w:color w:val="000000"/>
          </w:rPr>
          <w:t>Weber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2005</w:t>
        </w:r>
      </w:hyperlink>
      <w:r w:rsidRPr="00727DE0">
        <w:rPr>
          <w:rFonts w:cstheme="minorHAnsi"/>
        </w:rPr>
        <w:t>), </w:t>
      </w:r>
      <w:r w:rsidRPr="00727DE0">
        <w:rPr>
          <w:rFonts w:cstheme="minorHAnsi"/>
          <w:i/>
          <w:iCs/>
        </w:rPr>
        <w:t>Frankia</w:t>
      </w:r>
      <w:r w:rsidRPr="00727DE0">
        <w:rPr>
          <w:rFonts w:cstheme="minorHAnsi"/>
        </w:rPr>
        <w:t> (</w:t>
      </w:r>
      <w:hyperlink r:id="rId37" w:anchor="b50" w:history="1">
        <w:r w:rsidRPr="00727DE0">
          <w:rPr>
            <w:rStyle w:val="Hyperlink"/>
            <w:rFonts w:eastAsiaTheme="majorEastAsia" w:cstheme="minorHAnsi"/>
            <w:b/>
            <w:bCs/>
            <w:color w:val="000000"/>
          </w:rPr>
          <w:t>Zimpfer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1999</w:t>
        </w:r>
      </w:hyperlink>
      <w:r w:rsidRPr="00727DE0">
        <w:rPr>
          <w:rFonts w:cstheme="minorHAnsi"/>
        </w:rPr>
        <w:t>) and to a lesser degree for Rhizobium (reviewed by </w:t>
      </w:r>
      <w:hyperlink r:id="rId38" w:anchor="b44" w:history="1">
        <w:r w:rsidRPr="00727DE0">
          <w:rPr>
            <w:rStyle w:val="Hyperlink"/>
            <w:rFonts w:eastAsiaTheme="majorEastAsia" w:cstheme="minorHAnsi"/>
            <w:b/>
            <w:bCs/>
            <w:color w:val="000000"/>
          </w:rPr>
          <w:t>Richardson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2000</w:t>
        </w:r>
      </w:hyperlink>
      <w:r w:rsidRPr="00727DE0">
        <w:rPr>
          <w:rFonts w:cstheme="minorHAnsi"/>
        </w:rPr>
        <w:t>). As more than 80% of plants associate with at least one type of root symbiont, interactions between established plants and seedling via symbionts might have substantial ecological importance. We would expect that these interactions might occur in spatially complex mosaics because (i) plant roots and their associated symbionts may spread beyond the extent of the canopy, potentially resulting in the spatial decoupling of root and shoot effects of trees on seedlings, and (ii) the benefits of growing near an established plant may depend primarily on the presence of its associated symbionts and therefore be a function of the presence or absence (as opposed to density) of plants within some threshold distance, while competitive interactions are more likely to scale as a function of neighbouring plant density or biomass (</w:t>
      </w:r>
      <w:hyperlink r:id="rId39" w:anchor="b21" w:history="1">
        <w:r w:rsidRPr="00727DE0">
          <w:rPr>
            <w:rStyle w:val="Hyperlink"/>
            <w:rFonts w:eastAsiaTheme="majorEastAsia" w:cstheme="minorHAnsi"/>
            <w:b/>
            <w:bCs/>
            <w:color w:val="000000"/>
          </w:rPr>
          <w:t>Dickie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2002</w:t>
        </w:r>
      </w:hyperlink>
      <w:r w:rsidRPr="00727DE0">
        <w:rPr>
          <w:rFonts w:cstheme="minorHAnsi"/>
        </w:rPr>
        <w:t>).</w:t>
      </w:r>
    </w:p>
    <w:p w14:paraId="1D3C8669" w14:textId="22B915CC" w:rsidR="00BA109F" w:rsidRPr="00727DE0" w:rsidRDefault="00BA109F" w:rsidP="000633BD">
      <w:pPr>
        <w:rPr>
          <w:rFonts w:cstheme="minorHAnsi"/>
        </w:rPr>
      </w:pPr>
      <w:r w:rsidRPr="00727DE0">
        <w:rPr>
          <w:rFonts w:cstheme="minorHAnsi"/>
        </w:rPr>
        <w:t>Here we examine the interactions between established plants and seedlings during seedling establishment, particularly focusing on facilitation via shared ectomycorrhizal symbionts. To manipulate proximity to established trees, we planted seedlings at varying distances from an established forest edge. First‐year results showed that ectomycorrhizal infection of seedlings increased as a nonlinear function with proximity to trees, being low distant from established trees and rapidly increasing where seedlings contacted the root zone and associated mycorrhizal fungi of established trees (</w:t>
      </w:r>
      <w:hyperlink r:id="rId40" w:anchor="b20" w:history="1">
        <w:r w:rsidRPr="00727DE0">
          <w:rPr>
            <w:rStyle w:val="Hyperlink"/>
            <w:rFonts w:eastAsiaTheme="majorEastAsia" w:cstheme="minorHAnsi"/>
            <w:b/>
            <w:bCs/>
            <w:color w:val="000000"/>
          </w:rPr>
          <w:t>Dickie &amp; Reich 2005</w:t>
        </w:r>
      </w:hyperlink>
      <w:r w:rsidRPr="00727DE0">
        <w:rPr>
          <w:rFonts w:cstheme="minorHAnsi"/>
        </w:rPr>
        <w:t>). In the present study we test the effects of this initial increase in ectomycorrhizal infection on seedling nutrient uptake and growth over 3</w:t>
      </w:r>
      <w:r w:rsidRPr="00727DE0">
        <w:rPr>
          <w:rFonts w:cstheme="minorHAnsi"/>
        </w:rPr>
        <w:t> </w:t>
      </w:r>
      <w:r w:rsidRPr="00727DE0">
        <w:rPr>
          <w:rFonts w:cstheme="minorHAnsi"/>
        </w:rPr>
        <w:t>years. We hypothesized that:</w:t>
      </w:r>
    </w:p>
    <w:p w14:paraId="3186030F" w14:textId="77777777" w:rsidR="000633BD" w:rsidRPr="00727DE0" w:rsidRDefault="000633BD" w:rsidP="000633BD">
      <w:pPr>
        <w:rPr>
          <w:rFonts w:cstheme="minorHAnsi"/>
        </w:rPr>
      </w:pPr>
    </w:p>
    <w:p w14:paraId="4E658065" w14:textId="02C2ED17" w:rsidR="00BA109F" w:rsidRPr="00727DE0" w:rsidRDefault="00BA109F" w:rsidP="00003B62">
      <w:pPr>
        <w:ind w:left="720"/>
        <w:rPr>
          <w:rFonts w:cstheme="minorHAnsi"/>
        </w:rPr>
      </w:pPr>
      <w:r w:rsidRPr="00727DE0">
        <w:rPr>
          <w:rStyle w:val="number"/>
          <w:rFonts w:cstheme="minorHAnsi"/>
        </w:rPr>
        <w:t>1</w:t>
      </w:r>
      <w:r w:rsidR="002C0B93" w:rsidRPr="00727DE0">
        <w:rPr>
          <w:rStyle w:val="number"/>
          <w:rFonts w:cstheme="minorHAnsi"/>
        </w:rPr>
        <w:t xml:space="preserve"> </w:t>
      </w:r>
      <w:r w:rsidRPr="00727DE0">
        <w:rPr>
          <w:rFonts w:cstheme="minorHAnsi"/>
        </w:rPr>
        <w:t>Nitrogen uptake and growth of seedlings would increase with proximity to established trees as a result of increased mycorrhizal infection.</w:t>
      </w:r>
    </w:p>
    <w:p w14:paraId="176F8FE5" w14:textId="617BBD7E" w:rsidR="00BA109F" w:rsidRPr="00727DE0" w:rsidRDefault="00BA109F" w:rsidP="00003B62">
      <w:pPr>
        <w:ind w:left="720"/>
        <w:rPr>
          <w:rFonts w:cstheme="minorHAnsi"/>
        </w:rPr>
      </w:pPr>
      <w:r w:rsidRPr="00727DE0">
        <w:rPr>
          <w:rStyle w:val="number"/>
          <w:rFonts w:cstheme="minorHAnsi"/>
        </w:rPr>
        <w:t>2</w:t>
      </w:r>
      <w:r w:rsidR="00003B62" w:rsidRPr="00727DE0">
        <w:rPr>
          <w:rStyle w:val="number"/>
          <w:rFonts w:cstheme="minorHAnsi"/>
        </w:rPr>
        <w:t xml:space="preserve"> </w:t>
      </w:r>
      <w:r w:rsidRPr="00727DE0">
        <w:rPr>
          <w:rFonts w:cstheme="minorHAnsi"/>
        </w:rPr>
        <w:t>The increase in growth of seedlings with proximity to trees would occur only up to an intermediate distance as a result of facilitation via shared symbionts, after which seedling growth would decline as a result of competition with trees for light or other resources.</w:t>
      </w:r>
    </w:p>
    <w:p w14:paraId="2DEFF5DF" w14:textId="77777777" w:rsidR="00BA109F" w:rsidRPr="00727DE0" w:rsidRDefault="00BA109F" w:rsidP="000633BD">
      <w:pPr>
        <w:rPr>
          <w:rFonts w:cstheme="minorHAnsi"/>
        </w:rPr>
      </w:pPr>
      <w:r w:rsidRPr="00727DE0">
        <w:rPr>
          <w:rFonts w:cstheme="minorHAnsi"/>
        </w:rPr>
        <w:t>We then use the data collected in the field to build a spatially explicit model to extend our results to forest stands to test the hypothesis:</w:t>
      </w:r>
    </w:p>
    <w:p w14:paraId="5A1253C2" w14:textId="26EB11D2" w:rsidR="00BA109F" w:rsidRPr="00727DE0" w:rsidRDefault="00BA109F" w:rsidP="00003B62">
      <w:pPr>
        <w:ind w:left="720"/>
        <w:rPr>
          <w:rFonts w:cstheme="minorHAnsi"/>
        </w:rPr>
      </w:pPr>
      <w:r w:rsidRPr="00727DE0">
        <w:rPr>
          <w:rStyle w:val="number"/>
          <w:rFonts w:cstheme="minorHAnsi"/>
        </w:rPr>
        <w:t>3</w:t>
      </w:r>
      <w:r w:rsidR="00003B62" w:rsidRPr="00727DE0">
        <w:rPr>
          <w:rStyle w:val="number"/>
          <w:rFonts w:cstheme="minorHAnsi"/>
        </w:rPr>
        <w:t xml:space="preserve"> </w:t>
      </w:r>
      <w:r w:rsidRPr="00727DE0">
        <w:rPr>
          <w:rFonts w:cstheme="minorHAnsi"/>
        </w:rPr>
        <w:t>As a result of the linkage between nearest‐neighbour distance and density, the net influence of trees on seedlings will be positively correlated with increasing tree density at relatively low densities of trees, but negatively correlated at higher densities of trees (as suggested in </w:t>
      </w:r>
      <w:hyperlink r:id="rId41" w:anchor="b21" w:history="1">
        <w:r w:rsidRPr="00727DE0">
          <w:rPr>
            <w:rStyle w:val="Hyperlink"/>
            <w:rFonts w:eastAsiaTheme="majorEastAsia" w:cstheme="minorHAnsi"/>
            <w:b/>
            <w:bCs/>
            <w:color w:val="000000"/>
          </w:rPr>
          <w:t>Dickie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2002</w:t>
        </w:r>
      </w:hyperlink>
      <w:r w:rsidRPr="00727DE0">
        <w:rPr>
          <w:rFonts w:cstheme="minorHAnsi"/>
        </w:rPr>
        <w:t>).</w:t>
      </w:r>
    </w:p>
    <w:p w14:paraId="0C242514" w14:textId="77777777" w:rsidR="00BA109F" w:rsidRPr="00727DE0" w:rsidRDefault="00BA109F" w:rsidP="000633BD">
      <w:pPr>
        <w:pStyle w:val="Heading1"/>
        <w:rPr>
          <w:rFonts w:asciiTheme="minorHAnsi" w:hAnsiTheme="minorHAnsi" w:cstheme="minorHAnsi"/>
        </w:rPr>
      </w:pPr>
      <w:r w:rsidRPr="00727DE0">
        <w:rPr>
          <w:rFonts w:asciiTheme="minorHAnsi" w:hAnsiTheme="minorHAnsi" w:cstheme="minorHAnsi"/>
        </w:rPr>
        <w:t>Methods</w:t>
      </w:r>
    </w:p>
    <w:p w14:paraId="61AF1D72" w14:textId="77777777" w:rsidR="00BA109F" w:rsidRPr="00727DE0" w:rsidRDefault="00BA109F" w:rsidP="000633BD">
      <w:pPr>
        <w:pStyle w:val="Heading2"/>
        <w:rPr>
          <w:rFonts w:asciiTheme="minorHAnsi" w:hAnsiTheme="minorHAnsi" w:cstheme="minorHAnsi"/>
        </w:rPr>
      </w:pPr>
      <w:r w:rsidRPr="00727DE0">
        <w:rPr>
          <w:rFonts w:asciiTheme="minorHAnsi" w:hAnsiTheme="minorHAnsi" w:cstheme="minorHAnsi"/>
        </w:rPr>
        <w:t>Study sites and experimental design</w:t>
      </w:r>
    </w:p>
    <w:p w14:paraId="16098C90" w14:textId="77777777" w:rsidR="00BA109F" w:rsidRPr="00727DE0" w:rsidRDefault="00BA109F" w:rsidP="000633BD">
      <w:pPr>
        <w:rPr>
          <w:rFonts w:cstheme="minorHAnsi"/>
        </w:rPr>
      </w:pPr>
      <w:r w:rsidRPr="00727DE0">
        <w:rPr>
          <w:rFonts w:cstheme="minorHAnsi"/>
        </w:rPr>
        <w:t>We used two fields, field 56 and field 57, abandoned from agriculture in 1958 and 1943, respectively, at the Cedar Creek Natural History Area and Long Term Ecological Research site of the University of Minnesota, located in Anoka County, MN, USA (see </w:t>
      </w:r>
      <w:hyperlink r:id="rId42" w:anchor="b20" w:history="1">
        <w:r w:rsidRPr="00727DE0">
          <w:rPr>
            <w:rStyle w:val="Hyperlink"/>
            <w:rFonts w:eastAsiaTheme="majorEastAsia" w:cstheme="minorHAnsi"/>
            <w:b/>
            <w:bCs/>
            <w:color w:val="000000"/>
          </w:rPr>
          <w:t>Dickie &amp; Reich 2005</w:t>
        </w:r>
      </w:hyperlink>
      <w:r w:rsidRPr="00727DE0">
        <w:rPr>
          <w:rFonts w:cstheme="minorHAnsi"/>
        </w:rPr>
        <w:t>). Old fields at this site are highly N limited and have very slow rates of succession to woody vegetation (</w:t>
      </w:r>
      <w:hyperlink r:id="rId43" w:anchor="b26" w:history="1">
        <w:r w:rsidRPr="00727DE0">
          <w:rPr>
            <w:rStyle w:val="Hyperlink"/>
            <w:rFonts w:eastAsiaTheme="majorEastAsia" w:cstheme="minorHAnsi"/>
            <w:b/>
            <w:bCs/>
            <w:color w:val="000000"/>
          </w:rPr>
          <w:t>Inouye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1994</w:t>
        </w:r>
      </w:hyperlink>
      <w:r w:rsidRPr="00727DE0">
        <w:rPr>
          <w:rFonts w:cstheme="minorHAnsi"/>
        </w:rPr>
        <w:t>; </w:t>
      </w:r>
      <w:hyperlink r:id="rId44" w:anchor="b29" w:history="1">
        <w:r w:rsidRPr="00727DE0">
          <w:rPr>
            <w:rStyle w:val="Hyperlink"/>
            <w:rFonts w:eastAsiaTheme="majorEastAsia" w:cstheme="minorHAnsi"/>
            <w:b/>
            <w:bCs/>
            <w:color w:val="000000"/>
          </w:rPr>
          <w:t>Lawson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1999</w:t>
        </w:r>
      </w:hyperlink>
      <w:r w:rsidRPr="00727DE0">
        <w:rPr>
          <w:rFonts w:cstheme="minorHAnsi"/>
        </w:rPr>
        <w:t>). Herbaceous vegetation in field 56 was dominated by </w:t>
      </w:r>
      <w:r w:rsidRPr="00727DE0">
        <w:rPr>
          <w:rFonts w:cstheme="minorHAnsi"/>
          <w:i/>
          <w:iCs/>
        </w:rPr>
        <w:t>Poa</w:t>
      </w:r>
      <w:r w:rsidRPr="00727DE0">
        <w:rPr>
          <w:rFonts w:cstheme="minorHAnsi"/>
        </w:rPr>
        <w:t> spp., </w:t>
      </w:r>
      <w:r w:rsidRPr="00727DE0">
        <w:rPr>
          <w:rFonts w:cstheme="minorHAnsi"/>
          <w:i/>
          <w:iCs/>
        </w:rPr>
        <w:t>Bromus</w:t>
      </w:r>
      <w:r w:rsidRPr="00727DE0">
        <w:rPr>
          <w:rFonts w:cstheme="minorHAnsi"/>
        </w:rPr>
        <w:t> spp., </w:t>
      </w:r>
      <w:r w:rsidRPr="00727DE0">
        <w:rPr>
          <w:rFonts w:cstheme="minorHAnsi"/>
          <w:i/>
          <w:iCs/>
        </w:rPr>
        <w:t>Panicum</w:t>
      </w:r>
      <w:r w:rsidRPr="00727DE0">
        <w:rPr>
          <w:rFonts w:cstheme="minorHAnsi"/>
        </w:rPr>
        <w:t> sp., </w:t>
      </w:r>
      <w:r w:rsidRPr="00727DE0">
        <w:rPr>
          <w:rFonts w:cstheme="minorHAnsi"/>
          <w:i/>
          <w:iCs/>
        </w:rPr>
        <w:t>Ambrosia</w:t>
      </w:r>
      <w:r w:rsidRPr="00727DE0">
        <w:rPr>
          <w:rFonts w:cstheme="minorHAnsi"/>
        </w:rPr>
        <w:t> sp. and </w:t>
      </w:r>
      <w:r w:rsidRPr="00727DE0">
        <w:rPr>
          <w:rFonts w:cstheme="minorHAnsi"/>
          <w:i/>
          <w:iCs/>
        </w:rPr>
        <w:t>Equisetum</w:t>
      </w:r>
      <w:r w:rsidRPr="00727DE0">
        <w:rPr>
          <w:rFonts w:cstheme="minorHAnsi"/>
        </w:rPr>
        <w:t> sp. (in decreasing order of dominance), while field 57 was dominated by </w:t>
      </w:r>
      <w:r w:rsidRPr="00727DE0">
        <w:rPr>
          <w:rFonts w:cstheme="minorHAnsi"/>
          <w:i/>
          <w:iCs/>
        </w:rPr>
        <w:t>Poa</w:t>
      </w:r>
      <w:r w:rsidRPr="00727DE0">
        <w:rPr>
          <w:rFonts w:cstheme="minorHAnsi"/>
        </w:rPr>
        <w:t> spp., </w:t>
      </w:r>
      <w:r w:rsidRPr="00727DE0">
        <w:rPr>
          <w:rFonts w:cstheme="minorHAnsi"/>
          <w:i/>
          <w:iCs/>
        </w:rPr>
        <w:t>Ambrosia</w:t>
      </w:r>
      <w:r w:rsidRPr="00727DE0">
        <w:rPr>
          <w:rFonts w:cstheme="minorHAnsi"/>
        </w:rPr>
        <w:t> sp. and </w:t>
      </w:r>
      <w:r w:rsidRPr="00727DE0">
        <w:rPr>
          <w:rFonts w:cstheme="minorHAnsi"/>
          <w:i/>
          <w:iCs/>
        </w:rPr>
        <w:t>Agropyron</w:t>
      </w:r>
      <w:r w:rsidRPr="00727DE0">
        <w:rPr>
          <w:rFonts w:cstheme="minorHAnsi"/>
        </w:rPr>
        <w:t> sp. The northern edge of both fields border established oak woodlands with a relatively straight edge between the two habitats, running east–west. Oak grubs (multi‐stemmed shrub‐like oaks resulting from repeated die back) were common near the forest edge (0.7–1.6</w:t>
      </w:r>
      <w:r w:rsidRPr="00727DE0">
        <w:rPr>
          <w:rFonts w:cstheme="minorHAnsi"/>
        </w:rPr>
        <w:t> </w:t>
      </w:r>
      <w:r w:rsidRPr="00727DE0">
        <w:rPr>
          <w:rFonts w:cstheme="minorHAnsi"/>
        </w:rPr>
        <w:t>grubs</w:t>
      </w:r>
      <w:r w:rsidRPr="00727DE0">
        <w:rPr>
          <w:rFonts w:cstheme="minorHAnsi"/>
        </w:rPr>
        <w:t> </w:t>
      </w:r>
      <w:r w:rsidRPr="00727DE0">
        <w:rPr>
          <w:rFonts w:cstheme="minorHAnsi"/>
        </w:rPr>
        <w:t>m</w:t>
      </w:r>
      <w:r w:rsidRPr="00727DE0">
        <w:rPr>
          <w:rFonts w:cstheme="minorHAnsi"/>
          <w:vertAlign w:val="superscript"/>
        </w:rPr>
        <w:t>−2</w:t>
      </w:r>
      <w:r w:rsidRPr="00727DE0">
        <w:rPr>
          <w:rFonts w:cstheme="minorHAnsi"/>
        </w:rPr>
        <w:t>) but were largely absent beyond 12</w:t>
      </w:r>
      <w:r w:rsidRPr="00727DE0">
        <w:rPr>
          <w:rFonts w:cstheme="minorHAnsi"/>
        </w:rPr>
        <w:t> </w:t>
      </w:r>
      <w:r w:rsidRPr="00727DE0">
        <w:rPr>
          <w:rFonts w:cstheme="minorHAnsi"/>
        </w:rPr>
        <w:t>m from the forest edge. Prior to European settlement these sites were </w:t>
      </w:r>
      <w:r w:rsidRPr="00727DE0">
        <w:rPr>
          <w:rFonts w:cstheme="minorHAnsi"/>
          <w:i/>
          <w:iCs/>
        </w:rPr>
        <w:t>Quercus macrocarpa</w:t>
      </w:r>
      <w:r w:rsidRPr="00727DE0">
        <w:rPr>
          <w:rFonts w:cstheme="minorHAnsi"/>
        </w:rPr>
        <w:t> dominated savanna with tree densities of 14–35</w:t>
      </w:r>
      <w:r w:rsidRPr="00727DE0">
        <w:rPr>
          <w:rFonts w:cstheme="minorHAnsi"/>
        </w:rPr>
        <w:t> </w:t>
      </w:r>
      <w:r w:rsidRPr="00727DE0">
        <w:rPr>
          <w:rFonts w:cstheme="minorHAnsi"/>
        </w:rPr>
        <w:t>trees</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w:t>
      </w:r>
      <w:hyperlink r:id="rId45" w:anchor="b7" w:history="1">
        <w:r w:rsidRPr="00727DE0">
          <w:rPr>
            <w:rStyle w:val="Hyperlink"/>
            <w:rFonts w:eastAsiaTheme="majorEastAsia" w:cstheme="minorHAnsi"/>
            <w:b/>
            <w:bCs/>
            <w:color w:val="000000"/>
          </w:rPr>
          <w:t>Bray 1955</w:t>
        </w:r>
      </w:hyperlink>
      <w:r w:rsidRPr="00727DE0">
        <w:rPr>
          <w:rFonts w:cstheme="minorHAnsi"/>
        </w:rPr>
        <w:t>). Fire suppression since 1938 has led to canopy closure with in‐growth of </w:t>
      </w:r>
      <w:r w:rsidRPr="00727DE0">
        <w:rPr>
          <w:rFonts w:cstheme="minorHAnsi"/>
          <w:i/>
          <w:iCs/>
        </w:rPr>
        <w:t>Quercus ellipsoidalis</w:t>
      </w:r>
      <w:r w:rsidRPr="00727DE0">
        <w:rPr>
          <w:rFonts w:cstheme="minorHAnsi"/>
        </w:rPr>
        <w:t> and gradual succession to more shade tolerant tree species, although large open‐grown </w:t>
      </w:r>
      <w:r w:rsidRPr="00727DE0">
        <w:rPr>
          <w:rFonts w:cstheme="minorHAnsi"/>
          <w:i/>
          <w:iCs/>
        </w:rPr>
        <w:t>Q. macrocarpa</w:t>
      </w:r>
      <w:r w:rsidRPr="00727DE0">
        <w:rPr>
          <w:rFonts w:cstheme="minorHAnsi"/>
        </w:rPr>
        <w:t> are still present (</w:t>
      </w:r>
      <w:hyperlink r:id="rId46" w:anchor="b38" w:history="1">
        <w:r w:rsidRPr="00727DE0">
          <w:rPr>
            <w:rStyle w:val="Hyperlink"/>
            <w:rFonts w:eastAsiaTheme="majorEastAsia" w:cstheme="minorHAnsi"/>
            <w:b/>
            <w:bCs/>
            <w:color w:val="000000"/>
          </w:rPr>
          <w:t>Peterson &amp; Reich 2001</w:t>
        </w:r>
      </w:hyperlink>
      <w:r w:rsidRPr="00727DE0">
        <w:rPr>
          <w:rFonts w:cstheme="minorHAnsi"/>
        </w:rPr>
        <w:t>; </w:t>
      </w:r>
      <w:hyperlink r:id="rId47" w:anchor="b41" w:history="1">
        <w:r w:rsidRPr="00727DE0">
          <w:rPr>
            <w:rStyle w:val="Hyperlink"/>
            <w:rFonts w:eastAsiaTheme="majorEastAsia" w:cstheme="minorHAnsi"/>
            <w:b/>
            <w:bCs/>
            <w:color w:val="000000"/>
          </w:rPr>
          <w:t>Reich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2001</w:t>
        </w:r>
      </w:hyperlink>
      <w:r w:rsidRPr="00727DE0">
        <w:rPr>
          <w:rFonts w:cstheme="minorHAnsi"/>
        </w:rPr>
        <w:t>). The forest north of field 56 had 429</w:t>
      </w:r>
      <w:r w:rsidRPr="00727DE0">
        <w:rPr>
          <w:rFonts w:cstheme="minorHAnsi"/>
        </w:rPr>
        <w:t> </w:t>
      </w:r>
      <w:r w:rsidRPr="00727DE0">
        <w:rPr>
          <w:rFonts w:cstheme="minorHAnsi"/>
        </w:rPr>
        <w:t>±</w:t>
      </w:r>
      <w:r w:rsidRPr="00727DE0">
        <w:rPr>
          <w:rFonts w:cstheme="minorHAnsi"/>
        </w:rPr>
        <w:t> </w:t>
      </w:r>
      <w:r w:rsidRPr="00727DE0">
        <w:rPr>
          <w:rFonts w:cstheme="minorHAnsi"/>
        </w:rPr>
        <w:t>83</w:t>
      </w:r>
      <w:r w:rsidRPr="00727DE0">
        <w:rPr>
          <w:rFonts w:cstheme="minorHAnsi"/>
        </w:rPr>
        <w:t> </w:t>
      </w:r>
      <w:r w:rsidRPr="00727DE0">
        <w:rPr>
          <w:rFonts w:cstheme="minorHAnsi"/>
        </w:rPr>
        <w:t>trees</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(&gt;</w:t>
      </w:r>
      <w:r w:rsidRPr="00727DE0">
        <w:rPr>
          <w:rFonts w:cstheme="minorHAnsi"/>
        </w:rPr>
        <w:t> </w:t>
      </w:r>
      <w:r w:rsidRPr="00727DE0">
        <w:rPr>
          <w:rFonts w:cstheme="minorHAnsi"/>
        </w:rPr>
        <w:t>10</w:t>
      </w:r>
      <w:r w:rsidRPr="00727DE0">
        <w:rPr>
          <w:rFonts w:cstheme="minorHAnsi"/>
        </w:rPr>
        <w:t> </w:t>
      </w:r>
      <w:r w:rsidRPr="00727DE0">
        <w:rPr>
          <w:rFonts w:cstheme="minorHAnsi"/>
        </w:rPr>
        <w:t>cm diameter) with a basal area (BA) of 14.7</w:t>
      </w:r>
      <w:r w:rsidRPr="00727DE0">
        <w:rPr>
          <w:rFonts w:cstheme="minorHAnsi"/>
        </w:rPr>
        <w:t> </w:t>
      </w:r>
      <w:r w:rsidRPr="00727DE0">
        <w:rPr>
          <w:rFonts w:cstheme="minorHAnsi"/>
        </w:rPr>
        <w:t>±</w:t>
      </w:r>
      <w:r w:rsidRPr="00727DE0">
        <w:rPr>
          <w:rFonts w:cstheme="minorHAnsi"/>
        </w:rPr>
        <w:t> </w:t>
      </w:r>
      <w:r w:rsidRPr="00727DE0">
        <w:rPr>
          <w:rFonts w:cstheme="minorHAnsi"/>
        </w:rPr>
        <w:t>1.6</w:t>
      </w:r>
      <w:r w:rsidRPr="00727DE0">
        <w:rPr>
          <w:rFonts w:cstheme="minorHAnsi"/>
        </w:rPr>
        <w:t> </w:t>
      </w:r>
      <w:r w:rsidRPr="00727DE0">
        <w:rPr>
          <w:rFonts w:cstheme="minorHAnsi"/>
        </w:rPr>
        <w:t>m</w:t>
      </w:r>
      <w:r w:rsidRPr="00727DE0">
        <w:rPr>
          <w:rFonts w:cstheme="minorHAnsi"/>
          <w:vertAlign w:val="superscript"/>
        </w:rPr>
        <w:t>2</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comprising 97%</w:t>
      </w:r>
      <w:r w:rsidRPr="00727DE0">
        <w:rPr>
          <w:rFonts w:cstheme="minorHAnsi"/>
          <w:i/>
          <w:iCs/>
        </w:rPr>
        <w:t>Q. ellipsoidalis</w:t>
      </w:r>
      <w:r w:rsidRPr="00727DE0">
        <w:rPr>
          <w:rFonts w:cstheme="minorHAnsi"/>
        </w:rPr>
        <w:t> and 3%</w:t>
      </w:r>
      <w:r w:rsidRPr="00727DE0">
        <w:rPr>
          <w:rFonts w:cstheme="minorHAnsi"/>
          <w:i/>
          <w:iCs/>
        </w:rPr>
        <w:t>Q. macrocarpa</w:t>
      </w:r>
      <w:r w:rsidRPr="00727DE0">
        <w:rPr>
          <w:rFonts w:cstheme="minorHAnsi"/>
        </w:rPr>
        <w:t> (by BA), while the forest north of field 57 had 495</w:t>
      </w:r>
      <w:r w:rsidRPr="00727DE0">
        <w:rPr>
          <w:rFonts w:cstheme="minorHAnsi"/>
        </w:rPr>
        <w:t> </w:t>
      </w:r>
      <w:r w:rsidRPr="00727DE0">
        <w:rPr>
          <w:rFonts w:cstheme="minorHAnsi"/>
        </w:rPr>
        <w:t>±</w:t>
      </w:r>
      <w:r w:rsidRPr="00727DE0">
        <w:rPr>
          <w:rFonts w:cstheme="minorHAnsi"/>
        </w:rPr>
        <w:t> </w:t>
      </w:r>
      <w:r w:rsidRPr="00727DE0">
        <w:rPr>
          <w:rFonts w:cstheme="minorHAnsi"/>
        </w:rPr>
        <w:t>57</w:t>
      </w:r>
      <w:r w:rsidRPr="00727DE0">
        <w:rPr>
          <w:rFonts w:cstheme="minorHAnsi"/>
        </w:rPr>
        <w:t> </w:t>
      </w:r>
      <w:r w:rsidRPr="00727DE0">
        <w:rPr>
          <w:rFonts w:cstheme="minorHAnsi"/>
        </w:rPr>
        <w:t>trees</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with a BA of 34.7</w:t>
      </w:r>
      <w:r w:rsidRPr="00727DE0">
        <w:rPr>
          <w:rFonts w:cstheme="minorHAnsi"/>
        </w:rPr>
        <w:t> </w:t>
      </w:r>
      <w:r w:rsidRPr="00727DE0">
        <w:rPr>
          <w:rFonts w:cstheme="minorHAnsi"/>
        </w:rPr>
        <w:t>±</w:t>
      </w:r>
      <w:r w:rsidRPr="00727DE0">
        <w:rPr>
          <w:rFonts w:cstheme="minorHAnsi"/>
        </w:rPr>
        <w:t> </w:t>
      </w:r>
      <w:r w:rsidRPr="00727DE0">
        <w:rPr>
          <w:rFonts w:cstheme="minorHAnsi"/>
        </w:rPr>
        <w:t>0.7</w:t>
      </w:r>
      <w:r w:rsidRPr="00727DE0">
        <w:rPr>
          <w:rFonts w:cstheme="minorHAnsi"/>
        </w:rPr>
        <w:t> </w:t>
      </w:r>
      <w:r w:rsidRPr="00727DE0">
        <w:rPr>
          <w:rFonts w:cstheme="minorHAnsi"/>
        </w:rPr>
        <w:t>m</w:t>
      </w:r>
      <w:r w:rsidRPr="00727DE0">
        <w:rPr>
          <w:rFonts w:cstheme="minorHAnsi"/>
          <w:vertAlign w:val="superscript"/>
        </w:rPr>
        <w:t>2</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comprising 85%</w:t>
      </w:r>
      <w:r w:rsidRPr="00727DE0">
        <w:rPr>
          <w:rFonts w:cstheme="minorHAnsi"/>
          <w:i/>
          <w:iCs/>
        </w:rPr>
        <w:t>Q. ellipsoidalis</w:t>
      </w:r>
      <w:r w:rsidRPr="00727DE0">
        <w:rPr>
          <w:rFonts w:cstheme="minorHAnsi"/>
        </w:rPr>
        <w:t>, 13%</w:t>
      </w:r>
      <w:r w:rsidRPr="00727DE0">
        <w:rPr>
          <w:rFonts w:cstheme="minorHAnsi"/>
          <w:i/>
          <w:iCs/>
        </w:rPr>
        <w:t>Q. macrocarpa</w:t>
      </w:r>
      <w:r w:rsidRPr="00727DE0">
        <w:rPr>
          <w:rFonts w:cstheme="minorHAnsi"/>
        </w:rPr>
        <w:t> and 2% other tree species. The soils were flat, very sandy, excessively drained Typic Udipsamment, Nymore series soils (94% sand, 5% silt, 1% clay). The fields are separated by about 420</w:t>
      </w:r>
      <w:r w:rsidRPr="00727DE0">
        <w:rPr>
          <w:rFonts w:cstheme="minorHAnsi"/>
        </w:rPr>
        <w:t> </w:t>
      </w:r>
      <w:r w:rsidRPr="00727DE0">
        <w:rPr>
          <w:rFonts w:cstheme="minorHAnsi"/>
        </w:rPr>
        <w:t>m distance.</w:t>
      </w:r>
    </w:p>
    <w:p w14:paraId="0762243E" w14:textId="77777777" w:rsidR="00BA109F" w:rsidRPr="00727DE0" w:rsidRDefault="00BA109F" w:rsidP="000633BD">
      <w:pPr>
        <w:rPr>
          <w:rFonts w:cstheme="minorHAnsi"/>
        </w:rPr>
      </w:pPr>
      <w:r w:rsidRPr="00727DE0">
        <w:rPr>
          <w:rFonts w:cstheme="minorHAnsi"/>
        </w:rPr>
        <w:t>In each of the two fields we established four transects running from the forest edge into the field with plots at 0, 4, 8, 12, 16 and 20</w:t>
      </w:r>
      <w:r w:rsidRPr="00727DE0">
        <w:rPr>
          <w:rFonts w:cstheme="minorHAnsi"/>
        </w:rPr>
        <w:t> </w:t>
      </w:r>
      <w:r w:rsidRPr="00727DE0">
        <w:rPr>
          <w:rFonts w:cstheme="minorHAnsi"/>
        </w:rPr>
        <w:t>m from a point approximately 1</w:t>
      </w:r>
      <w:r w:rsidRPr="00727DE0">
        <w:rPr>
          <w:rFonts w:cstheme="minorHAnsi"/>
        </w:rPr>
        <w:t> </w:t>
      </w:r>
      <w:r w:rsidRPr="00727DE0">
        <w:rPr>
          <w:rFonts w:cstheme="minorHAnsi"/>
        </w:rPr>
        <w:t>m from the base of an established </w:t>
      </w:r>
      <w:r w:rsidRPr="00727DE0">
        <w:rPr>
          <w:rFonts w:cstheme="minorHAnsi"/>
          <w:i/>
          <w:iCs/>
        </w:rPr>
        <w:t>Q. ellipsoidalis</w:t>
      </w:r>
      <w:r w:rsidRPr="00727DE0">
        <w:rPr>
          <w:rFonts w:cstheme="minorHAnsi"/>
        </w:rPr>
        <w:t> tree (focal tree). Although focal trees were </w:t>
      </w:r>
      <w:r w:rsidRPr="00727DE0">
        <w:rPr>
          <w:rFonts w:cstheme="minorHAnsi"/>
          <w:i/>
          <w:iCs/>
        </w:rPr>
        <w:t>Q. ellipsoidalis</w:t>
      </w:r>
      <w:r w:rsidRPr="00727DE0">
        <w:rPr>
          <w:rFonts w:cstheme="minorHAnsi"/>
        </w:rPr>
        <w:t> and planted acorns were </w:t>
      </w:r>
      <w:r w:rsidRPr="00727DE0">
        <w:rPr>
          <w:rFonts w:cstheme="minorHAnsi"/>
          <w:i/>
          <w:iCs/>
        </w:rPr>
        <w:t>Q. macrocarpa</w:t>
      </w:r>
      <w:r w:rsidRPr="00727DE0">
        <w:rPr>
          <w:rFonts w:cstheme="minorHAnsi"/>
        </w:rPr>
        <w:t>, both species occurred in the forest and roots, shading and litter from both species are likely to have influenced seedlings. Prior experience suggested that </w:t>
      </w:r>
      <w:r w:rsidRPr="00727DE0">
        <w:rPr>
          <w:rFonts w:cstheme="minorHAnsi"/>
          <w:i/>
          <w:iCs/>
        </w:rPr>
        <w:t>Q. macrocarpa</w:t>
      </w:r>
      <w:r w:rsidRPr="00727DE0">
        <w:rPr>
          <w:rFonts w:cstheme="minorHAnsi"/>
        </w:rPr>
        <w:t> seedlings would have higher growth rates than </w:t>
      </w:r>
      <w:r w:rsidRPr="00727DE0">
        <w:rPr>
          <w:rFonts w:cstheme="minorHAnsi"/>
          <w:i/>
          <w:iCs/>
        </w:rPr>
        <w:t>Q. ellipsoidalis</w:t>
      </w:r>
      <w:r w:rsidRPr="00727DE0">
        <w:rPr>
          <w:rFonts w:cstheme="minorHAnsi"/>
        </w:rPr>
        <w:t> seedlings in our sites (</w:t>
      </w:r>
      <w:hyperlink r:id="rId48" w:anchor="b19" w:history="1">
        <w:r w:rsidRPr="00727DE0">
          <w:rPr>
            <w:rStyle w:val="Hyperlink"/>
            <w:rFonts w:eastAsiaTheme="majorEastAsia" w:cstheme="minorHAnsi"/>
            <w:b/>
            <w:bCs/>
            <w:color w:val="000000"/>
          </w:rPr>
          <w:t>Davis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1999</w:t>
        </w:r>
      </w:hyperlink>
      <w:r w:rsidRPr="00727DE0">
        <w:rPr>
          <w:rFonts w:cstheme="minorHAnsi"/>
        </w:rPr>
        <w:t>), and might therefore be more likely to show significant growth responses. The choice of </w:t>
      </w:r>
      <w:r w:rsidRPr="00727DE0">
        <w:rPr>
          <w:rFonts w:cstheme="minorHAnsi"/>
          <w:i/>
          <w:iCs/>
        </w:rPr>
        <w:t>Q. ellipsoidalis</w:t>
      </w:r>
      <w:r w:rsidRPr="00727DE0">
        <w:rPr>
          <w:rFonts w:cstheme="minorHAnsi"/>
        </w:rPr>
        <w:t> for focal trees was pragmatic: there were too few </w:t>
      </w:r>
      <w:r w:rsidRPr="00727DE0">
        <w:rPr>
          <w:rFonts w:cstheme="minorHAnsi"/>
          <w:i/>
          <w:iCs/>
        </w:rPr>
        <w:t>Q. macrocarpa</w:t>
      </w:r>
      <w:r w:rsidRPr="00727DE0">
        <w:rPr>
          <w:rFonts w:cstheme="minorHAnsi"/>
        </w:rPr>
        <w:t> at the forest edge to permit sufficient replicate transects. As host specificity of mycorrhizal fungi is typically at the genus, not species, level (</w:t>
      </w:r>
      <w:hyperlink r:id="rId49" w:anchor="b32" w:history="1">
        <w:r w:rsidRPr="00727DE0">
          <w:rPr>
            <w:rStyle w:val="Hyperlink"/>
            <w:rFonts w:eastAsiaTheme="majorEastAsia" w:cstheme="minorHAnsi"/>
            <w:b/>
            <w:bCs/>
            <w:color w:val="000000"/>
          </w:rPr>
          <w:t>Molina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1992</w:t>
        </w:r>
      </w:hyperlink>
      <w:r w:rsidRPr="00727DE0">
        <w:rPr>
          <w:rFonts w:cstheme="minorHAnsi"/>
        </w:rPr>
        <w:t>), we expect that mycorrhizal interactions would be similar between conspecific and congeneric tree seedling pairs. Focal trees were 17–26</w:t>
      </w:r>
      <w:r w:rsidRPr="00727DE0">
        <w:rPr>
          <w:rFonts w:cstheme="minorHAnsi"/>
        </w:rPr>
        <w:t> </w:t>
      </w:r>
      <w:r w:rsidRPr="00727DE0">
        <w:rPr>
          <w:rFonts w:cstheme="minorHAnsi"/>
        </w:rPr>
        <w:t>cm diameter at breast height (DBH) in field 56, and 28–46</w:t>
      </w:r>
      <w:r w:rsidRPr="00727DE0">
        <w:rPr>
          <w:rFonts w:cstheme="minorHAnsi"/>
        </w:rPr>
        <w:t> </w:t>
      </w:r>
      <w:r w:rsidRPr="00727DE0">
        <w:rPr>
          <w:rFonts w:cstheme="minorHAnsi"/>
        </w:rPr>
        <w:t xml:space="preserve">cm DBH in field 57. Based on tree diameter–age correlations for oak </w:t>
      </w:r>
      <w:r w:rsidRPr="00727DE0">
        <w:rPr>
          <w:rFonts w:cstheme="minorHAnsi"/>
        </w:rPr>
        <w:lastRenderedPageBreak/>
        <w:t>woodlands at Cedar Creek (P.B. Reich, unpublished data), these trees were likely between 40–60 and 60–100</w:t>
      </w:r>
      <w:r w:rsidRPr="00727DE0">
        <w:rPr>
          <w:rFonts w:cstheme="minorHAnsi"/>
        </w:rPr>
        <w:t> </w:t>
      </w:r>
      <w:r w:rsidRPr="00727DE0">
        <w:rPr>
          <w:rFonts w:cstheme="minorHAnsi"/>
        </w:rPr>
        <w:t>years old for fields 56 and 57, respectively, and therefore were likely to have established at or before the time when the fields were abandoned from agriculture. All transects ran approximately due south from the north edge of fields.</w:t>
      </w:r>
    </w:p>
    <w:p w14:paraId="5B150D47" w14:textId="77777777" w:rsidR="00BA109F" w:rsidRPr="00727DE0" w:rsidRDefault="00BA109F" w:rsidP="000633BD">
      <w:pPr>
        <w:pStyle w:val="Heading2"/>
        <w:rPr>
          <w:rFonts w:asciiTheme="minorHAnsi" w:hAnsiTheme="minorHAnsi" w:cstheme="minorHAnsi"/>
        </w:rPr>
      </w:pPr>
      <w:r w:rsidRPr="00727DE0">
        <w:rPr>
          <w:rFonts w:asciiTheme="minorHAnsi" w:hAnsiTheme="minorHAnsi" w:cstheme="minorHAnsi"/>
        </w:rPr>
        <w:t>Site variables</w:t>
      </w:r>
    </w:p>
    <w:p w14:paraId="51AB43D2" w14:textId="77777777" w:rsidR="00BA109F" w:rsidRPr="00727DE0" w:rsidRDefault="00BA109F" w:rsidP="000633BD">
      <w:pPr>
        <w:rPr>
          <w:rFonts w:cstheme="minorHAnsi"/>
        </w:rPr>
      </w:pPr>
      <w:r w:rsidRPr="00727DE0">
        <w:rPr>
          <w:rFonts w:cstheme="minorHAnsi"/>
        </w:rPr>
        <w:t>At each plot we measured canopy openness (diffuse non‐interceptance; DIFN), soil pH, the N concentration of herbaceous plants, the community composition of herbaceous vegetation, and the biomass of oak litter, herbaceous litter and living herbaceous biomass. Canopy openness was measured between first light and sunrise on a midsummer day in 2004 with a Licor LAI 2000 (Li‐cor Biosciences, Lincoln, NE, USA) with a 90</w:t>
      </w:r>
      <w:r w:rsidRPr="00727DE0">
        <w:rPr>
          <w:rFonts w:cstheme="minorHAnsi"/>
        </w:rPr>
        <w:t> </w:t>
      </w:r>
      <w:r w:rsidRPr="00727DE0">
        <w:rPr>
          <w:rFonts w:cstheme="minorHAnsi"/>
        </w:rPr>
        <w:t>° sensor cover oriented so as to measure DIFN over the southern quarter sphere of each plot. Soil pH was measured from a homogenized soil core (0–20</w:t>
      </w:r>
      <w:r w:rsidRPr="00727DE0">
        <w:rPr>
          <w:rFonts w:cstheme="minorHAnsi"/>
        </w:rPr>
        <w:t> </w:t>
      </w:r>
      <w:r w:rsidRPr="00727DE0">
        <w:rPr>
          <w:rFonts w:cstheme="minorHAnsi"/>
        </w:rPr>
        <w:t>cm depth, 2.5</w:t>
      </w:r>
      <w:r w:rsidRPr="00727DE0">
        <w:rPr>
          <w:rFonts w:cstheme="minorHAnsi"/>
        </w:rPr>
        <w:t> </w:t>
      </w:r>
      <w:r w:rsidRPr="00727DE0">
        <w:rPr>
          <w:rFonts w:cstheme="minorHAnsi"/>
        </w:rPr>
        <w:t>cm diameter) with a 1</w:t>
      </w:r>
      <w:r w:rsidRPr="00727DE0">
        <w:rPr>
          <w:rFonts w:cstheme="minorHAnsi"/>
        </w:rPr>
        <w:t> </w:t>
      </w:r>
      <w:r w:rsidRPr="00727DE0">
        <w:rPr>
          <w:rFonts w:cstheme="minorHAnsi"/>
        </w:rPr>
        <w:t>:</w:t>
      </w:r>
      <w:r w:rsidRPr="00727DE0">
        <w:rPr>
          <w:rFonts w:cstheme="minorHAnsi"/>
        </w:rPr>
        <w:t> </w:t>
      </w:r>
      <w:r w:rsidRPr="00727DE0">
        <w:rPr>
          <w:rFonts w:cstheme="minorHAnsi"/>
        </w:rPr>
        <w:t>2, soil</w:t>
      </w:r>
      <w:r w:rsidRPr="00727DE0">
        <w:rPr>
          <w:rFonts w:cstheme="minorHAnsi"/>
        </w:rPr>
        <w:t> </w:t>
      </w:r>
      <w:r w:rsidRPr="00727DE0">
        <w:rPr>
          <w:rFonts w:cstheme="minorHAnsi"/>
        </w:rPr>
        <w:t>:</w:t>
      </w:r>
      <w:r w:rsidRPr="00727DE0">
        <w:rPr>
          <w:rFonts w:cstheme="minorHAnsi"/>
        </w:rPr>
        <w:t> </w:t>
      </w:r>
      <w:r w:rsidRPr="00727DE0">
        <w:rPr>
          <w:rFonts w:cstheme="minorHAnsi"/>
        </w:rPr>
        <w:t>water (by volume) extract. To obtain an indication of plant‐available inorganic N independent of ectomycorrhiza, we collected fully expanded shoots of two common arbuscular mycorrhizal species: </w:t>
      </w:r>
      <w:r w:rsidRPr="00727DE0">
        <w:rPr>
          <w:rFonts w:cstheme="minorHAnsi"/>
          <w:i/>
          <w:iCs/>
        </w:rPr>
        <w:t>Ambrosia artemisiifolia</w:t>
      </w:r>
      <w:r w:rsidRPr="00727DE0">
        <w:rPr>
          <w:rFonts w:cstheme="minorHAnsi"/>
        </w:rPr>
        <w:t> (a weedy annual common in both fields), and </w:t>
      </w:r>
      <w:r w:rsidRPr="00727DE0">
        <w:rPr>
          <w:rFonts w:cstheme="minorHAnsi"/>
          <w:i/>
          <w:iCs/>
        </w:rPr>
        <w:t>Poa pratensis</w:t>
      </w:r>
      <w:r w:rsidRPr="00727DE0">
        <w:rPr>
          <w:rFonts w:cstheme="minorHAnsi"/>
        </w:rPr>
        <w:t> (a grass, dominant in both fields) and analysed foliar N concentrations on an ECS 4010 element analyzer (Costech Analytical, Valencia, CA, USA) at the University of Nebraska. We were able to collect </w:t>
      </w:r>
      <w:r w:rsidRPr="00727DE0">
        <w:rPr>
          <w:rFonts w:cstheme="minorHAnsi"/>
          <w:i/>
          <w:iCs/>
        </w:rPr>
        <w:t>Poa</w:t>
      </w:r>
      <w:r w:rsidRPr="00727DE0">
        <w:rPr>
          <w:rFonts w:cstheme="minorHAnsi"/>
        </w:rPr>
        <w:t> from all but one plot (</w:t>
      </w:r>
      <w:r w:rsidRPr="00727DE0">
        <w:rPr>
          <w:rFonts w:cstheme="minorHAnsi"/>
          <w:i/>
          <w:iCs/>
        </w:rPr>
        <w:t>n</w:t>
      </w:r>
      <w:r w:rsidRPr="00727DE0">
        <w:rPr>
          <w:rFonts w:cstheme="minorHAnsi"/>
        </w:rPr>
        <w:t> </w:t>
      </w:r>
      <w:r w:rsidRPr="00727DE0">
        <w:rPr>
          <w:rFonts w:cstheme="minorHAnsi"/>
        </w:rPr>
        <w:t>=</w:t>
      </w:r>
      <w:r w:rsidRPr="00727DE0">
        <w:rPr>
          <w:rFonts w:cstheme="minorHAnsi"/>
        </w:rPr>
        <w:t> </w:t>
      </w:r>
      <w:r w:rsidRPr="00727DE0">
        <w:rPr>
          <w:rFonts w:cstheme="minorHAnsi"/>
        </w:rPr>
        <w:t>47), and </w:t>
      </w:r>
      <w:r w:rsidRPr="00727DE0">
        <w:rPr>
          <w:rFonts w:cstheme="minorHAnsi"/>
          <w:i/>
          <w:iCs/>
        </w:rPr>
        <w:t>Ambrosia</w:t>
      </w:r>
      <w:r w:rsidRPr="00727DE0">
        <w:rPr>
          <w:rFonts w:cstheme="minorHAnsi"/>
        </w:rPr>
        <w:t> from 37 of the 48 total plots. Community composition of herbaceous plants was measured by visual estimation in 1</w:t>
      </w:r>
      <w:r w:rsidRPr="00727DE0">
        <w:rPr>
          <w:rFonts w:cstheme="minorHAnsi"/>
        </w:rPr>
        <w:t> </w:t>
      </w:r>
      <w:r w:rsidRPr="00727DE0">
        <w:rPr>
          <w:rFonts w:cstheme="minorHAnsi"/>
        </w:rPr>
        <w:t>m</w:t>
      </w:r>
      <w:r w:rsidRPr="00727DE0">
        <w:rPr>
          <w:rFonts w:cstheme="minorHAnsi"/>
          <w:vertAlign w:val="superscript"/>
        </w:rPr>
        <w:t>2</w:t>
      </w:r>
      <w:r w:rsidRPr="00727DE0">
        <w:rPr>
          <w:rFonts w:cstheme="minorHAnsi"/>
        </w:rPr>
        <w:t> plots adjacent to the experimental plots, with analyses performed on midpoints of Daubenmire cover classes. In August 2004, we collected all live and dead biomass from a 0.125</w:t>
      </w:r>
      <w:r w:rsidRPr="00727DE0">
        <w:rPr>
          <w:rFonts w:cstheme="minorHAnsi"/>
        </w:rPr>
        <w:t> </w:t>
      </w:r>
      <w:r w:rsidRPr="00727DE0">
        <w:rPr>
          <w:rFonts w:cstheme="minorHAnsi"/>
        </w:rPr>
        <w:t>m</w:t>
      </w:r>
      <w:r w:rsidRPr="00727DE0">
        <w:rPr>
          <w:rFonts w:cstheme="minorHAnsi"/>
          <w:vertAlign w:val="superscript"/>
        </w:rPr>
        <w:t>2</w:t>
      </w:r>
      <w:r w:rsidRPr="00727DE0">
        <w:rPr>
          <w:rFonts w:cstheme="minorHAnsi"/>
        </w:rPr>
        <w:t> plot adjacent to each experimental plot, and measured dry mass of oak litter, living herbaceous biomass and dead herbaceous biomass.</w:t>
      </w:r>
    </w:p>
    <w:p w14:paraId="32559FC3" w14:textId="77777777" w:rsidR="00BA109F" w:rsidRPr="00727DE0" w:rsidRDefault="00BA109F" w:rsidP="000633BD">
      <w:pPr>
        <w:pStyle w:val="Heading2"/>
        <w:rPr>
          <w:rFonts w:asciiTheme="minorHAnsi" w:hAnsiTheme="minorHAnsi" w:cstheme="minorHAnsi"/>
        </w:rPr>
      </w:pPr>
      <w:r w:rsidRPr="00727DE0">
        <w:rPr>
          <w:rFonts w:asciiTheme="minorHAnsi" w:hAnsiTheme="minorHAnsi" w:cstheme="minorHAnsi"/>
        </w:rPr>
        <w:t>Seedlings</w:t>
      </w:r>
    </w:p>
    <w:p w14:paraId="19DED8D4" w14:textId="77777777" w:rsidR="00BA109F" w:rsidRPr="00727DE0" w:rsidRDefault="00BA109F" w:rsidP="000633BD">
      <w:pPr>
        <w:rPr>
          <w:rFonts w:cstheme="minorHAnsi"/>
        </w:rPr>
      </w:pPr>
      <w:r w:rsidRPr="00727DE0">
        <w:rPr>
          <w:rFonts w:cstheme="minorHAnsi"/>
        </w:rPr>
        <w:t>We planted each plot with four bur oak (</w:t>
      </w:r>
      <w:r w:rsidRPr="00727DE0">
        <w:rPr>
          <w:rFonts w:cstheme="minorHAnsi"/>
          <w:i/>
          <w:iCs/>
        </w:rPr>
        <w:t>Q. macrocarpa</w:t>
      </w:r>
      <w:r w:rsidRPr="00727DE0">
        <w:rPr>
          <w:rFonts w:cstheme="minorHAnsi"/>
        </w:rPr>
        <w:t>) acorns collected from local seed sources in the autumn of 2001, stored for approximately 3</w:t>
      </w:r>
      <w:r w:rsidRPr="00727DE0">
        <w:rPr>
          <w:rFonts w:cstheme="minorHAnsi"/>
        </w:rPr>
        <w:t> </w:t>
      </w:r>
      <w:r w:rsidRPr="00727DE0">
        <w:rPr>
          <w:rFonts w:cstheme="minorHAnsi"/>
        </w:rPr>
        <w:t>weeks under refrigeration, and planted in late September. We placed a 30‐cm diameter, 60‐cm tall cylindrical cage of 1.25</w:t>
      </w:r>
      <w:r w:rsidRPr="00727DE0">
        <w:rPr>
          <w:rFonts w:cstheme="minorHAnsi"/>
        </w:rPr>
        <w:t> </w:t>
      </w:r>
      <w:r w:rsidRPr="00727DE0">
        <w:rPr>
          <w:rFonts w:cstheme="minorHAnsi"/>
        </w:rPr>
        <w:t>cm mesh galvanized ‘hardware cloth’ over seedlings to protect them from non‐fossorial mammalian herbivory. Although protecting seedlings from herbivory does remove one potential tree–seedling interaction (</w:t>
      </w:r>
      <w:hyperlink r:id="rId50" w:anchor="b5" w:history="1">
        <w:r w:rsidRPr="00727DE0">
          <w:rPr>
            <w:rStyle w:val="Hyperlink"/>
            <w:rFonts w:eastAsiaTheme="majorEastAsia" w:cstheme="minorHAnsi"/>
            <w:b/>
            <w:bCs/>
            <w:color w:val="000000"/>
          </w:rPr>
          <w:t>Booth 2004</w:t>
        </w:r>
      </w:hyperlink>
      <w:r w:rsidRPr="00727DE0">
        <w:rPr>
          <w:rFonts w:cstheme="minorHAnsi"/>
        </w:rPr>
        <w:t>), we decided that the potential increase in variance associated with deer browse was not compatible with other constraints on replication in this study. In September 2002, we harvested one seedling from each of a total of 40 plots for measurement of ectomycorrhizal infection, biomass and nutrients (four plots had no surviving seedlings, and an additional four had only one seedling which was left for future measurement of growth and nutrient concentration). In September 2003 we measured the height and leaf numbers of the remaining seedlings, and removed a 17‐mm diameter leaf punch from adjacent to the midrib at the middle of the largest leaf on each seedling to measure nutrient concentrations but did not harvest whole plants. In September 2004 we harvested the remaining seedlings.</w:t>
      </w:r>
    </w:p>
    <w:p w14:paraId="15310074" w14:textId="77777777" w:rsidR="00BA109F" w:rsidRPr="00727DE0" w:rsidRDefault="00BA109F" w:rsidP="000633BD">
      <w:pPr>
        <w:rPr>
          <w:rFonts w:cstheme="minorHAnsi"/>
        </w:rPr>
      </w:pPr>
      <w:r w:rsidRPr="00727DE0">
        <w:rPr>
          <w:rFonts w:cstheme="minorHAnsi"/>
        </w:rPr>
        <w:t>We washed harvested roots under running water over a wire screen and then stored roots in water under refrigeration for no more than 21</w:t>
      </w:r>
      <w:r w:rsidRPr="00727DE0">
        <w:rPr>
          <w:rFonts w:cstheme="minorHAnsi"/>
        </w:rPr>
        <w:t> </w:t>
      </w:r>
      <w:r w:rsidRPr="00727DE0">
        <w:rPr>
          <w:rFonts w:cstheme="minorHAnsi"/>
        </w:rPr>
        <w:t>days before measurement of mycorrhizal infection. No visible degradation of roots occurred during storage. Fine roots were cut into 1–3</w:t>
      </w:r>
      <w:r w:rsidRPr="00727DE0">
        <w:rPr>
          <w:rFonts w:cstheme="minorHAnsi"/>
        </w:rPr>
        <w:t> </w:t>
      </w:r>
      <w:r w:rsidRPr="00727DE0">
        <w:rPr>
          <w:rFonts w:cstheme="minorHAnsi"/>
        </w:rPr>
        <w:t>cm sections and a random sample of at least 100 root tips per seedling were examined. On each root fragment we counted all ectomycorrhiza as the number of root tips infected, regardless of whether tips were individual monopoid mycorrhizas or part of a larger cluster of ectomycorrhizal roots. Mycorrhizal collections in 2002 were identified and are described in </w:t>
      </w:r>
      <w:hyperlink r:id="rId51" w:anchor="b20" w:history="1">
        <w:r w:rsidRPr="00727DE0">
          <w:rPr>
            <w:rStyle w:val="Hyperlink"/>
            <w:rFonts w:eastAsiaTheme="majorEastAsia" w:cstheme="minorHAnsi"/>
            <w:b/>
            <w:bCs/>
            <w:color w:val="000000"/>
          </w:rPr>
          <w:t>Dickie &amp; Reich (2005)</w:t>
        </w:r>
      </w:hyperlink>
      <w:r w:rsidRPr="00727DE0">
        <w:rPr>
          <w:rFonts w:cstheme="minorHAnsi"/>
        </w:rPr>
        <w:t>. Mycorrhizal infection in 2004 was quantified but species were not identified. Foliar N concentrations were obtained from harvested leaves (pooling all leaves from each seedling) in 2002 and 2004, and from leaf punches from 2003. Biomass was measured on an aboveground basis only, as our harvests did not obtain 100% of root tissue.</w:t>
      </w:r>
    </w:p>
    <w:p w14:paraId="13EB27E7" w14:textId="77777777" w:rsidR="00BA109F" w:rsidRPr="00727DE0" w:rsidRDefault="00BA109F" w:rsidP="000633BD">
      <w:pPr>
        <w:pStyle w:val="Heading1"/>
        <w:rPr>
          <w:rFonts w:asciiTheme="minorHAnsi" w:hAnsiTheme="minorHAnsi" w:cstheme="minorHAnsi"/>
        </w:rPr>
      </w:pPr>
      <w:r w:rsidRPr="00727DE0">
        <w:rPr>
          <w:rFonts w:asciiTheme="minorHAnsi" w:hAnsiTheme="minorHAnsi" w:cstheme="minorHAnsi"/>
        </w:rPr>
        <w:lastRenderedPageBreak/>
        <w:t>Statistics and model</w:t>
      </w:r>
    </w:p>
    <w:p w14:paraId="3F668084" w14:textId="77777777" w:rsidR="00BA109F" w:rsidRPr="00727DE0" w:rsidRDefault="00BA109F" w:rsidP="000633BD">
      <w:pPr>
        <w:rPr>
          <w:rFonts w:cstheme="minorHAnsi"/>
        </w:rPr>
      </w:pPr>
      <w:r w:rsidRPr="00727DE0">
        <w:rPr>
          <w:rFonts w:cstheme="minorHAnsi"/>
        </w:rPr>
        <w:t>Seedling mycorrhizal infection, nitrogen concentration and growth data were analysed using mixed effects models with random effects for transect within field using the lme procedure of R (2.0.1; R Foundation for Statistical Computing, Vienna, Austria). We tested significance of a ‘Field’ term and Field by Distance interactions using maximum likelihood methods and selecting the model with the lowest AIC values (</w:t>
      </w:r>
      <w:hyperlink r:id="rId52" w:anchor="b47" w:history="1">
        <w:r w:rsidRPr="00727DE0">
          <w:rPr>
            <w:rStyle w:val="Hyperlink"/>
            <w:rFonts w:eastAsiaTheme="majorEastAsia" w:cstheme="minorHAnsi"/>
            <w:b/>
            <w:bCs/>
            <w:color w:val="000000"/>
          </w:rPr>
          <w:t>Venables &amp; Ripley 2002</w:t>
        </w:r>
      </w:hyperlink>
      <w:r w:rsidRPr="00727DE0">
        <w:rPr>
          <w:rFonts w:cstheme="minorHAnsi"/>
        </w:rPr>
        <w:t>). Where appropriate, we ran regressions as quadratic functions, removing the quadratic effect if not significant. </w:t>
      </w:r>
      <w:r w:rsidRPr="00727DE0">
        <w:rPr>
          <w:rFonts w:cstheme="minorHAnsi"/>
          <w:i/>
          <w:iCs/>
        </w:rPr>
        <w:t>P</w:t>
      </w:r>
      <w:r w:rsidRPr="00727DE0">
        <w:rPr>
          <w:rFonts w:cstheme="minorHAnsi"/>
        </w:rPr>
        <w:t>‐values for fixed terms are for a full model with random terms for ‘Field’ and ‘Transect’. Correlations between variables other than distance effects were tested as linear models without incorporating random terms, largely for ease of presentation and interpretation. In no case did the simpler model result in a qualitative change in significance when compared with a mixed effects model approach.</w:t>
      </w:r>
    </w:p>
    <w:p w14:paraId="5A5D1940" w14:textId="77777777" w:rsidR="00BA109F" w:rsidRPr="00727DE0" w:rsidRDefault="00BA109F" w:rsidP="000633BD">
      <w:pPr>
        <w:rPr>
          <w:rFonts w:cstheme="minorHAnsi"/>
        </w:rPr>
      </w:pPr>
      <w:r w:rsidRPr="00727DE0">
        <w:rPr>
          <w:rFonts w:cstheme="minorHAnsi"/>
        </w:rPr>
        <w:t>Using regression equations generated from our data and data from a previous study on the same research area relating canopy openness to tree density (</w:t>
      </w:r>
      <w:hyperlink r:id="rId53" w:anchor="b37" w:history="1">
        <w:r w:rsidRPr="00727DE0">
          <w:rPr>
            <w:rStyle w:val="Hyperlink"/>
            <w:rFonts w:eastAsiaTheme="majorEastAsia" w:cstheme="minorHAnsi"/>
            <w:b/>
            <w:bCs/>
            <w:color w:val="000000"/>
          </w:rPr>
          <w:t>Peterson 1998</w:t>
        </w:r>
      </w:hyperlink>
      <w:r w:rsidRPr="00727DE0">
        <w:rPr>
          <w:rFonts w:cstheme="minorHAnsi"/>
        </w:rPr>
        <w:t>), we developed a spatially explicit model of tree–seedling interactions to model the average influence of trees on seedlings as a function of tree density. The model was programmed in R on a 250</w:t>
      </w:r>
      <w:r w:rsidRPr="00727DE0">
        <w:rPr>
          <w:rFonts w:cstheme="minorHAnsi"/>
        </w:rPr>
        <w:t> </w:t>
      </w:r>
      <w:r w:rsidRPr="00727DE0">
        <w:rPr>
          <w:rFonts w:cstheme="minorHAnsi"/>
        </w:rPr>
        <w:t>×</w:t>
      </w:r>
      <w:r w:rsidRPr="00727DE0">
        <w:rPr>
          <w:rFonts w:cstheme="minorHAnsi"/>
        </w:rPr>
        <w:t> </w:t>
      </w:r>
      <w:r w:rsidRPr="00727DE0">
        <w:rPr>
          <w:rFonts w:cstheme="minorHAnsi"/>
        </w:rPr>
        <w:t>250</w:t>
      </w:r>
      <w:r w:rsidRPr="00727DE0">
        <w:rPr>
          <w:rFonts w:cstheme="minorHAnsi"/>
        </w:rPr>
        <w:t> </w:t>
      </w:r>
      <w:r w:rsidRPr="00727DE0">
        <w:rPr>
          <w:rFonts w:cstheme="minorHAnsi"/>
        </w:rPr>
        <w:t>m landscape and run with absorbing edges under Mac OSX version 10.3.8. Model output is from 26 runs of the model with a range of densities, normally distributed tree diameters around the average of 20.8</w:t>
      </w:r>
      <w:r w:rsidRPr="00727DE0">
        <w:rPr>
          <w:rFonts w:cstheme="minorHAnsi"/>
        </w:rPr>
        <w:t> </w:t>
      </w:r>
      <w:r w:rsidRPr="00727DE0">
        <w:rPr>
          <w:rFonts w:cstheme="minorHAnsi"/>
        </w:rPr>
        <w:t>cm (from </w:t>
      </w:r>
      <w:hyperlink r:id="rId54" w:anchor="b38" w:history="1">
        <w:r w:rsidRPr="00727DE0">
          <w:rPr>
            <w:rStyle w:val="Hyperlink"/>
            <w:rFonts w:eastAsiaTheme="majorEastAsia" w:cstheme="minorHAnsi"/>
            <w:b/>
            <w:bCs/>
            <w:color w:val="000000"/>
          </w:rPr>
          <w:t>Peterson &amp; Reich 2001</w:t>
        </w:r>
      </w:hyperlink>
      <w:r w:rsidRPr="00727DE0">
        <w:rPr>
          <w:rFonts w:cstheme="minorHAnsi"/>
        </w:rPr>
        <w:t>), and the assumption of randomly distributed trees and seedlings on the landscape.</w:t>
      </w:r>
    </w:p>
    <w:p w14:paraId="409E8929" w14:textId="77777777" w:rsidR="00BA109F" w:rsidRPr="00727DE0" w:rsidRDefault="00BA109F" w:rsidP="000633BD">
      <w:pPr>
        <w:pStyle w:val="Heading1"/>
        <w:rPr>
          <w:rFonts w:asciiTheme="minorHAnsi" w:hAnsiTheme="minorHAnsi" w:cstheme="minorHAnsi"/>
        </w:rPr>
      </w:pPr>
      <w:r w:rsidRPr="00727DE0">
        <w:rPr>
          <w:rFonts w:asciiTheme="minorHAnsi" w:hAnsiTheme="minorHAnsi" w:cstheme="minorHAnsi"/>
        </w:rPr>
        <w:t>Results</w:t>
      </w:r>
    </w:p>
    <w:p w14:paraId="1D00CCBA" w14:textId="77777777" w:rsidR="00BA109F" w:rsidRPr="00727DE0" w:rsidRDefault="00BA109F" w:rsidP="000633BD">
      <w:pPr>
        <w:pStyle w:val="Heading2"/>
        <w:rPr>
          <w:rFonts w:asciiTheme="minorHAnsi" w:hAnsiTheme="minorHAnsi" w:cstheme="minorHAnsi"/>
        </w:rPr>
      </w:pPr>
      <w:r w:rsidRPr="00727DE0">
        <w:rPr>
          <w:rFonts w:asciiTheme="minorHAnsi" w:hAnsiTheme="minorHAnsi" w:cstheme="minorHAnsi"/>
        </w:rPr>
        <w:t>Site variables</w:t>
      </w:r>
    </w:p>
    <w:p w14:paraId="42BAC573" w14:textId="77777777" w:rsidR="00BA109F" w:rsidRPr="00727DE0" w:rsidRDefault="00BA109F" w:rsidP="000633BD">
      <w:pPr>
        <w:rPr>
          <w:rFonts w:cstheme="minorHAnsi"/>
        </w:rPr>
      </w:pPr>
      <w:r w:rsidRPr="00727DE0">
        <w:rPr>
          <w:rFonts w:cstheme="minorHAnsi"/>
        </w:rPr>
        <w:t>There was a strong gradient in canopy openness from 0 to 8</w:t>
      </w:r>
      <w:r w:rsidRPr="00727DE0">
        <w:rPr>
          <w:rFonts w:cstheme="minorHAnsi"/>
        </w:rPr>
        <w:t> </w:t>
      </w:r>
      <w:r w:rsidRPr="00727DE0">
        <w:rPr>
          <w:rFonts w:cstheme="minorHAnsi"/>
        </w:rPr>
        <w:t>m distance from the forest edge (</w:t>
      </w:r>
      <w:hyperlink r:id="rId55" w:anchor="f1" w:history="1">
        <w:r w:rsidRPr="00727DE0">
          <w:rPr>
            <w:rStyle w:val="Hyperlink"/>
            <w:rFonts w:eastAsiaTheme="majorEastAsia" w:cstheme="minorHAnsi"/>
            <w:b/>
            <w:bCs/>
            <w:color w:val="005274"/>
          </w:rPr>
          <w:t>Fig. 1</w:t>
        </w:r>
      </w:hyperlink>
      <w:r w:rsidRPr="00727DE0">
        <w:rPr>
          <w:rFonts w:cstheme="minorHAnsi"/>
        </w:rPr>
        <w:t>). There were also significant increases in the mass of herbaceous biomass and litter, and significant decreases in oak leaf litter with increasing distance from the forest edge (</w:t>
      </w:r>
      <w:hyperlink r:id="rId56" w:anchor="t1" w:history="1">
        <w:r w:rsidRPr="00727DE0">
          <w:rPr>
            <w:rStyle w:val="Hyperlink"/>
            <w:rFonts w:eastAsiaTheme="majorEastAsia" w:cstheme="minorHAnsi"/>
            <w:b/>
            <w:bCs/>
            <w:color w:val="005274"/>
          </w:rPr>
          <w:t>Table 1</w:t>
        </w:r>
      </w:hyperlink>
      <w:r w:rsidRPr="00727DE0">
        <w:rPr>
          <w:rFonts w:cstheme="minorHAnsi"/>
        </w:rPr>
        <w:t>). No other site variable showed strong or consistent distance effects. There were significant field effects on a number of variables, generally reflecting more fertile and slightly less acidic conditions in field 57 than in field 56, including greater oak and herbaceous litter mass, increased N content of </w:t>
      </w:r>
      <w:r w:rsidRPr="00727DE0">
        <w:rPr>
          <w:rFonts w:cstheme="minorHAnsi"/>
          <w:i/>
          <w:iCs/>
        </w:rPr>
        <w:t>Poa pratensis</w:t>
      </w:r>
      <w:r w:rsidRPr="00727DE0">
        <w:rPr>
          <w:rFonts w:cstheme="minorHAnsi"/>
        </w:rPr>
        <w:t> and </w:t>
      </w:r>
      <w:r w:rsidRPr="00727DE0">
        <w:rPr>
          <w:rFonts w:cstheme="minorHAnsi"/>
          <w:i/>
          <w:iCs/>
        </w:rPr>
        <w:t>Ambrosia artemisiifolia</w:t>
      </w:r>
      <w:r w:rsidRPr="00727DE0">
        <w:rPr>
          <w:rFonts w:cstheme="minorHAnsi"/>
        </w:rPr>
        <w:t> foliage (</w:t>
      </w:r>
      <w:hyperlink r:id="rId57" w:anchor="t1" w:history="1">
        <w:r w:rsidRPr="00727DE0">
          <w:rPr>
            <w:rStyle w:val="Hyperlink"/>
            <w:rFonts w:eastAsiaTheme="majorEastAsia" w:cstheme="minorHAnsi"/>
            <w:b/>
            <w:bCs/>
            <w:color w:val="005274"/>
          </w:rPr>
          <w:t>Table 1</w:t>
        </w:r>
      </w:hyperlink>
      <w:r w:rsidRPr="00727DE0">
        <w:rPr>
          <w:rFonts w:cstheme="minorHAnsi"/>
        </w:rPr>
        <w:t>), and slightly less acidic soil pH (mean</w:t>
      </w:r>
      <w:r w:rsidRPr="00727DE0">
        <w:rPr>
          <w:rFonts w:cstheme="minorHAnsi"/>
        </w:rPr>
        <w:t> </w:t>
      </w:r>
      <w:r w:rsidRPr="00727DE0">
        <w:rPr>
          <w:rFonts w:cstheme="minorHAnsi"/>
        </w:rPr>
        <w:t>±</w:t>
      </w:r>
      <w:r w:rsidRPr="00727DE0">
        <w:rPr>
          <w:rFonts w:cstheme="minorHAnsi"/>
        </w:rPr>
        <w:t> </w:t>
      </w:r>
      <w:r w:rsidRPr="00727DE0">
        <w:rPr>
          <w:rFonts w:cstheme="minorHAnsi"/>
        </w:rPr>
        <w:t>SE; 5.39</w:t>
      </w:r>
      <w:r w:rsidRPr="00727DE0">
        <w:rPr>
          <w:rFonts w:cstheme="minorHAnsi"/>
        </w:rPr>
        <w:t> </w:t>
      </w:r>
      <w:r w:rsidRPr="00727DE0">
        <w:rPr>
          <w:rFonts w:cstheme="minorHAnsi"/>
        </w:rPr>
        <w:t>±</w:t>
      </w:r>
      <w:r w:rsidRPr="00727DE0">
        <w:rPr>
          <w:rFonts w:cstheme="minorHAnsi"/>
        </w:rPr>
        <w:t> </w:t>
      </w:r>
      <w:r w:rsidRPr="00727DE0">
        <w:rPr>
          <w:rFonts w:cstheme="minorHAnsi"/>
        </w:rPr>
        <w:t>0.06 and 5.42</w:t>
      </w:r>
      <w:r w:rsidRPr="00727DE0">
        <w:rPr>
          <w:rFonts w:cstheme="minorHAnsi"/>
        </w:rPr>
        <w:t> </w:t>
      </w:r>
      <w:r w:rsidRPr="00727DE0">
        <w:rPr>
          <w:rFonts w:cstheme="minorHAnsi"/>
        </w:rPr>
        <w:t>±</w:t>
      </w:r>
      <w:r w:rsidRPr="00727DE0">
        <w:rPr>
          <w:rFonts w:cstheme="minorHAnsi"/>
        </w:rPr>
        <w:t> </w:t>
      </w:r>
      <w:r w:rsidRPr="00727DE0">
        <w:rPr>
          <w:rFonts w:cstheme="minorHAnsi"/>
        </w:rPr>
        <w:t>0.03 in field 56 and 57, respectively;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0.042). Multivariate analyses of vegetation composition revealed complete separation of the two fields, but no clear effect of distance in either field (not shown).</w:t>
      </w:r>
    </w:p>
    <w:p w14:paraId="1235AA5E" w14:textId="5415B6BC" w:rsidR="00BA109F" w:rsidRPr="00727DE0" w:rsidRDefault="00BA109F" w:rsidP="00BA109F">
      <w:pPr>
        <w:rPr>
          <w:rFonts w:cstheme="minorHAnsi"/>
        </w:rPr>
      </w:pPr>
      <w:r w:rsidRPr="00727DE0">
        <w:rPr>
          <w:rFonts w:cstheme="minorHAnsi"/>
          <w:noProof/>
          <w:color w:val="005274"/>
        </w:rPr>
        <w:lastRenderedPageBreak/>
        <w:drawing>
          <wp:inline distT="0" distB="0" distL="0" distR="0" wp14:anchorId="408A631C" wp14:editId="1668F899">
            <wp:extent cx="3619500" cy="2952750"/>
            <wp:effectExtent l="0" t="0" r="0" b="0"/>
            <wp:docPr id="5" name="Picture 5" descr="image">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619500" cy="2952750"/>
                    </a:xfrm>
                    <a:prstGeom prst="rect">
                      <a:avLst/>
                    </a:prstGeom>
                    <a:noFill/>
                    <a:ln>
                      <a:noFill/>
                    </a:ln>
                  </pic:spPr>
                </pic:pic>
              </a:graphicData>
            </a:graphic>
          </wp:inline>
        </w:drawing>
      </w:r>
    </w:p>
    <w:p w14:paraId="2FD5869B" w14:textId="77777777" w:rsidR="00BA109F" w:rsidRPr="00727DE0" w:rsidRDefault="00BA109F" w:rsidP="000633BD">
      <w:pPr>
        <w:pStyle w:val="Heading3"/>
        <w:rPr>
          <w:rFonts w:asciiTheme="minorHAnsi" w:hAnsiTheme="minorHAnsi" w:cstheme="minorHAnsi"/>
        </w:rPr>
      </w:pPr>
      <w:r w:rsidRPr="00727DE0">
        <w:rPr>
          <w:rStyle w:val="Strong"/>
          <w:rFonts w:asciiTheme="minorHAnsi" w:hAnsiTheme="minorHAnsi" w:cstheme="minorHAnsi"/>
          <w:b w:val="0"/>
          <w:bCs w:val="0"/>
          <w:color w:val="0D0D0D" w:themeColor="text1" w:themeTint="F2"/>
        </w:rPr>
        <w:t>Figure 1</w:t>
      </w:r>
    </w:p>
    <w:p w14:paraId="7C8696D2" w14:textId="77777777" w:rsidR="00BA109F" w:rsidRPr="00727DE0" w:rsidRDefault="00BA109F" w:rsidP="000633BD">
      <w:pPr>
        <w:rPr>
          <w:rFonts w:cstheme="minorHAnsi"/>
        </w:rPr>
      </w:pPr>
      <w:r w:rsidRPr="00727DE0">
        <w:rPr>
          <w:rFonts w:cstheme="minorHAnsi"/>
        </w:rPr>
        <w:t>Canopy openness over the southern quarter sphere of plots (LAI 2000 measure of DIFN with a 180</w:t>
      </w:r>
      <w:r w:rsidRPr="00727DE0">
        <w:rPr>
          <w:rFonts w:cstheme="minorHAnsi"/>
        </w:rPr>
        <w:t> </w:t>
      </w:r>
      <w:r w:rsidRPr="00727DE0">
        <w:rPr>
          <w:rFonts w:cstheme="minorHAnsi"/>
        </w:rPr>
        <w:t>° lens cover) as a function of distance from the edge in field 56 (dashed line, circles) and field 57 (solid line, crosses). A small amount of noise has been added to the measurement of ‘Distance’ to separate overlapping data points, all points actually fell on the distances indicated on the </w:t>
      </w:r>
      <w:r w:rsidRPr="00727DE0">
        <w:rPr>
          <w:rFonts w:cstheme="minorHAnsi"/>
          <w:i/>
          <w:iCs/>
        </w:rPr>
        <w:t>x</w:t>
      </w:r>
      <w:r w:rsidRPr="00727DE0">
        <w:rPr>
          <w:rFonts w:cstheme="minorHAnsi"/>
        </w:rPr>
        <w:t>‐axis. Lines are four‐parameter logistic functions fit independently to data from each field.</w:t>
      </w:r>
    </w:p>
    <w:p w14:paraId="5254F824" w14:textId="77777777" w:rsidR="00BA109F" w:rsidRPr="00727DE0" w:rsidRDefault="00BA109F" w:rsidP="000633BD">
      <w:pPr>
        <w:pStyle w:val="Heading3"/>
        <w:rPr>
          <w:rFonts w:asciiTheme="minorHAnsi" w:hAnsiTheme="minorHAnsi" w:cstheme="minorHAnsi"/>
        </w:rPr>
      </w:pPr>
      <w:r w:rsidRPr="00727DE0">
        <w:rPr>
          <w:rStyle w:val="table-captionlabel"/>
          <w:rFonts w:asciiTheme="minorHAnsi" w:hAnsiTheme="minorHAnsi" w:cstheme="minorHAnsi"/>
        </w:rPr>
        <w:t>Table 1. </w:t>
      </w:r>
      <w:r w:rsidRPr="00727DE0">
        <w:rPr>
          <w:rFonts w:asciiTheme="minorHAnsi" w:hAnsiTheme="minorHAnsi" w:cstheme="minorHAnsi"/>
        </w:rPr>
        <w:t>Environmental variables as a function of field and distance</w:t>
      </w:r>
    </w:p>
    <w:tbl>
      <w:tblPr>
        <w:tblStyle w:val="TableGrid"/>
        <w:tblW w:w="0" w:type="auto"/>
        <w:tblLook w:val="04A0" w:firstRow="1" w:lastRow="0" w:firstColumn="1" w:lastColumn="0" w:noHBand="0" w:noVBand="1"/>
      </w:tblPr>
      <w:tblGrid>
        <w:gridCol w:w="1953"/>
        <w:gridCol w:w="1406"/>
        <w:gridCol w:w="688"/>
        <w:gridCol w:w="688"/>
        <w:gridCol w:w="688"/>
        <w:gridCol w:w="688"/>
        <w:gridCol w:w="688"/>
        <w:gridCol w:w="957"/>
        <w:gridCol w:w="919"/>
        <w:gridCol w:w="1395"/>
      </w:tblGrid>
      <w:tr w:rsidR="00A84DD0" w:rsidRPr="00727DE0" w14:paraId="120A40EF" w14:textId="77777777" w:rsidTr="00944C5A">
        <w:tc>
          <w:tcPr>
            <w:tcW w:w="0" w:type="auto"/>
            <w:hideMark/>
          </w:tcPr>
          <w:p w14:paraId="20C04EAD" w14:textId="77777777" w:rsidR="00A84DD0" w:rsidRPr="00727DE0" w:rsidRDefault="00A84DD0" w:rsidP="00727DE0">
            <w:pPr>
              <w:pStyle w:val="NoSpacing"/>
            </w:pPr>
          </w:p>
        </w:tc>
        <w:tc>
          <w:tcPr>
            <w:tcW w:w="0" w:type="auto"/>
            <w:hideMark/>
          </w:tcPr>
          <w:p w14:paraId="424A466C" w14:textId="77777777" w:rsidR="00A84DD0" w:rsidRPr="00727DE0" w:rsidRDefault="00A84DD0" w:rsidP="00727DE0">
            <w:pPr>
              <w:pStyle w:val="NoSpacing"/>
              <w:rPr>
                <w:b/>
                <w:bCs/>
                <w:color w:val="000000"/>
                <w:sz w:val="24"/>
                <w:szCs w:val="24"/>
              </w:rPr>
            </w:pPr>
            <w:r w:rsidRPr="00727DE0">
              <w:rPr>
                <w:b/>
                <w:bCs/>
                <w:color w:val="000000"/>
              </w:rPr>
              <w:t>Distance from forest edge (m)</w:t>
            </w:r>
          </w:p>
        </w:tc>
        <w:tc>
          <w:tcPr>
            <w:tcW w:w="0" w:type="auto"/>
          </w:tcPr>
          <w:p w14:paraId="367C6C96" w14:textId="77777777" w:rsidR="00A84DD0" w:rsidRPr="00727DE0" w:rsidRDefault="00A84DD0" w:rsidP="00727DE0">
            <w:pPr>
              <w:pStyle w:val="NoSpacing"/>
              <w:rPr>
                <w:b/>
                <w:bCs/>
                <w:color w:val="000000"/>
                <w:sz w:val="24"/>
                <w:szCs w:val="24"/>
              </w:rPr>
            </w:pPr>
          </w:p>
        </w:tc>
        <w:tc>
          <w:tcPr>
            <w:tcW w:w="0" w:type="auto"/>
          </w:tcPr>
          <w:p w14:paraId="5E5E77AE" w14:textId="77777777" w:rsidR="00A84DD0" w:rsidRPr="00727DE0" w:rsidRDefault="00A84DD0" w:rsidP="00727DE0">
            <w:pPr>
              <w:pStyle w:val="NoSpacing"/>
              <w:rPr>
                <w:b/>
                <w:bCs/>
                <w:color w:val="000000"/>
                <w:sz w:val="24"/>
                <w:szCs w:val="24"/>
              </w:rPr>
            </w:pPr>
          </w:p>
        </w:tc>
        <w:tc>
          <w:tcPr>
            <w:tcW w:w="0" w:type="auto"/>
          </w:tcPr>
          <w:p w14:paraId="69222919" w14:textId="77777777" w:rsidR="00A84DD0" w:rsidRPr="00727DE0" w:rsidRDefault="00A84DD0" w:rsidP="00727DE0">
            <w:pPr>
              <w:pStyle w:val="NoSpacing"/>
              <w:rPr>
                <w:b/>
                <w:bCs/>
                <w:color w:val="000000"/>
                <w:sz w:val="24"/>
                <w:szCs w:val="24"/>
              </w:rPr>
            </w:pPr>
          </w:p>
        </w:tc>
        <w:tc>
          <w:tcPr>
            <w:tcW w:w="0" w:type="auto"/>
          </w:tcPr>
          <w:p w14:paraId="5E8F8A95" w14:textId="77777777" w:rsidR="00A84DD0" w:rsidRPr="00727DE0" w:rsidRDefault="00A84DD0" w:rsidP="00727DE0">
            <w:pPr>
              <w:pStyle w:val="NoSpacing"/>
              <w:rPr>
                <w:b/>
                <w:bCs/>
                <w:color w:val="000000"/>
                <w:sz w:val="24"/>
                <w:szCs w:val="24"/>
              </w:rPr>
            </w:pPr>
          </w:p>
        </w:tc>
        <w:tc>
          <w:tcPr>
            <w:tcW w:w="0" w:type="auto"/>
          </w:tcPr>
          <w:p w14:paraId="0C971546" w14:textId="6D3C6DB9" w:rsidR="00A84DD0" w:rsidRPr="00727DE0" w:rsidRDefault="00A84DD0" w:rsidP="00727DE0">
            <w:pPr>
              <w:pStyle w:val="NoSpacing"/>
              <w:rPr>
                <w:b/>
                <w:bCs/>
                <w:color w:val="000000"/>
                <w:sz w:val="24"/>
                <w:szCs w:val="24"/>
              </w:rPr>
            </w:pPr>
          </w:p>
        </w:tc>
        <w:tc>
          <w:tcPr>
            <w:tcW w:w="0" w:type="auto"/>
            <w:hideMark/>
          </w:tcPr>
          <w:p w14:paraId="1B17CA6A" w14:textId="77777777" w:rsidR="00A84DD0" w:rsidRPr="00727DE0" w:rsidRDefault="00A84DD0" w:rsidP="00727DE0">
            <w:pPr>
              <w:pStyle w:val="NoSpacing"/>
              <w:rPr>
                <w:b/>
                <w:bCs/>
                <w:color w:val="000000"/>
              </w:rPr>
            </w:pPr>
            <w:r w:rsidRPr="00727DE0">
              <w:rPr>
                <w:b/>
                <w:bCs/>
                <w:color w:val="000000"/>
              </w:rPr>
              <w:t>Field* (</w:t>
            </w:r>
            <w:r w:rsidRPr="00727DE0">
              <w:rPr>
                <w:b/>
                <w:bCs/>
                <w:i/>
                <w:iCs/>
                <w:color w:val="000000"/>
              </w:rPr>
              <w:t>P</w:t>
            </w:r>
            <w:r w:rsidRPr="00727DE0">
              <w:rPr>
                <w:b/>
                <w:bCs/>
                <w:color w:val="000000"/>
              </w:rPr>
              <w:t>‐value)</w:t>
            </w:r>
          </w:p>
        </w:tc>
        <w:tc>
          <w:tcPr>
            <w:tcW w:w="0" w:type="auto"/>
            <w:hideMark/>
          </w:tcPr>
          <w:p w14:paraId="7ABD0FE2" w14:textId="77777777" w:rsidR="00A84DD0" w:rsidRPr="00727DE0" w:rsidRDefault="00A84DD0" w:rsidP="00727DE0">
            <w:pPr>
              <w:pStyle w:val="NoSpacing"/>
              <w:rPr>
                <w:b/>
                <w:bCs/>
                <w:color w:val="000000"/>
              </w:rPr>
            </w:pPr>
            <w:r w:rsidRPr="00727DE0">
              <w:rPr>
                <w:b/>
                <w:bCs/>
                <w:color w:val="000000"/>
              </w:rPr>
              <w:t>Model†</w:t>
            </w:r>
          </w:p>
        </w:tc>
        <w:tc>
          <w:tcPr>
            <w:tcW w:w="0" w:type="auto"/>
            <w:hideMark/>
          </w:tcPr>
          <w:p w14:paraId="421746F7" w14:textId="77777777" w:rsidR="00A84DD0" w:rsidRPr="00727DE0" w:rsidRDefault="00A84DD0" w:rsidP="00727DE0">
            <w:pPr>
              <w:pStyle w:val="NoSpacing"/>
              <w:rPr>
                <w:b/>
                <w:bCs/>
                <w:color w:val="000000"/>
              </w:rPr>
            </w:pPr>
            <w:r w:rsidRPr="00727DE0">
              <w:rPr>
                <w:b/>
                <w:bCs/>
                <w:color w:val="000000"/>
              </w:rPr>
              <w:t>Significant fixed terms</w:t>
            </w:r>
          </w:p>
        </w:tc>
      </w:tr>
      <w:tr w:rsidR="00BA109F" w:rsidRPr="00727DE0" w14:paraId="6E77DA66" w14:textId="77777777" w:rsidTr="00727DE0">
        <w:tc>
          <w:tcPr>
            <w:tcW w:w="0" w:type="auto"/>
            <w:hideMark/>
          </w:tcPr>
          <w:p w14:paraId="2E69C414" w14:textId="77777777" w:rsidR="00BA109F" w:rsidRPr="00727DE0" w:rsidRDefault="00BA109F" w:rsidP="00727DE0">
            <w:pPr>
              <w:pStyle w:val="NoSpacing"/>
              <w:rPr>
                <w:sz w:val="24"/>
                <w:szCs w:val="24"/>
              </w:rPr>
            </w:pPr>
          </w:p>
        </w:tc>
        <w:tc>
          <w:tcPr>
            <w:tcW w:w="0" w:type="auto"/>
            <w:hideMark/>
          </w:tcPr>
          <w:p w14:paraId="2A93F009" w14:textId="77777777" w:rsidR="00BA109F" w:rsidRPr="00727DE0" w:rsidRDefault="00BA109F" w:rsidP="00727DE0">
            <w:pPr>
              <w:pStyle w:val="NoSpacing"/>
              <w:rPr>
                <w:b/>
                <w:bCs/>
                <w:color w:val="000000"/>
              </w:rPr>
            </w:pPr>
            <w:r w:rsidRPr="00727DE0">
              <w:rPr>
                <w:b/>
                <w:bCs/>
                <w:color w:val="000000"/>
              </w:rPr>
              <w:t>0</w:t>
            </w:r>
          </w:p>
        </w:tc>
        <w:tc>
          <w:tcPr>
            <w:tcW w:w="0" w:type="auto"/>
            <w:hideMark/>
          </w:tcPr>
          <w:p w14:paraId="086C48AA" w14:textId="77777777" w:rsidR="00BA109F" w:rsidRPr="00727DE0" w:rsidRDefault="00BA109F" w:rsidP="00727DE0">
            <w:pPr>
              <w:pStyle w:val="NoSpacing"/>
              <w:rPr>
                <w:b/>
                <w:bCs/>
                <w:color w:val="000000"/>
              </w:rPr>
            </w:pPr>
            <w:r w:rsidRPr="00727DE0">
              <w:rPr>
                <w:b/>
                <w:bCs/>
                <w:color w:val="000000"/>
              </w:rPr>
              <w:t>4</w:t>
            </w:r>
          </w:p>
        </w:tc>
        <w:tc>
          <w:tcPr>
            <w:tcW w:w="0" w:type="auto"/>
            <w:hideMark/>
          </w:tcPr>
          <w:p w14:paraId="3D2C487F" w14:textId="77777777" w:rsidR="00BA109F" w:rsidRPr="00727DE0" w:rsidRDefault="00BA109F" w:rsidP="00727DE0">
            <w:pPr>
              <w:pStyle w:val="NoSpacing"/>
              <w:rPr>
                <w:b/>
                <w:bCs/>
                <w:color w:val="000000"/>
              </w:rPr>
            </w:pPr>
            <w:r w:rsidRPr="00727DE0">
              <w:rPr>
                <w:b/>
                <w:bCs/>
                <w:color w:val="000000"/>
              </w:rPr>
              <w:t>8</w:t>
            </w:r>
          </w:p>
        </w:tc>
        <w:tc>
          <w:tcPr>
            <w:tcW w:w="0" w:type="auto"/>
            <w:hideMark/>
          </w:tcPr>
          <w:p w14:paraId="66E60674" w14:textId="77777777" w:rsidR="00BA109F" w:rsidRPr="00727DE0" w:rsidRDefault="00BA109F" w:rsidP="00727DE0">
            <w:pPr>
              <w:pStyle w:val="NoSpacing"/>
              <w:rPr>
                <w:b/>
                <w:bCs/>
                <w:color w:val="000000"/>
              </w:rPr>
            </w:pPr>
            <w:r w:rsidRPr="00727DE0">
              <w:rPr>
                <w:b/>
                <w:bCs/>
                <w:color w:val="000000"/>
              </w:rPr>
              <w:t>12</w:t>
            </w:r>
          </w:p>
        </w:tc>
        <w:tc>
          <w:tcPr>
            <w:tcW w:w="0" w:type="auto"/>
            <w:hideMark/>
          </w:tcPr>
          <w:p w14:paraId="21927393" w14:textId="77777777" w:rsidR="00BA109F" w:rsidRPr="00727DE0" w:rsidRDefault="00BA109F" w:rsidP="00727DE0">
            <w:pPr>
              <w:pStyle w:val="NoSpacing"/>
              <w:rPr>
                <w:b/>
                <w:bCs/>
                <w:color w:val="000000"/>
              </w:rPr>
            </w:pPr>
            <w:r w:rsidRPr="00727DE0">
              <w:rPr>
                <w:b/>
                <w:bCs/>
                <w:color w:val="000000"/>
              </w:rPr>
              <w:t>16</w:t>
            </w:r>
          </w:p>
        </w:tc>
        <w:tc>
          <w:tcPr>
            <w:tcW w:w="0" w:type="auto"/>
            <w:hideMark/>
          </w:tcPr>
          <w:p w14:paraId="0A68834E" w14:textId="77777777" w:rsidR="00BA109F" w:rsidRPr="00727DE0" w:rsidRDefault="00BA109F" w:rsidP="00727DE0">
            <w:pPr>
              <w:pStyle w:val="NoSpacing"/>
              <w:rPr>
                <w:b/>
                <w:bCs/>
                <w:color w:val="000000"/>
              </w:rPr>
            </w:pPr>
            <w:r w:rsidRPr="00727DE0">
              <w:rPr>
                <w:b/>
                <w:bCs/>
                <w:color w:val="000000"/>
              </w:rPr>
              <w:t>20</w:t>
            </w:r>
          </w:p>
        </w:tc>
        <w:tc>
          <w:tcPr>
            <w:tcW w:w="0" w:type="auto"/>
            <w:hideMark/>
          </w:tcPr>
          <w:p w14:paraId="668203F3" w14:textId="77777777" w:rsidR="00BA109F" w:rsidRPr="00727DE0" w:rsidRDefault="00BA109F" w:rsidP="00727DE0">
            <w:pPr>
              <w:pStyle w:val="NoSpacing"/>
              <w:rPr>
                <w:b/>
                <w:bCs/>
                <w:color w:val="000000"/>
                <w:sz w:val="24"/>
                <w:szCs w:val="24"/>
              </w:rPr>
            </w:pPr>
          </w:p>
        </w:tc>
        <w:tc>
          <w:tcPr>
            <w:tcW w:w="0" w:type="auto"/>
            <w:hideMark/>
          </w:tcPr>
          <w:p w14:paraId="24DE7F75" w14:textId="77777777" w:rsidR="00BA109F" w:rsidRPr="00727DE0" w:rsidRDefault="00BA109F" w:rsidP="00727DE0">
            <w:pPr>
              <w:pStyle w:val="NoSpacing"/>
              <w:rPr>
                <w:b/>
                <w:bCs/>
                <w:color w:val="000000"/>
                <w:sz w:val="24"/>
                <w:szCs w:val="24"/>
              </w:rPr>
            </w:pPr>
          </w:p>
        </w:tc>
        <w:tc>
          <w:tcPr>
            <w:tcW w:w="0" w:type="auto"/>
            <w:hideMark/>
          </w:tcPr>
          <w:p w14:paraId="06CC80DA" w14:textId="77777777" w:rsidR="00BA109F" w:rsidRPr="00727DE0" w:rsidRDefault="00BA109F" w:rsidP="00727DE0">
            <w:pPr>
              <w:pStyle w:val="NoSpacing"/>
              <w:rPr>
                <w:b/>
                <w:bCs/>
                <w:color w:val="000000"/>
                <w:sz w:val="24"/>
                <w:szCs w:val="24"/>
              </w:rPr>
            </w:pPr>
          </w:p>
        </w:tc>
      </w:tr>
      <w:tr w:rsidR="00A84DD0" w:rsidRPr="00727DE0" w14:paraId="4A033BBF" w14:textId="77777777" w:rsidTr="00727DE0">
        <w:tc>
          <w:tcPr>
            <w:tcW w:w="0" w:type="auto"/>
          </w:tcPr>
          <w:p w14:paraId="1BC0EBC2" w14:textId="213DDEBA" w:rsidR="00A84DD0" w:rsidRPr="00727DE0" w:rsidRDefault="00A84DD0" w:rsidP="00727DE0">
            <w:pPr>
              <w:pStyle w:val="NoSpacing"/>
              <w:rPr>
                <w:color w:val="000000"/>
                <w:sz w:val="18"/>
                <w:szCs w:val="18"/>
              </w:rPr>
            </w:pPr>
            <w:r w:rsidRPr="00727DE0">
              <w:rPr>
                <w:i/>
                <w:iCs/>
                <w:color w:val="000000"/>
                <w:sz w:val="18"/>
                <w:szCs w:val="18"/>
              </w:rPr>
              <w:t xml:space="preserve">Ambrosia </w:t>
            </w:r>
            <w:proofErr w:type="spellStart"/>
            <w:r w:rsidRPr="00727DE0">
              <w:rPr>
                <w:i/>
                <w:iCs/>
                <w:color w:val="000000"/>
                <w:sz w:val="18"/>
                <w:szCs w:val="18"/>
              </w:rPr>
              <w:t>artemisiifolia</w:t>
            </w:r>
            <w:proofErr w:type="spellEnd"/>
            <w:r w:rsidRPr="00727DE0">
              <w:rPr>
                <w:color w:val="000000"/>
                <w:sz w:val="18"/>
                <w:szCs w:val="18"/>
              </w:rPr>
              <w:t> leaf N concentration (%)</w:t>
            </w:r>
          </w:p>
        </w:tc>
        <w:tc>
          <w:tcPr>
            <w:tcW w:w="0" w:type="auto"/>
          </w:tcPr>
          <w:p w14:paraId="532141F3" w14:textId="77777777" w:rsidR="00A84DD0" w:rsidRPr="00727DE0" w:rsidRDefault="00A84DD0" w:rsidP="00727DE0">
            <w:pPr>
              <w:pStyle w:val="NoSpacing"/>
              <w:rPr>
                <w:color w:val="000000"/>
                <w:sz w:val="18"/>
                <w:szCs w:val="18"/>
              </w:rPr>
            </w:pPr>
          </w:p>
        </w:tc>
        <w:tc>
          <w:tcPr>
            <w:tcW w:w="0" w:type="auto"/>
          </w:tcPr>
          <w:p w14:paraId="3DEBE444" w14:textId="77777777" w:rsidR="00A84DD0" w:rsidRPr="00727DE0" w:rsidRDefault="00A84DD0" w:rsidP="00727DE0">
            <w:pPr>
              <w:pStyle w:val="NoSpacing"/>
              <w:rPr>
                <w:color w:val="000000"/>
                <w:sz w:val="18"/>
                <w:szCs w:val="18"/>
              </w:rPr>
            </w:pPr>
          </w:p>
        </w:tc>
        <w:tc>
          <w:tcPr>
            <w:tcW w:w="0" w:type="auto"/>
          </w:tcPr>
          <w:p w14:paraId="1DA0C824" w14:textId="77777777" w:rsidR="00A84DD0" w:rsidRPr="00727DE0" w:rsidRDefault="00A84DD0" w:rsidP="00727DE0">
            <w:pPr>
              <w:pStyle w:val="NoSpacing"/>
              <w:rPr>
                <w:color w:val="000000"/>
                <w:sz w:val="18"/>
                <w:szCs w:val="18"/>
              </w:rPr>
            </w:pPr>
          </w:p>
        </w:tc>
        <w:tc>
          <w:tcPr>
            <w:tcW w:w="0" w:type="auto"/>
          </w:tcPr>
          <w:p w14:paraId="3C2AD2D6" w14:textId="77777777" w:rsidR="00A84DD0" w:rsidRPr="00727DE0" w:rsidRDefault="00A84DD0" w:rsidP="00727DE0">
            <w:pPr>
              <w:pStyle w:val="NoSpacing"/>
              <w:rPr>
                <w:color w:val="000000"/>
                <w:sz w:val="18"/>
                <w:szCs w:val="18"/>
              </w:rPr>
            </w:pPr>
          </w:p>
        </w:tc>
        <w:tc>
          <w:tcPr>
            <w:tcW w:w="0" w:type="auto"/>
          </w:tcPr>
          <w:p w14:paraId="51E739B4" w14:textId="77777777" w:rsidR="00A84DD0" w:rsidRPr="00727DE0" w:rsidRDefault="00A84DD0" w:rsidP="00727DE0">
            <w:pPr>
              <w:pStyle w:val="NoSpacing"/>
              <w:rPr>
                <w:color w:val="000000"/>
                <w:sz w:val="18"/>
                <w:szCs w:val="18"/>
              </w:rPr>
            </w:pPr>
          </w:p>
        </w:tc>
        <w:tc>
          <w:tcPr>
            <w:tcW w:w="0" w:type="auto"/>
          </w:tcPr>
          <w:p w14:paraId="2E9D7FB0" w14:textId="77777777" w:rsidR="00A84DD0" w:rsidRPr="00727DE0" w:rsidRDefault="00A84DD0" w:rsidP="00727DE0">
            <w:pPr>
              <w:pStyle w:val="NoSpacing"/>
              <w:rPr>
                <w:color w:val="000000"/>
                <w:sz w:val="18"/>
                <w:szCs w:val="18"/>
              </w:rPr>
            </w:pPr>
          </w:p>
        </w:tc>
        <w:tc>
          <w:tcPr>
            <w:tcW w:w="0" w:type="auto"/>
          </w:tcPr>
          <w:p w14:paraId="6B385FD9" w14:textId="77777777" w:rsidR="00A84DD0" w:rsidRPr="00727DE0" w:rsidRDefault="00A84DD0" w:rsidP="00727DE0">
            <w:pPr>
              <w:pStyle w:val="NoSpacing"/>
              <w:rPr>
                <w:color w:val="000000"/>
                <w:sz w:val="18"/>
                <w:szCs w:val="18"/>
              </w:rPr>
            </w:pPr>
          </w:p>
        </w:tc>
        <w:tc>
          <w:tcPr>
            <w:tcW w:w="0" w:type="auto"/>
          </w:tcPr>
          <w:p w14:paraId="6CC1EAA9" w14:textId="77777777" w:rsidR="00A84DD0" w:rsidRPr="00727DE0" w:rsidRDefault="00A84DD0" w:rsidP="00727DE0">
            <w:pPr>
              <w:pStyle w:val="NoSpacing"/>
              <w:rPr>
                <w:i/>
                <w:iCs/>
                <w:color w:val="000000"/>
                <w:sz w:val="18"/>
                <w:szCs w:val="18"/>
              </w:rPr>
            </w:pPr>
          </w:p>
        </w:tc>
        <w:tc>
          <w:tcPr>
            <w:tcW w:w="0" w:type="auto"/>
          </w:tcPr>
          <w:p w14:paraId="665445B6" w14:textId="77777777" w:rsidR="00A84DD0" w:rsidRPr="00727DE0" w:rsidRDefault="00A84DD0" w:rsidP="00727DE0">
            <w:pPr>
              <w:pStyle w:val="NoSpacing"/>
              <w:rPr>
                <w:i/>
                <w:iCs/>
                <w:color w:val="000000"/>
                <w:sz w:val="18"/>
                <w:szCs w:val="18"/>
              </w:rPr>
            </w:pPr>
          </w:p>
        </w:tc>
      </w:tr>
      <w:tr w:rsidR="00BA109F" w:rsidRPr="00727DE0" w14:paraId="679AE626" w14:textId="77777777" w:rsidTr="00727DE0">
        <w:tc>
          <w:tcPr>
            <w:tcW w:w="0" w:type="auto"/>
            <w:hideMark/>
          </w:tcPr>
          <w:p w14:paraId="0043F947" w14:textId="77777777" w:rsidR="00BA109F" w:rsidRPr="00727DE0" w:rsidRDefault="00BA109F" w:rsidP="00727DE0">
            <w:pPr>
              <w:pStyle w:val="NoSpacing"/>
              <w:rPr>
                <w:color w:val="000000"/>
                <w:sz w:val="18"/>
                <w:szCs w:val="18"/>
              </w:rPr>
            </w:pPr>
            <w:r w:rsidRPr="00727DE0">
              <w:rPr>
                <w:color w:val="000000"/>
                <w:sz w:val="18"/>
                <w:szCs w:val="18"/>
              </w:rPr>
              <w:t>Field 56</w:t>
            </w:r>
          </w:p>
        </w:tc>
        <w:tc>
          <w:tcPr>
            <w:tcW w:w="0" w:type="auto"/>
            <w:hideMark/>
          </w:tcPr>
          <w:p w14:paraId="4ABEC2FB" w14:textId="77777777" w:rsidR="00BA109F" w:rsidRPr="00727DE0" w:rsidRDefault="00BA109F" w:rsidP="00727DE0">
            <w:pPr>
              <w:pStyle w:val="NoSpacing"/>
              <w:rPr>
                <w:color w:val="000000"/>
                <w:sz w:val="18"/>
                <w:szCs w:val="18"/>
              </w:rPr>
            </w:pPr>
            <w:r w:rsidRPr="00727DE0">
              <w:rPr>
                <w:color w:val="000000"/>
                <w:sz w:val="18"/>
                <w:szCs w:val="18"/>
              </w:rPr>
              <w:t>2.31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0.27</w:t>
            </w:r>
          </w:p>
        </w:tc>
        <w:tc>
          <w:tcPr>
            <w:tcW w:w="0" w:type="auto"/>
            <w:hideMark/>
          </w:tcPr>
          <w:p w14:paraId="134AEBC6" w14:textId="77777777" w:rsidR="00BA109F" w:rsidRPr="00727DE0" w:rsidRDefault="00BA109F" w:rsidP="00727DE0">
            <w:pPr>
              <w:pStyle w:val="NoSpacing"/>
              <w:rPr>
                <w:color w:val="000000"/>
                <w:sz w:val="18"/>
                <w:szCs w:val="18"/>
              </w:rPr>
            </w:pPr>
            <w:r w:rsidRPr="00727DE0">
              <w:rPr>
                <w:color w:val="000000"/>
                <w:sz w:val="18"/>
                <w:szCs w:val="18"/>
              </w:rPr>
              <w:t>2.38</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0.16</w:t>
            </w:r>
          </w:p>
        </w:tc>
        <w:tc>
          <w:tcPr>
            <w:tcW w:w="0" w:type="auto"/>
            <w:hideMark/>
          </w:tcPr>
          <w:p w14:paraId="3C43D748" w14:textId="77777777" w:rsidR="00BA109F" w:rsidRPr="00727DE0" w:rsidRDefault="00BA109F" w:rsidP="00727DE0">
            <w:pPr>
              <w:pStyle w:val="NoSpacing"/>
              <w:rPr>
                <w:color w:val="000000"/>
                <w:sz w:val="18"/>
                <w:szCs w:val="18"/>
              </w:rPr>
            </w:pPr>
            <w:r w:rsidRPr="00727DE0">
              <w:rPr>
                <w:color w:val="000000"/>
                <w:sz w:val="18"/>
                <w:szCs w:val="18"/>
              </w:rPr>
              <w:t>2.63</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0.15</w:t>
            </w:r>
          </w:p>
        </w:tc>
        <w:tc>
          <w:tcPr>
            <w:tcW w:w="0" w:type="auto"/>
            <w:hideMark/>
          </w:tcPr>
          <w:p w14:paraId="11A6C285" w14:textId="77777777" w:rsidR="00BA109F" w:rsidRPr="00727DE0" w:rsidRDefault="00BA109F" w:rsidP="00727DE0">
            <w:pPr>
              <w:pStyle w:val="NoSpacing"/>
              <w:rPr>
                <w:color w:val="000000"/>
                <w:sz w:val="18"/>
                <w:szCs w:val="18"/>
              </w:rPr>
            </w:pPr>
            <w:r w:rsidRPr="00727DE0">
              <w:rPr>
                <w:color w:val="000000"/>
                <w:sz w:val="18"/>
                <w:szCs w:val="18"/>
              </w:rPr>
              <w:t>2.35</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0.18</w:t>
            </w:r>
          </w:p>
        </w:tc>
        <w:tc>
          <w:tcPr>
            <w:tcW w:w="0" w:type="auto"/>
            <w:hideMark/>
          </w:tcPr>
          <w:p w14:paraId="4581283B" w14:textId="77777777" w:rsidR="00BA109F" w:rsidRPr="00727DE0" w:rsidRDefault="00BA109F" w:rsidP="00727DE0">
            <w:pPr>
              <w:pStyle w:val="NoSpacing"/>
              <w:rPr>
                <w:color w:val="000000"/>
                <w:sz w:val="18"/>
                <w:szCs w:val="18"/>
              </w:rPr>
            </w:pPr>
            <w:r w:rsidRPr="00727DE0">
              <w:rPr>
                <w:color w:val="000000"/>
                <w:sz w:val="18"/>
                <w:szCs w:val="18"/>
              </w:rPr>
              <w:t>2.34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0.19</w:t>
            </w:r>
          </w:p>
        </w:tc>
        <w:tc>
          <w:tcPr>
            <w:tcW w:w="0" w:type="auto"/>
            <w:hideMark/>
          </w:tcPr>
          <w:p w14:paraId="06F136F4" w14:textId="77777777" w:rsidR="00BA109F" w:rsidRPr="00727DE0" w:rsidRDefault="00BA109F" w:rsidP="00727DE0">
            <w:pPr>
              <w:pStyle w:val="NoSpacing"/>
              <w:rPr>
                <w:color w:val="000000"/>
                <w:sz w:val="18"/>
                <w:szCs w:val="18"/>
              </w:rPr>
            </w:pPr>
            <w:r w:rsidRPr="00727DE0">
              <w:rPr>
                <w:color w:val="000000"/>
                <w:sz w:val="18"/>
                <w:szCs w:val="18"/>
              </w:rPr>
              <w:t>2.11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0.35</w:t>
            </w:r>
          </w:p>
        </w:tc>
        <w:tc>
          <w:tcPr>
            <w:tcW w:w="0" w:type="auto"/>
            <w:hideMark/>
          </w:tcPr>
          <w:p w14:paraId="6ED5E81C" w14:textId="77777777" w:rsidR="00BA109F" w:rsidRPr="00727DE0" w:rsidRDefault="00BA109F" w:rsidP="00727DE0">
            <w:pPr>
              <w:pStyle w:val="NoSpacing"/>
              <w:rPr>
                <w:color w:val="000000"/>
                <w:sz w:val="18"/>
                <w:szCs w:val="18"/>
              </w:rPr>
            </w:pPr>
            <w:r w:rsidRPr="00727DE0">
              <w:rPr>
                <w:color w:val="000000"/>
                <w:sz w:val="18"/>
                <w:szCs w:val="18"/>
              </w:rPr>
              <w:t>0.041</w:t>
            </w:r>
          </w:p>
        </w:tc>
        <w:tc>
          <w:tcPr>
            <w:tcW w:w="0" w:type="auto"/>
            <w:hideMark/>
          </w:tcPr>
          <w:p w14:paraId="1F36603A" w14:textId="77777777" w:rsidR="00BA109F" w:rsidRPr="00727DE0" w:rsidRDefault="00BA109F" w:rsidP="00727DE0">
            <w:pPr>
              <w:pStyle w:val="NoSpacing"/>
              <w:rPr>
                <w:color w:val="000000"/>
                <w:sz w:val="18"/>
                <w:szCs w:val="18"/>
              </w:rPr>
            </w:pPr>
            <w:proofErr w:type="gramStart"/>
            <w:r w:rsidRPr="00727DE0">
              <w:rPr>
                <w:i/>
                <w:iCs/>
                <w:color w:val="000000"/>
                <w:sz w:val="18"/>
                <w:szCs w:val="18"/>
              </w:rPr>
              <w:t>D:F</w:t>
            </w:r>
            <w:proofErr w:type="gramEnd"/>
          </w:p>
        </w:tc>
        <w:tc>
          <w:tcPr>
            <w:tcW w:w="0" w:type="auto"/>
            <w:hideMark/>
          </w:tcPr>
          <w:p w14:paraId="041653D6" w14:textId="77777777" w:rsidR="00BA109F" w:rsidRPr="00727DE0" w:rsidRDefault="00BA109F" w:rsidP="00727DE0">
            <w:pPr>
              <w:pStyle w:val="NoSpacing"/>
              <w:rPr>
                <w:color w:val="000000"/>
                <w:sz w:val="18"/>
                <w:szCs w:val="18"/>
              </w:rPr>
            </w:pPr>
            <w:proofErr w:type="gramStart"/>
            <w:r w:rsidRPr="00727DE0">
              <w:rPr>
                <w:i/>
                <w:iCs/>
                <w:color w:val="000000"/>
                <w:sz w:val="18"/>
                <w:szCs w:val="18"/>
              </w:rPr>
              <w:t>D:F</w:t>
            </w:r>
            <w:proofErr w:type="gramEnd"/>
          </w:p>
        </w:tc>
      </w:tr>
      <w:tr w:rsidR="00BA109F" w:rsidRPr="00727DE0" w14:paraId="460BA246" w14:textId="77777777" w:rsidTr="00727DE0">
        <w:tc>
          <w:tcPr>
            <w:tcW w:w="0" w:type="auto"/>
            <w:hideMark/>
          </w:tcPr>
          <w:p w14:paraId="3C7C1C7E" w14:textId="77777777" w:rsidR="00BA109F" w:rsidRPr="00727DE0" w:rsidRDefault="00BA109F" w:rsidP="00727DE0">
            <w:pPr>
              <w:pStyle w:val="NoSpacing"/>
              <w:rPr>
                <w:color w:val="000000"/>
                <w:sz w:val="18"/>
                <w:szCs w:val="18"/>
              </w:rPr>
            </w:pPr>
            <w:r w:rsidRPr="00727DE0">
              <w:rPr>
                <w:color w:val="000000"/>
                <w:sz w:val="18"/>
                <w:szCs w:val="18"/>
              </w:rPr>
              <w:t>Field 57</w:t>
            </w:r>
          </w:p>
        </w:tc>
        <w:tc>
          <w:tcPr>
            <w:tcW w:w="0" w:type="auto"/>
            <w:hideMark/>
          </w:tcPr>
          <w:p w14:paraId="005DDBB4" w14:textId="77777777" w:rsidR="00BA109F" w:rsidRPr="00727DE0" w:rsidRDefault="00BA109F" w:rsidP="00727DE0">
            <w:pPr>
              <w:pStyle w:val="NoSpacing"/>
              <w:rPr>
                <w:color w:val="000000"/>
                <w:sz w:val="18"/>
                <w:szCs w:val="18"/>
              </w:rPr>
            </w:pPr>
            <w:r w:rsidRPr="00727DE0">
              <w:rPr>
                <w:color w:val="000000"/>
                <w:sz w:val="18"/>
                <w:szCs w:val="18"/>
              </w:rPr>
              <w:t>2.09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0.39</w:t>
            </w:r>
          </w:p>
        </w:tc>
        <w:tc>
          <w:tcPr>
            <w:tcW w:w="0" w:type="auto"/>
            <w:hideMark/>
          </w:tcPr>
          <w:p w14:paraId="2BC23845" w14:textId="77777777" w:rsidR="00BA109F" w:rsidRPr="00727DE0" w:rsidRDefault="00BA109F" w:rsidP="00727DE0">
            <w:pPr>
              <w:pStyle w:val="NoSpacing"/>
              <w:rPr>
                <w:color w:val="000000"/>
                <w:sz w:val="18"/>
                <w:szCs w:val="18"/>
              </w:rPr>
            </w:pPr>
            <w:r w:rsidRPr="00727DE0">
              <w:rPr>
                <w:color w:val="000000"/>
                <w:sz w:val="18"/>
                <w:szCs w:val="18"/>
              </w:rPr>
              <w:t>2.71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0.49</w:t>
            </w:r>
          </w:p>
        </w:tc>
        <w:tc>
          <w:tcPr>
            <w:tcW w:w="0" w:type="auto"/>
            <w:hideMark/>
          </w:tcPr>
          <w:p w14:paraId="54F58B87" w14:textId="77777777" w:rsidR="00BA109F" w:rsidRPr="00727DE0" w:rsidRDefault="00BA109F" w:rsidP="00727DE0">
            <w:pPr>
              <w:pStyle w:val="NoSpacing"/>
              <w:rPr>
                <w:color w:val="000000"/>
                <w:sz w:val="18"/>
                <w:szCs w:val="18"/>
              </w:rPr>
            </w:pPr>
            <w:r w:rsidRPr="00727DE0">
              <w:rPr>
                <w:color w:val="000000"/>
                <w:sz w:val="18"/>
                <w:szCs w:val="18"/>
              </w:rPr>
              <w:t>2.59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0.09</w:t>
            </w:r>
          </w:p>
        </w:tc>
        <w:tc>
          <w:tcPr>
            <w:tcW w:w="0" w:type="auto"/>
            <w:hideMark/>
          </w:tcPr>
          <w:p w14:paraId="6AF6A7D0" w14:textId="77777777" w:rsidR="00BA109F" w:rsidRPr="00727DE0" w:rsidRDefault="00BA109F" w:rsidP="00727DE0">
            <w:pPr>
              <w:pStyle w:val="NoSpacing"/>
              <w:rPr>
                <w:color w:val="000000"/>
                <w:sz w:val="18"/>
                <w:szCs w:val="18"/>
              </w:rPr>
            </w:pPr>
            <w:r w:rsidRPr="00727DE0">
              <w:rPr>
                <w:color w:val="000000"/>
                <w:sz w:val="18"/>
                <w:szCs w:val="18"/>
              </w:rPr>
              <w:t>2.97</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0.16</w:t>
            </w:r>
          </w:p>
        </w:tc>
        <w:tc>
          <w:tcPr>
            <w:tcW w:w="0" w:type="auto"/>
            <w:hideMark/>
          </w:tcPr>
          <w:p w14:paraId="1390B460" w14:textId="77777777" w:rsidR="00BA109F" w:rsidRPr="00727DE0" w:rsidRDefault="00BA109F" w:rsidP="00727DE0">
            <w:pPr>
              <w:pStyle w:val="NoSpacing"/>
              <w:rPr>
                <w:color w:val="000000"/>
                <w:sz w:val="18"/>
                <w:szCs w:val="18"/>
              </w:rPr>
            </w:pPr>
            <w:r w:rsidRPr="00727DE0">
              <w:rPr>
                <w:color w:val="000000"/>
                <w:sz w:val="18"/>
                <w:szCs w:val="18"/>
              </w:rPr>
              <w:t>2.97</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0.24</w:t>
            </w:r>
          </w:p>
        </w:tc>
        <w:tc>
          <w:tcPr>
            <w:tcW w:w="0" w:type="auto"/>
            <w:hideMark/>
          </w:tcPr>
          <w:p w14:paraId="31648A3D" w14:textId="77777777" w:rsidR="00BA109F" w:rsidRPr="00727DE0" w:rsidRDefault="00BA109F" w:rsidP="00727DE0">
            <w:pPr>
              <w:pStyle w:val="NoSpacing"/>
              <w:rPr>
                <w:color w:val="000000"/>
                <w:sz w:val="18"/>
                <w:szCs w:val="18"/>
              </w:rPr>
            </w:pPr>
            <w:r w:rsidRPr="00727DE0">
              <w:rPr>
                <w:color w:val="000000"/>
                <w:sz w:val="18"/>
                <w:szCs w:val="18"/>
              </w:rPr>
              <w:t>2.89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0.24</w:t>
            </w:r>
          </w:p>
        </w:tc>
        <w:tc>
          <w:tcPr>
            <w:tcW w:w="0" w:type="auto"/>
            <w:hideMark/>
          </w:tcPr>
          <w:p w14:paraId="791804F2" w14:textId="77777777" w:rsidR="00BA109F" w:rsidRPr="00727DE0" w:rsidRDefault="00BA109F" w:rsidP="00727DE0">
            <w:pPr>
              <w:pStyle w:val="NoSpacing"/>
              <w:rPr>
                <w:color w:val="000000"/>
                <w:sz w:val="18"/>
                <w:szCs w:val="18"/>
              </w:rPr>
            </w:pPr>
          </w:p>
        </w:tc>
        <w:tc>
          <w:tcPr>
            <w:tcW w:w="0" w:type="auto"/>
            <w:hideMark/>
          </w:tcPr>
          <w:p w14:paraId="2982C05C" w14:textId="77777777" w:rsidR="00BA109F" w:rsidRPr="00727DE0" w:rsidRDefault="00BA109F" w:rsidP="00727DE0">
            <w:pPr>
              <w:pStyle w:val="NoSpacing"/>
              <w:rPr>
                <w:sz w:val="20"/>
                <w:szCs w:val="20"/>
              </w:rPr>
            </w:pPr>
          </w:p>
        </w:tc>
        <w:tc>
          <w:tcPr>
            <w:tcW w:w="0" w:type="auto"/>
            <w:hideMark/>
          </w:tcPr>
          <w:p w14:paraId="181A5A6C" w14:textId="77777777" w:rsidR="00BA109F" w:rsidRPr="00727DE0" w:rsidRDefault="00BA109F" w:rsidP="00727DE0">
            <w:pPr>
              <w:pStyle w:val="NoSpacing"/>
              <w:rPr>
                <w:color w:val="000000"/>
                <w:sz w:val="18"/>
                <w:szCs w:val="18"/>
              </w:rPr>
            </w:pPr>
            <w:r w:rsidRPr="00727DE0">
              <w:rPr>
                <w:color w:val="000000"/>
                <w:sz w:val="18"/>
                <w:szCs w:val="18"/>
              </w:rPr>
              <w:t>(</w:t>
            </w:r>
            <w:r w:rsidRPr="00727DE0">
              <w:rPr>
                <w:i/>
                <w:iCs/>
                <w:color w:val="000000"/>
                <w:sz w:val="18"/>
                <w:szCs w:val="18"/>
              </w:rPr>
              <w:t>P</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0.001)</w:t>
            </w:r>
          </w:p>
        </w:tc>
      </w:tr>
      <w:tr w:rsidR="00DB7ABD" w:rsidRPr="00727DE0" w14:paraId="3F63B70A" w14:textId="77777777" w:rsidTr="00727DE0">
        <w:tc>
          <w:tcPr>
            <w:tcW w:w="0" w:type="auto"/>
          </w:tcPr>
          <w:p w14:paraId="314211D0" w14:textId="2AE6D1B7" w:rsidR="00DB7ABD" w:rsidRPr="00727DE0" w:rsidRDefault="002F5B99" w:rsidP="00727DE0">
            <w:pPr>
              <w:pStyle w:val="NoSpacing"/>
              <w:rPr>
                <w:color w:val="000000"/>
                <w:sz w:val="18"/>
                <w:szCs w:val="18"/>
              </w:rPr>
            </w:pPr>
            <w:proofErr w:type="spellStart"/>
            <w:r w:rsidRPr="00727DE0">
              <w:rPr>
                <w:color w:val="000000"/>
                <w:sz w:val="18"/>
                <w:szCs w:val="18"/>
              </w:rPr>
              <w:t>Poa</w:t>
            </w:r>
            <w:proofErr w:type="spellEnd"/>
            <w:r w:rsidRPr="00727DE0">
              <w:rPr>
                <w:color w:val="000000"/>
                <w:sz w:val="18"/>
                <w:szCs w:val="18"/>
              </w:rPr>
              <w:t xml:space="preserve"> pratensis leaf N concentration (%)</w:t>
            </w:r>
          </w:p>
        </w:tc>
        <w:tc>
          <w:tcPr>
            <w:tcW w:w="0" w:type="auto"/>
          </w:tcPr>
          <w:p w14:paraId="4EB22E5B" w14:textId="77777777" w:rsidR="00DB7ABD" w:rsidRPr="00727DE0" w:rsidRDefault="00DB7ABD" w:rsidP="00727DE0">
            <w:pPr>
              <w:pStyle w:val="NoSpacing"/>
              <w:rPr>
                <w:color w:val="000000"/>
                <w:sz w:val="18"/>
                <w:szCs w:val="18"/>
              </w:rPr>
            </w:pPr>
          </w:p>
        </w:tc>
        <w:tc>
          <w:tcPr>
            <w:tcW w:w="0" w:type="auto"/>
          </w:tcPr>
          <w:p w14:paraId="24A93213" w14:textId="77777777" w:rsidR="00DB7ABD" w:rsidRPr="00727DE0" w:rsidRDefault="00DB7ABD" w:rsidP="00727DE0">
            <w:pPr>
              <w:pStyle w:val="NoSpacing"/>
              <w:rPr>
                <w:color w:val="000000"/>
                <w:sz w:val="18"/>
                <w:szCs w:val="18"/>
              </w:rPr>
            </w:pPr>
          </w:p>
        </w:tc>
        <w:tc>
          <w:tcPr>
            <w:tcW w:w="0" w:type="auto"/>
          </w:tcPr>
          <w:p w14:paraId="09F2D4A7" w14:textId="77777777" w:rsidR="00DB7ABD" w:rsidRPr="00727DE0" w:rsidRDefault="00DB7ABD" w:rsidP="00727DE0">
            <w:pPr>
              <w:pStyle w:val="NoSpacing"/>
              <w:rPr>
                <w:color w:val="000000"/>
                <w:sz w:val="18"/>
                <w:szCs w:val="18"/>
              </w:rPr>
            </w:pPr>
          </w:p>
        </w:tc>
        <w:tc>
          <w:tcPr>
            <w:tcW w:w="0" w:type="auto"/>
          </w:tcPr>
          <w:p w14:paraId="43D4C4AA" w14:textId="77777777" w:rsidR="00DB7ABD" w:rsidRPr="00727DE0" w:rsidRDefault="00DB7ABD" w:rsidP="00727DE0">
            <w:pPr>
              <w:pStyle w:val="NoSpacing"/>
              <w:rPr>
                <w:color w:val="000000"/>
                <w:sz w:val="18"/>
                <w:szCs w:val="18"/>
              </w:rPr>
            </w:pPr>
          </w:p>
        </w:tc>
        <w:tc>
          <w:tcPr>
            <w:tcW w:w="0" w:type="auto"/>
          </w:tcPr>
          <w:p w14:paraId="548977DC" w14:textId="77777777" w:rsidR="00DB7ABD" w:rsidRPr="00727DE0" w:rsidRDefault="00DB7ABD" w:rsidP="00727DE0">
            <w:pPr>
              <w:pStyle w:val="NoSpacing"/>
              <w:rPr>
                <w:color w:val="000000"/>
                <w:sz w:val="18"/>
                <w:szCs w:val="18"/>
              </w:rPr>
            </w:pPr>
          </w:p>
        </w:tc>
        <w:tc>
          <w:tcPr>
            <w:tcW w:w="0" w:type="auto"/>
          </w:tcPr>
          <w:p w14:paraId="38C8256A" w14:textId="77777777" w:rsidR="00DB7ABD" w:rsidRPr="00727DE0" w:rsidRDefault="00DB7ABD" w:rsidP="00727DE0">
            <w:pPr>
              <w:pStyle w:val="NoSpacing"/>
              <w:rPr>
                <w:color w:val="000000"/>
                <w:sz w:val="18"/>
                <w:szCs w:val="18"/>
              </w:rPr>
            </w:pPr>
          </w:p>
        </w:tc>
        <w:tc>
          <w:tcPr>
            <w:tcW w:w="0" w:type="auto"/>
          </w:tcPr>
          <w:p w14:paraId="71501BF6" w14:textId="77777777" w:rsidR="00DB7ABD" w:rsidRPr="00727DE0" w:rsidRDefault="00DB7ABD" w:rsidP="00727DE0">
            <w:pPr>
              <w:pStyle w:val="NoSpacing"/>
              <w:rPr>
                <w:color w:val="000000"/>
                <w:sz w:val="18"/>
                <w:szCs w:val="18"/>
              </w:rPr>
            </w:pPr>
          </w:p>
        </w:tc>
        <w:tc>
          <w:tcPr>
            <w:tcW w:w="0" w:type="auto"/>
          </w:tcPr>
          <w:p w14:paraId="294D9F02" w14:textId="77777777" w:rsidR="00DB7ABD" w:rsidRPr="00727DE0" w:rsidRDefault="00DB7ABD" w:rsidP="00727DE0">
            <w:pPr>
              <w:pStyle w:val="NoSpacing"/>
              <w:rPr>
                <w:color w:val="000000"/>
                <w:sz w:val="18"/>
                <w:szCs w:val="18"/>
              </w:rPr>
            </w:pPr>
          </w:p>
        </w:tc>
        <w:tc>
          <w:tcPr>
            <w:tcW w:w="0" w:type="auto"/>
          </w:tcPr>
          <w:p w14:paraId="21D9E645" w14:textId="77777777" w:rsidR="00DB7ABD" w:rsidRPr="00727DE0" w:rsidRDefault="00DB7ABD" w:rsidP="00727DE0">
            <w:pPr>
              <w:pStyle w:val="NoSpacing"/>
              <w:rPr>
                <w:color w:val="000000"/>
                <w:sz w:val="18"/>
                <w:szCs w:val="18"/>
              </w:rPr>
            </w:pPr>
          </w:p>
        </w:tc>
      </w:tr>
      <w:tr w:rsidR="00BA109F" w:rsidRPr="00727DE0" w14:paraId="06DFA4C3" w14:textId="77777777" w:rsidTr="00727DE0">
        <w:tc>
          <w:tcPr>
            <w:tcW w:w="0" w:type="auto"/>
            <w:hideMark/>
          </w:tcPr>
          <w:p w14:paraId="2F8C07DB" w14:textId="77777777" w:rsidR="00BA109F" w:rsidRPr="00727DE0" w:rsidRDefault="00BA109F" w:rsidP="00727DE0">
            <w:pPr>
              <w:pStyle w:val="NoSpacing"/>
              <w:rPr>
                <w:color w:val="000000"/>
                <w:sz w:val="18"/>
                <w:szCs w:val="18"/>
              </w:rPr>
            </w:pPr>
            <w:r w:rsidRPr="00727DE0">
              <w:rPr>
                <w:color w:val="000000"/>
                <w:sz w:val="18"/>
                <w:szCs w:val="18"/>
              </w:rPr>
              <w:t>Field 56</w:t>
            </w:r>
          </w:p>
        </w:tc>
        <w:tc>
          <w:tcPr>
            <w:tcW w:w="0" w:type="auto"/>
            <w:hideMark/>
          </w:tcPr>
          <w:p w14:paraId="2A163713" w14:textId="77777777" w:rsidR="00BA109F" w:rsidRPr="00727DE0" w:rsidRDefault="00BA109F" w:rsidP="00727DE0">
            <w:pPr>
              <w:pStyle w:val="NoSpacing"/>
              <w:rPr>
                <w:color w:val="000000"/>
                <w:sz w:val="18"/>
                <w:szCs w:val="18"/>
              </w:rPr>
            </w:pPr>
            <w:r w:rsidRPr="00727DE0">
              <w:rPr>
                <w:color w:val="000000"/>
                <w:sz w:val="18"/>
                <w:szCs w:val="18"/>
              </w:rPr>
              <w:t>1.26</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0.07</w:t>
            </w:r>
          </w:p>
        </w:tc>
        <w:tc>
          <w:tcPr>
            <w:tcW w:w="0" w:type="auto"/>
            <w:hideMark/>
          </w:tcPr>
          <w:p w14:paraId="314B9790" w14:textId="77777777" w:rsidR="00BA109F" w:rsidRPr="00727DE0" w:rsidRDefault="00BA109F" w:rsidP="00727DE0">
            <w:pPr>
              <w:pStyle w:val="NoSpacing"/>
              <w:rPr>
                <w:color w:val="000000"/>
                <w:sz w:val="18"/>
                <w:szCs w:val="18"/>
              </w:rPr>
            </w:pPr>
            <w:r w:rsidRPr="00727DE0">
              <w:rPr>
                <w:color w:val="000000"/>
                <w:sz w:val="18"/>
                <w:szCs w:val="18"/>
              </w:rPr>
              <w:t>1.21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0.05</w:t>
            </w:r>
          </w:p>
        </w:tc>
        <w:tc>
          <w:tcPr>
            <w:tcW w:w="0" w:type="auto"/>
            <w:hideMark/>
          </w:tcPr>
          <w:p w14:paraId="3C0249FA" w14:textId="77777777" w:rsidR="00BA109F" w:rsidRPr="00727DE0" w:rsidRDefault="00BA109F" w:rsidP="00727DE0">
            <w:pPr>
              <w:pStyle w:val="NoSpacing"/>
              <w:rPr>
                <w:color w:val="000000"/>
                <w:sz w:val="18"/>
                <w:szCs w:val="18"/>
              </w:rPr>
            </w:pPr>
            <w:r w:rsidRPr="00727DE0">
              <w:rPr>
                <w:color w:val="000000"/>
                <w:sz w:val="18"/>
                <w:szCs w:val="18"/>
              </w:rPr>
              <w:t>1.21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0.05</w:t>
            </w:r>
          </w:p>
        </w:tc>
        <w:tc>
          <w:tcPr>
            <w:tcW w:w="0" w:type="auto"/>
            <w:hideMark/>
          </w:tcPr>
          <w:p w14:paraId="3EDCCD6B" w14:textId="77777777" w:rsidR="00BA109F" w:rsidRPr="00727DE0" w:rsidRDefault="00BA109F" w:rsidP="00727DE0">
            <w:pPr>
              <w:pStyle w:val="NoSpacing"/>
              <w:rPr>
                <w:color w:val="000000"/>
                <w:sz w:val="18"/>
                <w:szCs w:val="18"/>
              </w:rPr>
            </w:pPr>
            <w:r w:rsidRPr="00727DE0">
              <w:rPr>
                <w:color w:val="000000"/>
                <w:sz w:val="18"/>
                <w:szCs w:val="18"/>
              </w:rPr>
              <w:t>1.20</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0.07</w:t>
            </w:r>
          </w:p>
        </w:tc>
        <w:tc>
          <w:tcPr>
            <w:tcW w:w="0" w:type="auto"/>
            <w:hideMark/>
          </w:tcPr>
          <w:p w14:paraId="37C1544B" w14:textId="77777777" w:rsidR="00BA109F" w:rsidRPr="00727DE0" w:rsidRDefault="00BA109F" w:rsidP="00727DE0">
            <w:pPr>
              <w:pStyle w:val="NoSpacing"/>
              <w:rPr>
                <w:color w:val="000000"/>
                <w:sz w:val="18"/>
                <w:szCs w:val="18"/>
              </w:rPr>
            </w:pPr>
            <w:r w:rsidRPr="00727DE0">
              <w:rPr>
                <w:color w:val="000000"/>
                <w:sz w:val="18"/>
                <w:szCs w:val="18"/>
              </w:rPr>
              <w:t>1.17</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0.04</w:t>
            </w:r>
          </w:p>
        </w:tc>
        <w:tc>
          <w:tcPr>
            <w:tcW w:w="0" w:type="auto"/>
            <w:hideMark/>
          </w:tcPr>
          <w:p w14:paraId="0ECB9398" w14:textId="77777777" w:rsidR="00BA109F" w:rsidRPr="00727DE0" w:rsidRDefault="00BA109F" w:rsidP="00727DE0">
            <w:pPr>
              <w:pStyle w:val="NoSpacing"/>
              <w:rPr>
                <w:color w:val="000000"/>
                <w:sz w:val="18"/>
                <w:szCs w:val="18"/>
              </w:rPr>
            </w:pPr>
            <w:r w:rsidRPr="00727DE0">
              <w:rPr>
                <w:color w:val="000000"/>
                <w:sz w:val="18"/>
                <w:szCs w:val="18"/>
              </w:rPr>
              <w:t>1.22</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0.08</w:t>
            </w:r>
          </w:p>
        </w:tc>
        <w:tc>
          <w:tcPr>
            <w:tcW w:w="0" w:type="auto"/>
            <w:hideMark/>
          </w:tcPr>
          <w:p w14:paraId="32E9F999" w14:textId="77777777" w:rsidR="00BA109F" w:rsidRPr="00727DE0" w:rsidRDefault="00BA109F" w:rsidP="00727DE0">
            <w:pPr>
              <w:pStyle w:val="NoSpacing"/>
              <w:rPr>
                <w:color w:val="000000"/>
                <w:sz w:val="18"/>
                <w:szCs w:val="18"/>
              </w:rPr>
            </w:pPr>
            <w:r w:rsidRPr="00727DE0">
              <w:rPr>
                <w:color w:val="000000"/>
                <w:sz w:val="18"/>
                <w:szCs w:val="18"/>
              </w:rPr>
              <w:t>&lt;</w:t>
            </w:r>
            <w:r w:rsidRPr="00727DE0">
              <w:rPr>
                <w:color w:val="000000"/>
                <w:sz w:val="18"/>
                <w:szCs w:val="18"/>
              </w:rPr>
              <w:t> </w:t>
            </w:r>
            <w:r w:rsidRPr="00727DE0">
              <w:rPr>
                <w:color w:val="000000"/>
                <w:sz w:val="18"/>
                <w:szCs w:val="18"/>
              </w:rPr>
              <w:t>0.001</w:t>
            </w:r>
          </w:p>
        </w:tc>
        <w:tc>
          <w:tcPr>
            <w:tcW w:w="0" w:type="auto"/>
            <w:hideMark/>
          </w:tcPr>
          <w:p w14:paraId="55193214" w14:textId="77777777" w:rsidR="00BA109F" w:rsidRPr="00727DE0" w:rsidRDefault="00BA109F" w:rsidP="00727DE0">
            <w:pPr>
              <w:pStyle w:val="NoSpacing"/>
              <w:rPr>
                <w:color w:val="000000"/>
                <w:sz w:val="18"/>
                <w:szCs w:val="18"/>
              </w:rPr>
            </w:pPr>
            <w:r w:rsidRPr="00727DE0">
              <w:rPr>
                <w:color w:val="000000"/>
                <w:sz w:val="18"/>
                <w:szCs w:val="18"/>
              </w:rPr>
              <w:t>NA‡</w:t>
            </w:r>
          </w:p>
        </w:tc>
        <w:tc>
          <w:tcPr>
            <w:tcW w:w="0" w:type="auto"/>
            <w:hideMark/>
          </w:tcPr>
          <w:p w14:paraId="42A31EC1" w14:textId="77777777" w:rsidR="00BA109F" w:rsidRPr="00727DE0" w:rsidRDefault="00BA109F" w:rsidP="00727DE0">
            <w:pPr>
              <w:pStyle w:val="NoSpacing"/>
              <w:rPr>
                <w:color w:val="000000"/>
                <w:sz w:val="18"/>
                <w:szCs w:val="18"/>
              </w:rPr>
            </w:pPr>
            <w:r w:rsidRPr="00727DE0">
              <w:rPr>
                <w:color w:val="000000"/>
                <w:sz w:val="18"/>
                <w:szCs w:val="18"/>
              </w:rPr>
              <w:t>None</w:t>
            </w:r>
          </w:p>
        </w:tc>
      </w:tr>
      <w:tr w:rsidR="00BA109F" w:rsidRPr="00727DE0" w14:paraId="11640B29" w14:textId="77777777" w:rsidTr="00727DE0">
        <w:tc>
          <w:tcPr>
            <w:tcW w:w="0" w:type="auto"/>
            <w:hideMark/>
          </w:tcPr>
          <w:p w14:paraId="4CC08DBA" w14:textId="77777777" w:rsidR="00BA109F" w:rsidRPr="00727DE0" w:rsidRDefault="00BA109F" w:rsidP="00727DE0">
            <w:pPr>
              <w:pStyle w:val="NoSpacing"/>
              <w:rPr>
                <w:color w:val="000000"/>
                <w:sz w:val="18"/>
                <w:szCs w:val="18"/>
              </w:rPr>
            </w:pPr>
            <w:r w:rsidRPr="00727DE0">
              <w:rPr>
                <w:color w:val="000000"/>
                <w:sz w:val="18"/>
                <w:szCs w:val="18"/>
              </w:rPr>
              <w:t>Field 57</w:t>
            </w:r>
          </w:p>
        </w:tc>
        <w:tc>
          <w:tcPr>
            <w:tcW w:w="0" w:type="auto"/>
            <w:hideMark/>
          </w:tcPr>
          <w:p w14:paraId="1209FDF4" w14:textId="77777777" w:rsidR="00BA109F" w:rsidRPr="00727DE0" w:rsidRDefault="00BA109F" w:rsidP="00727DE0">
            <w:pPr>
              <w:pStyle w:val="NoSpacing"/>
              <w:rPr>
                <w:color w:val="000000"/>
                <w:sz w:val="18"/>
                <w:szCs w:val="18"/>
              </w:rPr>
            </w:pPr>
            <w:r w:rsidRPr="00727DE0">
              <w:rPr>
                <w:color w:val="000000"/>
                <w:sz w:val="18"/>
                <w:szCs w:val="18"/>
              </w:rPr>
              <w:t>1.74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0.08</w:t>
            </w:r>
          </w:p>
        </w:tc>
        <w:tc>
          <w:tcPr>
            <w:tcW w:w="0" w:type="auto"/>
            <w:hideMark/>
          </w:tcPr>
          <w:p w14:paraId="246023E7" w14:textId="77777777" w:rsidR="00BA109F" w:rsidRPr="00727DE0" w:rsidRDefault="00BA109F" w:rsidP="00727DE0">
            <w:pPr>
              <w:pStyle w:val="NoSpacing"/>
              <w:rPr>
                <w:color w:val="000000"/>
                <w:sz w:val="18"/>
                <w:szCs w:val="18"/>
              </w:rPr>
            </w:pPr>
            <w:r w:rsidRPr="00727DE0">
              <w:rPr>
                <w:color w:val="000000"/>
                <w:sz w:val="18"/>
                <w:szCs w:val="18"/>
              </w:rPr>
              <w:t>1.64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0.16</w:t>
            </w:r>
          </w:p>
        </w:tc>
        <w:tc>
          <w:tcPr>
            <w:tcW w:w="0" w:type="auto"/>
            <w:hideMark/>
          </w:tcPr>
          <w:p w14:paraId="174E197B" w14:textId="77777777" w:rsidR="00BA109F" w:rsidRPr="00727DE0" w:rsidRDefault="00BA109F" w:rsidP="00727DE0">
            <w:pPr>
              <w:pStyle w:val="NoSpacing"/>
              <w:rPr>
                <w:color w:val="000000"/>
                <w:sz w:val="18"/>
                <w:szCs w:val="18"/>
              </w:rPr>
            </w:pPr>
            <w:r w:rsidRPr="00727DE0">
              <w:rPr>
                <w:color w:val="000000"/>
                <w:sz w:val="18"/>
                <w:szCs w:val="18"/>
              </w:rPr>
              <w:t>1.46</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0.13</w:t>
            </w:r>
          </w:p>
        </w:tc>
        <w:tc>
          <w:tcPr>
            <w:tcW w:w="0" w:type="auto"/>
            <w:hideMark/>
          </w:tcPr>
          <w:p w14:paraId="2A343EE1" w14:textId="77777777" w:rsidR="00BA109F" w:rsidRPr="00727DE0" w:rsidRDefault="00BA109F" w:rsidP="00727DE0">
            <w:pPr>
              <w:pStyle w:val="NoSpacing"/>
              <w:rPr>
                <w:color w:val="000000"/>
                <w:sz w:val="18"/>
                <w:szCs w:val="18"/>
              </w:rPr>
            </w:pPr>
            <w:r w:rsidRPr="00727DE0">
              <w:rPr>
                <w:color w:val="000000"/>
                <w:sz w:val="18"/>
                <w:szCs w:val="18"/>
              </w:rPr>
              <w:t>1.57</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0.08</w:t>
            </w:r>
          </w:p>
        </w:tc>
        <w:tc>
          <w:tcPr>
            <w:tcW w:w="0" w:type="auto"/>
            <w:hideMark/>
          </w:tcPr>
          <w:p w14:paraId="315D043F" w14:textId="77777777" w:rsidR="00BA109F" w:rsidRPr="00727DE0" w:rsidRDefault="00BA109F" w:rsidP="00727DE0">
            <w:pPr>
              <w:pStyle w:val="NoSpacing"/>
              <w:rPr>
                <w:color w:val="000000"/>
                <w:sz w:val="18"/>
                <w:szCs w:val="18"/>
              </w:rPr>
            </w:pPr>
            <w:r w:rsidRPr="00727DE0">
              <w:rPr>
                <w:color w:val="000000"/>
                <w:sz w:val="18"/>
                <w:szCs w:val="18"/>
              </w:rPr>
              <w:t>1.89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0.45</w:t>
            </w:r>
          </w:p>
        </w:tc>
        <w:tc>
          <w:tcPr>
            <w:tcW w:w="0" w:type="auto"/>
            <w:hideMark/>
          </w:tcPr>
          <w:p w14:paraId="5878BBCD" w14:textId="77777777" w:rsidR="00BA109F" w:rsidRPr="00727DE0" w:rsidRDefault="00BA109F" w:rsidP="00727DE0">
            <w:pPr>
              <w:pStyle w:val="NoSpacing"/>
              <w:rPr>
                <w:color w:val="000000"/>
                <w:sz w:val="18"/>
                <w:szCs w:val="18"/>
              </w:rPr>
            </w:pPr>
            <w:r w:rsidRPr="00727DE0">
              <w:rPr>
                <w:color w:val="000000"/>
                <w:sz w:val="18"/>
                <w:szCs w:val="18"/>
              </w:rPr>
              <w:t>1.61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0.17</w:t>
            </w:r>
          </w:p>
        </w:tc>
        <w:tc>
          <w:tcPr>
            <w:tcW w:w="0" w:type="auto"/>
            <w:hideMark/>
          </w:tcPr>
          <w:p w14:paraId="2AC99C4A" w14:textId="77777777" w:rsidR="00BA109F" w:rsidRPr="00727DE0" w:rsidRDefault="00BA109F" w:rsidP="00727DE0">
            <w:pPr>
              <w:pStyle w:val="NoSpacing"/>
              <w:rPr>
                <w:color w:val="000000"/>
                <w:sz w:val="18"/>
                <w:szCs w:val="18"/>
              </w:rPr>
            </w:pPr>
          </w:p>
        </w:tc>
        <w:tc>
          <w:tcPr>
            <w:tcW w:w="0" w:type="auto"/>
            <w:hideMark/>
          </w:tcPr>
          <w:p w14:paraId="137D7D2E" w14:textId="77777777" w:rsidR="00BA109F" w:rsidRPr="00727DE0" w:rsidRDefault="00BA109F" w:rsidP="00727DE0">
            <w:pPr>
              <w:pStyle w:val="NoSpacing"/>
              <w:rPr>
                <w:sz w:val="20"/>
                <w:szCs w:val="20"/>
              </w:rPr>
            </w:pPr>
          </w:p>
        </w:tc>
        <w:tc>
          <w:tcPr>
            <w:tcW w:w="0" w:type="auto"/>
            <w:hideMark/>
          </w:tcPr>
          <w:p w14:paraId="50380D53" w14:textId="77777777" w:rsidR="00BA109F" w:rsidRPr="00727DE0" w:rsidRDefault="00BA109F" w:rsidP="00727DE0">
            <w:pPr>
              <w:pStyle w:val="NoSpacing"/>
              <w:rPr>
                <w:sz w:val="20"/>
                <w:szCs w:val="20"/>
              </w:rPr>
            </w:pPr>
          </w:p>
        </w:tc>
      </w:tr>
      <w:tr w:rsidR="002F5B99" w:rsidRPr="00727DE0" w14:paraId="217EBAF5" w14:textId="77777777" w:rsidTr="00727DE0">
        <w:tc>
          <w:tcPr>
            <w:tcW w:w="0" w:type="auto"/>
          </w:tcPr>
          <w:p w14:paraId="2AD76AE1" w14:textId="5304534C" w:rsidR="002F5B99" w:rsidRPr="00727DE0" w:rsidRDefault="002F5B99" w:rsidP="00727DE0">
            <w:pPr>
              <w:pStyle w:val="NoSpacing"/>
              <w:rPr>
                <w:color w:val="000000"/>
                <w:sz w:val="18"/>
                <w:szCs w:val="18"/>
              </w:rPr>
            </w:pPr>
            <w:r w:rsidRPr="00727DE0">
              <w:rPr>
                <w:color w:val="000000"/>
                <w:sz w:val="18"/>
                <w:szCs w:val="18"/>
              </w:rPr>
              <w:t>Herbaceous live aboveground biomass (g</w:t>
            </w:r>
            <w:r w:rsidRPr="00727DE0">
              <w:rPr>
                <w:color w:val="000000"/>
                <w:sz w:val="18"/>
                <w:szCs w:val="18"/>
              </w:rPr>
              <w:t> </w:t>
            </w:r>
            <w:r w:rsidRPr="00727DE0">
              <w:rPr>
                <w:color w:val="000000"/>
                <w:sz w:val="18"/>
                <w:szCs w:val="18"/>
              </w:rPr>
              <w:t>m</w:t>
            </w:r>
            <w:r w:rsidRPr="00727DE0">
              <w:rPr>
                <w:color w:val="000000"/>
                <w:sz w:val="14"/>
                <w:szCs w:val="14"/>
                <w:vertAlign w:val="superscript"/>
              </w:rPr>
              <w:t>−2</w:t>
            </w:r>
            <w:r w:rsidRPr="00727DE0">
              <w:rPr>
                <w:color w:val="000000"/>
                <w:sz w:val="18"/>
                <w:szCs w:val="18"/>
              </w:rPr>
              <w:t>)</w:t>
            </w:r>
          </w:p>
        </w:tc>
        <w:tc>
          <w:tcPr>
            <w:tcW w:w="0" w:type="auto"/>
          </w:tcPr>
          <w:p w14:paraId="252BFA41" w14:textId="77777777" w:rsidR="002F5B99" w:rsidRPr="00727DE0" w:rsidRDefault="002F5B99" w:rsidP="00727DE0">
            <w:pPr>
              <w:pStyle w:val="NoSpacing"/>
              <w:rPr>
                <w:color w:val="000000"/>
                <w:sz w:val="18"/>
                <w:szCs w:val="18"/>
              </w:rPr>
            </w:pPr>
          </w:p>
        </w:tc>
        <w:tc>
          <w:tcPr>
            <w:tcW w:w="0" w:type="auto"/>
          </w:tcPr>
          <w:p w14:paraId="232C5227" w14:textId="77777777" w:rsidR="002F5B99" w:rsidRPr="00727DE0" w:rsidRDefault="002F5B99" w:rsidP="00727DE0">
            <w:pPr>
              <w:pStyle w:val="NoSpacing"/>
              <w:rPr>
                <w:color w:val="000000"/>
                <w:sz w:val="18"/>
                <w:szCs w:val="18"/>
              </w:rPr>
            </w:pPr>
          </w:p>
        </w:tc>
        <w:tc>
          <w:tcPr>
            <w:tcW w:w="0" w:type="auto"/>
          </w:tcPr>
          <w:p w14:paraId="76586108" w14:textId="77777777" w:rsidR="002F5B99" w:rsidRPr="00727DE0" w:rsidRDefault="002F5B99" w:rsidP="00727DE0">
            <w:pPr>
              <w:pStyle w:val="NoSpacing"/>
              <w:rPr>
                <w:color w:val="000000"/>
                <w:sz w:val="18"/>
                <w:szCs w:val="18"/>
              </w:rPr>
            </w:pPr>
          </w:p>
        </w:tc>
        <w:tc>
          <w:tcPr>
            <w:tcW w:w="0" w:type="auto"/>
          </w:tcPr>
          <w:p w14:paraId="378F58F5" w14:textId="77777777" w:rsidR="002F5B99" w:rsidRPr="00727DE0" w:rsidRDefault="002F5B99" w:rsidP="00727DE0">
            <w:pPr>
              <w:pStyle w:val="NoSpacing"/>
              <w:rPr>
                <w:color w:val="000000"/>
                <w:sz w:val="18"/>
                <w:szCs w:val="18"/>
              </w:rPr>
            </w:pPr>
          </w:p>
        </w:tc>
        <w:tc>
          <w:tcPr>
            <w:tcW w:w="0" w:type="auto"/>
          </w:tcPr>
          <w:p w14:paraId="11547BF5" w14:textId="77777777" w:rsidR="002F5B99" w:rsidRPr="00727DE0" w:rsidRDefault="002F5B99" w:rsidP="00727DE0">
            <w:pPr>
              <w:pStyle w:val="NoSpacing"/>
              <w:rPr>
                <w:color w:val="000000"/>
                <w:sz w:val="18"/>
                <w:szCs w:val="18"/>
              </w:rPr>
            </w:pPr>
          </w:p>
        </w:tc>
        <w:tc>
          <w:tcPr>
            <w:tcW w:w="0" w:type="auto"/>
          </w:tcPr>
          <w:p w14:paraId="71242E62" w14:textId="77777777" w:rsidR="002F5B99" w:rsidRPr="00727DE0" w:rsidRDefault="002F5B99" w:rsidP="00727DE0">
            <w:pPr>
              <w:pStyle w:val="NoSpacing"/>
              <w:rPr>
                <w:color w:val="000000"/>
                <w:sz w:val="18"/>
                <w:szCs w:val="18"/>
              </w:rPr>
            </w:pPr>
          </w:p>
        </w:tc>
        <w:tc>
          <w:tcPr>
            <w:tcW w:w="0" w:type="auto"/>
          </w:tcPr>
          <w:p w14:paraId="14145147" w14:textId="77777777" w:rsidR="002F5B99" w:rsidRPr="00727DE0" w:rsidRDefault="002F5B99" w:rsidP="00727DE0">
            <w:pPr>
              <w:pStyle w:val="NoSpacing"/>
              <w:rPr>
                <w:color w:val="000000"/>
                <w:sz w:val="18"/>
                <w:szCs w:val="18"/>
              </w:rPr>
            </w:pPr>
          </w:p>
        </w:tc>
        <w:tc>
          <w:tcPr>
            <w:tcW w:w="0" w:type="auto"/>
          </w:tcPr>
          <w:p w14:paraId="6A7EC504" w14:textId="77777777" w:rsidR="002F5B99" w:rsidRPr="00727DE0" w:rsidRDefault="002F5B99" w:rsidP="00727DE0">
            <w:pPr>
              <w:pStyle w:val="NoSpacing"/>
              <w:rPr>
                <w:i/>
                <w:iCs/>
                <w:color w:val="000000"/>
                <w:sz w:val="18"/>
                <w:szCs w:val="18"/>
              </w:rPr>
            </w:pPr>
          </w:p>
        </w:tc>
        <w:tc>
          <w:tcPr>
            <w:tcW w:w="0" w:type="auto"/>
          </w:tcPr>
          <w:p w14:paraId="1C591B73" w14:textId="77777777" w:rsidR="002F5B99" w:rsidRPr="00727DE0" w:rsidRDefault="002F5B99" w:rsidP="00727DE0">
            <w:pPr>
              <w:pStyle w:val="NoSpacing"/>
              <w:rPr>
                <w:i/>
                <w:iCs/>
                <w:color w:val="000000"/>
                <w:sz w:val="18"/>
                <w:szCs w:val="18"/>
              </w:rPr>
            </w:pPr>
          </w:p>
        </w:tc>
      </w:tr>
      <w:tr w:rsidR="00BA109F" w:rsidRPr="00727DE0" w14:paraId="7F714245" w14:textId="77777777" w:rsidTr="00727DE0">
        <w:tc>
          <w:tcPr>
            <w:tcW w:w="0" w:type="auto"/>
            <w:hideMark/>
          </w:tcPr>
          <w:p w14:paraId="164FE0AA" w14:textId="77777777" w:rsidR="00BA109F" w:rsidRPr="00727DE0" w:rsidRDefault="00BA109F" w:rsidP="00727DE0">
            <w:pPr>
              <w:pStyle w:val="NoSpacing"/>
              <w:rPr>
                <w:color w:val="000000"/>
                <w:sz w:val="18"/>
                <w:szCs w:val="18"/>
              </w:rPr>
            </w:pPr>
            <w:r w:rsidRPr="00727DE0">
              <w:rPr>
                <w:color w:val="000000"/>
                <w:sz w:val="18"/>
                <w:szCs w:val="18"/>
              </w:rPr>
              <w:t>Field 56</w:t>
            </w:r>
          </w:p>
        </w:tc>
        <w:tc>
          <w:tcPr>
            <w:tcW w:w="0" w:type="auto"/>
            <w:hideMark/>
          </w:tcPr>
          <w:p w14:paraId="116AA55D" w14:textId="77777777" w:rsidR="00BA109F" w:rsidRPr="00727DE0" w:rsidRDefault="00BA109F" w:rsidP="00727DE0">
            <w:pPr>
              <w:pStyle w:val="NoSpacing"/>
              <w:rPr>
                <w:color w:val="000000"/>
                <w:sz w:val="18"/>
                <w:szCs w:val="18"/>
              </w:rPr>
            </w:pPr>
            <w:r w:rsidRPr="00727DE0">
              <w:rPr>
                <w:color w:val="000000"/>
                <w:sz w:val="18"/>
                <w:szCs w:val="18"/>
              </w:rPr>
              <w:t>131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21</w:t>
            </w:r>
          </w:p>
        </w:tc>
        <w:tc>
          <w:tcPr>
            <w:tcW w:w="0" w:type="auto"/>
            <w:hideMark/>
          </w:tcPr>
          <w:p w14:paraId="43569ED3" w14:textId="77777777" w:rsidR="00BA109F" w:rsidRPr="00727DE0" w:rsidRDefault="00BA109F" w:rsidP="00727DE0">
            <w:pPr>
              <w:pStyle w:val="NoSpacing"/>
              <w:rPr>
                <w:color w:val="000000"/>
                <w:sz w:val="18"/>
                <w:szCs w:val="18"/>
              </w:rPr>
            </w:pPr>
            <w:r w:rsidRPr="00727DE0">
              <w:rPr>
                <w:color w:val="000000"/>
                <w:sz w:val="18"/>
                <w:szCs w:val="18"/>
              </w:rPr>
              <w:t>108</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31</w:t>
            </w:r>
          </w:p>
        </w:tc>
        <w:tc>
          <w:tcPr>
            <w:tcW w:w="0" w:type="auto"/>
            <w:hideMark/>
          </w:tcPr>
          <w:p w14:paraId="6D17EDC6" w14:textId="77777777" w:rsidR="00BA109F" w:rsidRPr="00727DE0" w:rsidRDefault="00BA109F" w:rsidP="00727DE0">
            <w:pPr>
              <w:pStyle w:val="NoSpacing"/>
              <w:rPr>
                <w:color w:val="000000"/>
                <w:sz w:val="18"/>
                <w:szCs w:val="18"/>
              </w:rPr>
            </w:pPr>
            <w:r w:rsidRPr="00727DE0">
              <w:rPr>
                <w:color w:val="000000"/>
                <w:sz w:val="18"/>
                <w:szCs w:val="18"/>
              </w:rPr>
              <w:t>111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28</w:t>
            </w:r>
          </w:p>
        </w:tc>
        <w:tc>
          <w:tcPr>
            <w:tcW w:w="0" w:type="auto"/>
            <w:hideMark/>
          </w:tcPr>
          <w:p w14:paraId="4A09BF10" w14:textId="77777777" w:rsidR="00BA109F" w:rsidRPr="00727DE0" w:rsidRDefault="00BA109F" w:rsidP="00727DE0">
            <w:pPr>
              <w:pStyle w:val="NoSpacing"/>
              <w:rPr>
                <w:color w:val="000000"/>
                <w:sz w:val="18"/>
                <w:szCs w:val="18"/>
              </w:rPr>
            </w:pPr>
            <w:r w:rsidRPr="00727DE0">
              <w:rPr>
                <w:color w:val="000000"/>
                <w:sz w:val="18"/>
                <w:szCs w:val="18"/>
              </w:rPr>
              <w:t>147</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16</w:t>
            </w:r>
          </w:p>
        </w:tc>
        <w:tc>
          <w:tcPr>
            <w:tcW w:w="0" w:type="auto"/>
            <w:hideMark/>
          </w:tcPr>
          <w:p w14:paraId="72F3A5A5" w14:textId="77777777" w:rsidR="00BA109F" w:rsidRPr="00727DE0" w:rsidRDefault="00BA109F" w:rsidP="00727DE0">
            <w:pPr>
              <w:pStyle w:val="NoSpacing"/>
              <w:rPr>
                <w:color w:val="000000"/>
                <w:sz w:val="18"/>
                <w:szCs w:val="18"/>
              </w:rPr>
            </w:pPr>
            <w:r w:rsidRPr="00727DE0">
              <w:rPr>
                <w:color w:val="000000"/>
                <w:sz w:val="18"/>
                <w:szCs w:val="18"/>
              </w:rPr>
              <w:t>202</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45</w:t>
            </w:r>
          </w:p>
        </w:tc>
        <w:tc>
          <w:tcPr>
            <w:tcW w:w="0" w:type="auto"/>
            <w:hideMark/>
          </w:tcPr>
          <w:p w14:paraId="0826AD2C" w14:textId="77777777" w:rsidR="00BA109F" w:rsidRPr="00727DE0" w:rsidRDefault="00BA109F" w:rsidP="00727DE0">
            <w:pPr>
              <w:pStyle w:val="NoSpacing"/>
              <w:rPr>
                <w:color w:val="000000"/>
                <w:sz w:val="18"/>
                <w:szCs w:val="18"/>
              </w:rPr>
            </w:pPr>
            <w:r w:rsidRPr="00727DE0">
              <w:rPr>
                <w:color w:val="000000"/>
                <w:sz w:val="18"/>
                <w:szCs w:val="18"/>
              </w:rPr>
              <w:t>179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6</w:t>
            </w:r>
          </w:p>
        </w:tc>
        <w:tc>
          <w:tcPr>
            <w:tcW w:w="0" w:type="auto"/>
            <w:hideMark/>
          </w:tcPr>
          <w:p w14:paraId="4ECE18C5" w14:textId="77777777" w:rsidR="00BA109F" w:rsidRPr="00727DE0" w:rsidRDefault="00BA109F" w:rsidP="00727DE0">
            <w:pPr>
              <w:pStyle w:val="NoSpacing"/>
              <w:rPr>
                <w:color w:val="000000"/>
                <w:sz w:val="18"/>
                <w:szCs w:val="18"/>
              </w:rPr>
            </w:pPr>
            <w:r w:rsidRPr="00727DE0">
              <w:rPr>
                <w:color w:val="000000"/>
                <w:sz w:val="18"/>
                <w:szCs w:val="18"/>
              </w:rPr>
              <w:t>0.16</w:t>
            </w:r>
          </w:p>
        </w:tc>
        <w:tc>
          <w:tcPr>
            <w:tcW w:w="0" w:type="auto"/>
            <w:hideMark/>
          </w:tcPr>
          <w:p w14:paraId="539928B7" w14:textId="77777777" w:rsidR="00BA109F" w:rsidRPr="00727DE0" w:rsidRDefault="00BA109F" w:rsidP="00727DE0">
            <w:pPr>
              <w:pStyle w:val="NoSpacing"/>
              <w:rPr>
                <w:color w:val="000000"/>
                <w:sz w:val="18"/>
                <w:szCs w:val="18"/>
              </w:rPr>
            </w:pPr>
            <w:r w:rsidRPr="00727DE0">
              <w:rPr>
                <w:i/>
                <w:iCs/>
                <w:color w:val="000000"/>
                <w:sz w:val="18"/>
                <w:szCs w:val="18"/>
              </w:rPr>
              <w:t>D</w:t>
            </w:r>
          </w:p>
        </w:tc>
        <w:tc>
          <w:tcPr>
            <w:tcW w:w="0" w:type="auto"/>
            <w:hideMark/>
          </w:tcPr>
          <w:p w14:paraId="35BBC494" w14:textId="77777777" w:rsidR="00BA109F" w:rsidRPr="00727DE0" w:rsidRDefault="00BA109F" w:rsidP="00727DE0">
            <w:pPr>
              <w:pStyle w:val="NoSpacing"/>
              <w:rPr>
                <w:color w:val="000000"/>
                <w:sz w:val="18"/>
                <w:szCs w:val="18"/>
              </w:rPr>
            </w:pPr>
            <w:r w:rsidRPr="00727DE0">
              <w:rPr>
                <w:i/>
                <w:iCs/>
                <w:color w:val="000000"/>
                <w:sz w:val="18"/>
                <w:szCs w:val="18"/>
              </w:rPr>
              <w:t>D</w:t>
            </w:r>
            <w:r w:rsidRPr="00727DE0">
              <w:rPr>
                <w:color w:val="000000"/>
                <w:sz w:val="18"/>
                <w:szCs w:val="18"/>
              </w:rPr>
              <w:t> (</w:t>
            </w:r>
            <w:r w:rsidRPr="00727DE0">
              <w:rPr>
                <w:i/>
                <w:iCs/>
                <w:color w:val="000000"/>
                <w:sz w:val="18"/>
                <w:szCs w:val="18"/>
              </w:rPr>
              <w:t>P</w:t>
            </w:r>
            <w:r w:rsidRPr="00727DE0">
              <w:rPr>
                <w:color w:val="000000"/>
                <w:sz w:val="18"/>
                <w:szCs w:val="18"/>
              </w:rPr>
              <w:t> </w:t>
            </w:r>
            <w:r w:rsidRPr="00727DE0">
              <w:rPr>
                <w:color w:val="000000"/>
                <w:sz w:val="18"/>
                <w:szCs w:val="18"/>
              </w:rPr>
              <w:t>&lt;</w:t>
            </w:r>
            <w:r w:rsidRPr="00727DE0">
              <w:rPr>
                <w:color w:val="000000"/>
                <w:sz w:val="18"/>
                <w:szCs w:val="18"/>
              </w:rPr>
              <w:t> </w:t>
            </w:r>
            <w:r w:rsidRPr="00727DE0">
              <w:rPr>
                <w:color w:val="000000"/>
                <w:sz w:val="18"/>
                <w:szCs w:val="18"/>
              </w:rPr>
              <w:t>0.001)</w:t>
            </w:r>
          </w:p>
        </w:tc>
      </w:tr>
      <w:tr w:rsidR="00BA109F" w:rsidRPr="00727DE0" w14:paraId="5F349377" w14:textId="77777777" w:rsidTr="00727DE0">
        <w:tc>
          <w:tcPr>
            <w:tcW w:w="0" w:type="auto"/>
            <w:hideMark/>
          </w:tcPr>
          <w:p w14:paraId="37084F79" w14:textId="77777777" w:rsidR="00BA109F" w:rsidRPr="00727DE0" w:rsidRDefault="00BA109F" w:rsidP="00727DE0">
            <w:pPr>
              <w:pStyle w:val="NoSpacing"/>
              <w:rPr>
                <w:color w:val="000000"/>
                <w:sz w:val="18"/>
                <w:szCs w:val="18"/>
              </w:rPr>
            </w:pPr>
            <w:r w:rsidRPr="00727DE0">
              <w:rPr>
                <w:color w:val="000000"/>
                <w:sz w:val="18"/>
                <w:szCs w:val="18"/>
              </w:rPr>
              <w:t>Field 57</w:t>
            </w:r>
          </w:p>
        </w:tc>
        <w:tc>
          <w:tcPr>
            <w:tcW w:w="0" w:type="auto"/>
            <w:hideMark/>
          </w:tcPr>
          <w:p w14:paraId="54DD98EB" w14:textId="77777777" w:rsidR="00BA109F" w:rsidRPr="00727DE0" w:rsidRDefault="00BA109F" w:rsidP="00727DE0">
            <w:pPr>
              <w:pStyle w:val="NoSpacing"/>
              <w:rPr>
                <w:color w:val="000000"/>
                <w:sz w:val="18"/>
                <w:szCs w:val="18"/>
              </w:rPr>
            </w:pPr>
            <w:r w:rsidRPr="00727DE0">
              <w:rPr>
                <w:color w:val="000000"/>
                <w:sz w:val="18"/>
                <w:szCs w:val="18"/>
              </w:rPr>
              <w:t>52</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16</w:t>
            </w:r>
          </w:p>
        </w:tc>
        <w:tc>
          <w:tcPr>
            <w:tcW w:w="0" w:type="auto"/>
            <w:hideMark/>
          </w:tcPr>
          <w:p w14:paraId="54403F8B" w14:textId="77777777" w:rsidR="00BA109F" w:rsidRPr="00727DE0" w:rsidRDefault="00BA109F" w:rsidP="00727DE0">
            <w:pPr>
              <w:pStyle w:val="NoSpacing"/>
              <w:rPr>
                <w:color w:val="000000"/>
                <w:sz w:val="18"/>
                <w:szCs w:val="18"/>
              </w:rPr>
            </w:pPr>
            <w:r w:rsidRPr="00727DE0">
              <w:rPr>
                <w:color w:val="000000"/>
                <w:sz w:val="18"/>
                <w:szCs w:val="18"/>
              </w:rPr>
              <w:t>114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32</w:t>
            </w:r>
          </w:p>
        </w:tc>
        <w:tc>
          <w:tcPr>
            <w:tcW w:w="0" w:type="auto"/>
            <w:hideMark/>
          </w:tcPr>
          <w:p w14:paraId="3FD29EF9" w14:textId="77777777" w:rsidR="00BA109F" w:rsidRPr="00727DE0" w:rsidRDefault="00BA109F" w:rsidP="00727DE0">
            <w:pPr>
              <w:pStyle w:val="NoSpacing"/>
              <w:rPr>
                <w:color w:val="000000"/>
                <w:sz w:val="18"/>
                <w:szCs w:val="18"/>
              </w:rPr>
            </w:pPr>
            <w:r w:rsidRPr="00727DE0">
              <w:rPr>
                <w:color w:val="000000"/>
                <w:sz w:val="18"/>
                <w:szCs w:val="18"/>
              </w:rPr>
              <w:t>94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29</w:t>
            </w:r>
          </w:p>
        </w:tc>
        <w:tc>
          <w:tcPr>
            <w:tcW w:w="0" w:type="auto"/>
            <w:hideMark/>
          </w:tcPr>
          <w:p w14:paraId="0E298A61" w14:textId="77777777" w:rsidR="00BA109F" w:rsidRPr="00727DE0" w:rsidRDefault="00BA109F" w:rsidP="00727DE0">
            <w:pPr>
              <w:pStyle w:val="NoSpacing"/>
              <w:rPr>
                <w:color w:val="000000"/>
                <w:sz w:val="18"/>
                <w:szCs w:val="18"/>
              </w:rPr>
            </w:pPr>
            <w:r w:rsidRPr="00727DE0">
              <w:rPr>
                <w:color w:val="000000"/>
                <w:sz w:val="18"/>
                <w:szCs w:val="18"/>
              </w:rPr>
              <w:t>126</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12</w:t>
            </w:r>
          </w:p>
        </w:tc>
        <w:tc>
          <w:tcPr>
            <w:tcW w:w="0" w:type="auto"/>
            <w:hideMark/>
          </w:tcPr>
          <w:p w14:paraId="6AAE6F7F" w14:textId="77777777" w:rsidR="00BA109F" w:rsidRPr="00727DE0" w:rsidRDefault="00BA109F" w:rsidP="00727DE0">
            <w:pPr>
              <w:pStyle w:val="NoSpacing"/>
              <w:rPr>
                <w:color w:val="000000"/>
                <w:sz w:val="18"/>
                <w:szCs w:val="18"/>
              </w:rPr>
            </w:pPr>
            <w:r w:rsidRPr="00727DE0">
              <w:rPr>
                <w:color w:val="000000"/>
                <w:sz w:val="18"/>
                <w:szCs w:val="18"/>
              </w:rPr>
              <w:t>141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19</w:t>
            </w:r>
          </w:p>
        </w:tc>
        <w:tc>
          <w:tcPr>
            <w:tcW w:w="0" w:type="auto"/>
            <w:hideMark/>
          </w:tcPr>
          <w:p w14:paraId="40F8472F" w14:textId="77777777" w:rsidR="00BA109F" w:rsidRPr="00727DE0" w:rsidRDefault="00BA109F" w:rsidP="00727DE0">
            <w:pPr>
              <w:pStyle w:val="NoSpacing"/>
              <w:rPr>
                <w:color w:val="000000"/>
                <w:sz w:val="18"/>
                <w:szCs w:val="18"/>
              </w:rPr>
            </w:pPr>
            <w:r w:rsidRPr="00727DE0">
              <w:rPr>
                <w:color w:val="000000"/>
                <w:sz w:val="18"/>
                <w:szCs w:val="18"/>
              </w:rPr>
              <w:t>158</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15</w:t>
            </w:r>
          </w:p>
        </w:tc>
        <w:tc>
          <w:tcPr>
            <w:tcW w:w="0" w:type="auto"/>
            <w:hideMark/>
          </w:tcPr>
          <w:p w14:paraId="0FCFAD12" w14:textId="77777777" w:rsidR="00BA109F" w:rsidRPr="00727DE0" w:rsidRDefault="00BA109F" w:rsidP="00727DE0">
            <w:pPr>
              <w:pStyle w:val="NoSpacing"/>
              <w:rPr>
                <w:color w:val="000000"/>
                <w:sz w:val="18"/>
                <w:szCs w:val="18"/>
              </w:rPr>
            </w:pPr>
          </w:p>
        </w:tc>
        <w:tc>
          <w:tcPr>
            <w:tcW w:w="0" w:type="auto"/>
            <w:hideMark/>
          </w:tcPr>
          <w:p w14:paraId="2D2F3A98" w14:textId="77777777" w:rsidR="00BA109F" w:rsidRPr="00727DE0" w:rsidRDefault="00BA109F" w:rsidP="00727DE0">
            <w:pPr>
              <w:pStyle w:val="NoSpacing"/>
              <w:rPr>
                <w:sz w:val="20"/>
                <w:szCs w:val="20"/>
              </w:rPr>
            </w:pPr>
          </w:p>
        </w:tc>
        <w:tc>
          <w:tcPr>
            <w:tcW w:w="0" w:type="auto"/>
            <w:hideMark/>
          </w:tcPr>
          <w:p w14:paraId="07E7B5C2" w14:textId="77777777" w:rsidR="00BA109F" w:rsidRPr="00727DE0" w:rsidRDefault="00BA109F" w:rsidP="00727DE0">
            <w:pPr>
              <w:pStyle w:val="NoSpacing"/>
              <w:rPr>
                <w:sz w:val="20"/>
                <w:szCs w:val="20"/>
              </w:rPr>
            </w:pPr>
          </w:p>
        </w:tc>
      </w:tr>
      <w:tr w:rsidR="002F5B99" w:rsidRPr="00727DE0" w14:paraId="267FF448" w14:textId="77777777" w:rsidTr="00727DE0">
        <w:tc>
          <w:tcPr>
            <w:tcW w:w="0" w:type="auto"/>
          </w:tcPr>
          <w:p w14:paraId="52EF05AE" w14:textId="5CE714D7" w:rsidR="002F5B99" w:rsidRPr="00727DE0" w:rsidRDefault="002F5B99" w:rsidP="00727DE0">
            <w:pPr>
              <w:pStyle w:val="NoSpacing"/>
              <w:rPr>
                <w:color w:val="000000"/>
                <w:sz w:val="18"/>
                <w:szCs w:val="18"/>
              </w:rPr>
            </w:pPr>
            <w:r w:rsidRPr="00727DE0">
              <w:rPr>
                <w:color w:val="000000"/>
                <w:sz w:val="18"/>
                <w:szCs w:val="18"/>
              </w:rPr>
              <w:lastRenderedPageBreak/>
              <w:t>Oak leaf litter (g</w:t>
            </w:r>
            <w:r w:rsidRPr="00727DE0">
              <w:rPr>
                <w:color w:val="000000"/>
                <w:sz w:val="18"/>
                <w:szCs w:val="18"/>
              </w:rPr>
              <w:t> </w:t>
            </w:r>
            <w:r w:rsidRPr="00727DE0">
              <w:rPr>
                <w:color w:val="000000"/>
                <w:sz w:val="18"/>
                <w:szCs w:val="18"/>
              </w:rPr>
              <w:t>m</w:t>
            </w:r>
            <w:r w:rsidRPr="00727DE0">
              <w:rPr>
                <w:color w:val="000000"/>
                <w:sz w:val="14"/>
                <w:szCs w:val="14"/>
                <w:vertAlign w:val="superscript"/>
              </w:rPr>
              <w:t>−</w:t>
            </w:r>
            <w:proofErr w:type="gramStart"/>
            <w:r w:rsidRPr="00727DE0">
              <w:rPr>
                <w:color w:val="000000"/>
                <w:sz w:val="14"/>
                <w:szCs w:val="14"/>
                <w:vertAlign w:val="superscript"/>
              </w:rPr>
              <w:t>2</w:t>
            </w:r>
            <w:r w:rsidRPr="00727DE0">
              <w:rPr>
                <w:color w:val="000000"/>
                <w:sz w:val="18"/>
                <w:szCs w:val="18"/>
              </w:rPr>
              <w:t>)§</w:t>
            </w:r>
            <w:proofErr w:type="gramEnd"/>
          </w:p>
        </w:tc>
        <w:tc>
          <w:tcPr>
            <w:tcW w:w="0" w:type="auto"/>
          </w:tcPr>
          <w:p w14:paraId="36B9C398" w14:textId="77777777" w:rsidR="002F5B99" w:rsidRPr="00727DE0" w:rsidRDefault="002F5B99" w:rsidP="00727DE0">
            <w:pPr>
              <w:pStyle w:val="NoSpacing"/>
              <w:rPr>
                <w:color w:val="000000"/>
                <w:sz w:val="18"/>
                <w:szCs w:val="18"/>
              </w:rPr>
            </w:pPr>
          </w:p>
        </w:tc>
        <w:tc>
          <w:tcPr>
            <w:tcW w:w="0" w:type="auto"/>
          </w:tcPr>
          <w:p w14:paraId="0F9180D4" w14:textId="77777777" w:rsidR="002F5B99" w:rsidRPr="00727DE0" w:rsidRDefault="002F5B99" w:rsidP="00727DE0">
            <w:pPr>
              <w:pStyle w:val="NoSpacing"/>
              <w:rPr>
                <w:color w:val="000000"/>
                <w:sz w:val="18"/>
                <w:szCs w:val="18"/>
              </w:rPr>
            </w:pPr>
          </w:p>
        </w:tc>
        <w:tc>
          <w:tcPr>
            <w:tcW w:w="0" w:type="auto"/>
          </w:tcPr>
          <w:p w14:paraId="5C07F9FD" w14:textId="77777777" w:rsidR="002F5B99" w:rsidRPr="00727DE0" w:rsidRDefault="002F5B99" w:rsidP="00727DE0">
            <w:pPr>
              <w:pStyle w:val="NoSpacing"/>
              <w:rPr>
                <w:color w:val="000000"/>
                <w:sz w:val="18"/>
                <w:szCs w:val="18"/>
              </w:rPr>
            </w:pPr>
          </w:p>
        </w:tc>
        <w:tc>
          <w:tcPr>
            <w:tcW w:w="0" w:type="auto"/>
          </w:tcPr>
          <w:p w14:paraId="390E48DC" w14:textId="77777777" w:rsidR="002F5B99" w:rsidRPr="00727DE0" w:rsidRDefault="002F5B99" w:rsidP="00727DE0">
            <w:pPr>
              <w:pStyle w:val="NoSpacing"/>
              <w:rPr>
                <w:color w:val="000000"/>
                <w:sz w:val="18"/>
                <w:szCs w:val="18"/>
              </w:rPr>
            </w:pPr>
          </w:p>
        </w:tc>
        <w:tc>
          <w:tcPr>
            <w:tcW w:w="0" w:type="auto"/>
          </w:tcPr>
          <w:p w14:paraId="740DF39D" w14:textId="77777777" w:rsidR="002F5B99" w:rsidRPr="00727DE0" w:rsidRDefault="002F5B99" w:rsidP="00727DE0">
            <w:pPr>
              <w:pStyle w:val="NoSpacing"/>
              <w:rPr>
                <w:color w:val="000000"/>
                <w:sz w:val="18"/>
                <w:szCs w:val="18"/>
              </w:rPr>
            </w:pPr>
          </w:p>
        </w:tc>
        <w:tc>
          <w:tcPr>
            <w:tcW w:w="0" w:type="auto"/>
          </w:tcPr>
          <w:p w14:paraId="5647CA1E" w14:textId="77777777" w:rsidR="002F5B99" w:rsidRPr="00727DE0" w:rsidRDefault="002F5B99" w:rsidP="00727DE0">
            <w:pPr>
              <w:pStyle w:val="NoSpacing"/>
              <w:rPr>
                <w:color w:val="000000"/>
                <w:sz w:val="18"/>
                <w:szCs w:val="18"/>
              </w:rPr>
            </w:pPr>
          </w:p>
        </w:tc>
        <w:tc>
          <w:tcPr>
            <w:tcW w:w="0" w:type="auto"/>
          </w:tcPr>
          <w:p w14:paraId="1B21B2F3" w14:textId="77777777" w:rsidR="002F5B99" w:rsidRPr="00727DE0" w:rsidRDefault="002F5B99" w:rsidP="00727DE0">
            <w:pPr>
              <w:pStyle w:val="NoSpacing"/>
              <w:rPr>
                <w:color w:val="000000"/>
                <w:sz w:val="18"/>
                <w:szCs w:val="18"/>
              </w:rPr>
            </w:pPr>
          </w:p>
        </w:tc>
        <w:tc>
          <w:tcPr>
            <w:tcW w:w="0" w:type="auto"/>
          </w:tcPr>
          <w:p w14:paraId="76DAC3C7" w14:textId="77777777" w:rsidR="002F5B99" w:rsidRPr="00727DE0" w:rsidRDefault="002F5B99" w:rsidP="00727DE0">
            <w:pPr>
              <w:pStyle w:val="NoSpacing"/>
              <w:rPr>
                <w:i/>
                <w:iCs/>
                <w:color w:val="000000"/>
                <w:sz w:val="18"/>
                <w:szCs w:val="18"/>
              </w:rPr>
            </w:pPr>
          </w:p>
        </w:tc>
        <w:tc>
          <w:tcPr>
            <w:tcW w:w="0" w:type="auto"/>
          </w:tcPr>
          <w:p w14:paraId="4195AFA4" w14:textId="77777777" w:rsidR="002F5B99" w:rsidRPr="00727DE0" w:rsidRDefault="002F5B99" w:rsidP="00727DE0">
            <w:pPr>
              <w:pStyle w:val="NoSpacing"/>
              <w:rPr>
                <w:i/>
                <w:iCs/>
                <w:color w:val="000000"/>
                <w:sz w:val="18"/>
                <w:szCs w:val="18"/>
              </w:rPr>
            </w:pPr>
          </w:p>
        </w:tc>
      </w:tr>
      <w:tr w:rsidR="00BA109F" w:rsidRPr="00727DE0" w14:paraId="42AF8172" w14:textId="77777777" w:rsidTr="00727DE0">
        <w:tc>
          <w:tcPr>
            <w:tcW w:w="0" w:type="auto"/>
            <w:hideMark/>
          </w:tcPr>
          <w:p w14:paraId="0D86D03B" w14:textId="77777777" w:rsidR="00BA109F" w:rsidRPr="00727DE0" w:rsidRDefault="00BA109F" w:rsidP="00727DE0">
            <w:pPr>
              <w:pStyle w:val="NoSpacing"/>
              <w:rPr>
                <w:color w:val="000000"/>
                <w:sz w:val="18"/>
                <w:szCs w:val="18"/>
              </w:rPr>
            </w:pPr>
            <w:r w:rsidRPr="00727DE0">
              <w:rPr>
                <w:color w:val="000000"/>
                <w:sz w:val="18"/>
                <w:szCs w:val="18"/>
              </w:rPr>
              <w:t>Field 56</w:t>
            </w:r>
          </w:p>
        </w:tc>
        <w:tc>
          <w:tcPr>
            <w:tcW w:w="0" w:type="auto"/>
            <w:hideMark/>
          </w:tcPr>
          <w:p w14:paraId="07EF2687" w14:textId="77777777" w:rsidR="00BA109F" w:rsidRPr="00727DE0" w:rsidRDefault="00BA109F" w:rsidP="00727DE0">
            <w:pPr>
              <w:pStyle w:val="NoSpacing"/>
              <w:rPr>
                <w:color w:val="000000"/>
                <w:sz w:val="18"/>
                <w:szCs w:val="18"/>
              </w:rPr>
            </w:pPr>
            <w:r w:rsidRPr="00727DE0">
              <w:rPr>
                <w:color w:val="000000"/>
                <w:sz w:val="18"/>
                <w:szCs w:val="18"/>
              </w:rPr>
              <w:t>379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94</w:t>
            </w:r>
          </w:p>
        </w:tc>
        <w:tc>
          <w:tcPr>
            <w:tcW w:w="0" w:type="auto"/>
            <w:hideMark/>
          </w:tcPr>
          <w:p w14:paraId="7CA5BA44" w14:textId="77777777" w:rsidR="00BA109F" w:rsidRPr="00727DE0" w:rsidRDefault="00BA109F" w:rsidP="00727DE0">
            <w:pPr>
              <w:pStyle w:val="NoSpacing"/>
              <w:rPr>
                <w:color w:val="000000"/>
                <w:sz w:val="18"/>
                <w:szCs w:val="18"/>
              </w:rPr>
            </w:pPr>
            <w:r w:rsidRPr="00727DE0">
              <w:rPr>
                <w:color w:val="000000"/>
                <w:sz w:val="18"/>
                <w:szCs w:val="18"/>
              </w:rPr>
              <w:t>76</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17</w:t>
            </w:r>
          </w:p>
        </w:tc>
        <w:tc>
          <w:tcPr>
            <w:tcW w:w="0" w:type="auto"/>
            <w:hideMark/>
          </w:tcPr>
          <w:p w14:paraId="7CE7CFDD" w14:textId="77777777" w:rsidR="00BA109F" w:rsidRPr="00727DE0" w:rsidRDefault="00BA109F" w:rsidP="00727DE0">
            <w:pPr>
              <w:pStyle w:val="NoSpacing"/>
              <w:rPr>
                <w:color w:val="000000"/>
                <w:sz w:val="18"/>
                <w:szCs w:val="18"/>
              </w:rPr>
            </w:pPr>
            <w:r w:rsidRPr="00727DE0">
              <w:rPr>
                <w:color w:val="000000"/>
                <w:sz w:val="18"/>
                <w:szCs w:val="18"/>
              </w:rPr>
              <w:t>43</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19</w:t>
            </w:r>
          </w:p>
        </w:tc>
        <w:tc>
          <w:tcPr>
            <w:tcW w:w="0" w:type="auto"/>
            <w:hideMark/>
          </w:tcPr>
          <w:p w14:paraId="641E5994" w14:textId="77777777" w:rsidR="00BA109F" w:rsidRPr="00727DE0" w:rsidRDefault="00BA109F" w:rsidP="00727DE0">
            <w:pPr>
              <w:pStyle w:val="NoSpacing"/>
              <w:rPr>
                <w:color w:val="000000"/>
                <w:sz w:val="18"/>
                <w:szCs w:val="18"/>
              </w:rPr>
            </w:pPr>
            <w:r w:rsidRPr="00727DE0">
              <w:rPr>
                <w:color w:val="000000"/>
                <w:sz w:val="18"/>
                <w:szCs w:val="18"/>
              </w:rPr>
              <w:t>26</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11</w:t>
            </w:r>
          </w:p>
        </w:tc>
        <w:tc>
          <w:tcPr>
            <w:tcW w:w="0" w:type="auto"/>
            <w:hideMark/>
          </w:tcPr>
          <w:p w14:paraId="7B5F6C30" w14:textId="77777777" w:rsidR="00BA109F" w:rsidRPr="00727DE0" w:rsidRDefault="00BA109F" w:rsidP="00727DE0">
            <w:pPr>
              <w:pStyle w:val="NoSpacing"/>
              <w:rPr>
                <w:color w:val="000000"/>
                <w:sz w:val="18"/>
                <w:szCs w:val="18"/>
              </w:rPr>
            </w:pPr>
            <w:r w:rsidRPr="00727DE0">
              <w:rPr>
                <w:color w:val="000000"/>
                <w:sz w:val="18"/>
                <w:szCs w:val="18"/>
              </w:rPr>
              <w:t>12</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1</w:t>
            </w:r>
          </w:p>
        </w:tc>
        <w:tc>
          <w:tcPr>
            <w:tcW w:w="0" w:type="auto"/>
            <w:hideMark/>
          </w:tcPr>
          <w:p w14:paraId="16C65D15" w14:textId="77777777" w:rsidR="00BA109F" w:rsidRPr="00727DE0" w:rsidRDefault="00BA109F" w:rsidP="00727DE0">
            <w:pPr>
              <w:pStyle w:val="NoSpacing"/>
              <w:rPr>
                <w:color w:val="000000"/>
                <w:sz w:val="18"/>
                <w:szCs w:val="18"/>
              </w:rPr>
            </w:pPr>
            <w:r w:rsidRPr="00727DE0">
              <w:rPr>
                <w:color w:val="000000"/>
                <w:sz w:val="18"/>
                <w:szCs w:val="18"/>
              </w:rPr>
              <w:t>8</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w:t>
            </w:r>
          </w:p>
        </w:tc>
        <w:tc>
          <w:tcPr>
            <w:tcW w:w="0" w:type="auto"/>
            <w:hideMark/>
          </w:tcPr>
          <w:p w14:paraId="52EDBAFB" w14:textId="77777777" w:rsidR="00BA109F" w:rsidRPr="00727DE0" w:rsidRDefault="00BA109F" w:rsidP="00727DE0">
            <w:pPr>
              <w:pStyle w:val="NoSpacing"/>
              <w:rPr>
                <w:color w:val="000000"/>
                <w:sz w:val="18"/>
                <w:szCs w:val="18"/>
              </w:rPr>
            </w:pPr>
            <w:r w:rsidRPr="00727DE0">
              <w:rPr>
                <w:color w:val="000000"/>
                <w:sz w:val="18"/>
                <w:szCs w:val="18"/>
              </w:rPr>
              <w:t>&lt;</w:t>
            </w:r>
            <w:r w:rsidRPr="00727DE0">
              <w:rPr>
                <w:color w:val="000000"/>
                <w:sz w:val="18"/>
                <w:szCs w:val="18"/>
              </w:rPr>
              <w:t> </w:t>
            </w:r>
            <w:r w:rsidRPr="00727DE0">
              <w:rPr>
                <w:color w:val="000000"/>
                <w:sz w:val="18"/>
                <w:szCs w:val="18"/>
              </w:rPr>
              <w:t>0.001</w:t>
            </w:r>
          </w:p>
        </w:tc>
        <w:tc>
          <w:tcPr>
            <w:tcW w:w="0" w:type="auto"/>
            <w:hideMark/>
          </w:tcPr>
          <w:p w14:paraId="052B0C8C" w14:textId="77777777" w:rsidR="00BA109F" w:rsidRPr="00727DE0" w:rsidRDefault="00BA109F" w:rsidP="00727DE0">
            <w:pPr>
              <w:pStyle w:val="NoSpacing"/>
              <w:rPr>
                <w:color w:val="000000"/>
                <w:sz w:val="18"/>
                <w:szCs w:val="18"/>
              </w:rPr>
            </w:pPr>
            <w:r w:rsidRPr="00727DE0">
              <w:rPr>
                <w:i/>
                <w:iCs/>
                <w:color w:val="000000"/>
                <w:sz w:val="18"/>
                <w:szCs w:val="18"/>
              </w:rPr>
              <w:t>D</w:t>
            </w:r>
            <w:r w:rsidRPr="00727DE0">
              <w:rPr>
                <w:color w:val="000000"/>
                <w:sz w:val="18"/>
                <w:szCs w:val="18"/>
              </w:rPr>
              <w:t> </w:t>
            </w:r>
            <w:r w:rsidRPr="00727DE0">
              <w:rPr>
                <w:color w:val="000000"/>
                <w:sz w:val="18"/>
                <w:szCs w:val="18"/>
              </w:rPr>
              <w:t>+</w:t>
            </w:r>
            <w:r w:rsidRPr="00727DE0">
              <w:rPr>
                <w:color w:val="000000"/>
                <w:sz w:val="18"/>
                <w:szCs w:val="18"/>
              </w:rPr>
              <w:t> </w:t>
            </w:r>
            <w:r w:rsidRPr="00727DE0">
              <w:rPr>
                <w:i/>
                <w:iCs/>
                <w:color w:val="000000"/>
                <w:sz w:val="18"/>
                <w:szCs w:val="18"/>
              </w:rPr>
              <w:t>D</w:t>
            </w:r>
            <w:r w:rsidRPr="00727DE0">
              <w:rPr>
                <w:color w:val="000000"/>
                <w:sz w:val="14"/>
                <w:szCs w:val="14"/>
                <w:vertAlign w:val="superscript"/>
              </w:rPr>
              <w:t> 2</w:t>
            </w:r>
          </w:p>
        </w:tc>
        <w:tc>
          <w:tcPr>
            <w:tcW w:w="0" w:type="auto"/>
            <w:hideMark/>
          </w:tcPr>
          <w:p w14:paraId="5F8D16C6" w14:textId="77777777" w:rsidR="00BA109F" w:rsidRPr="00727DE0" w:rsidRDefault="00BA109F" w:rsidP="00727DE0">
            <w:pPr>
              <w:pStyle w:val="NoSpacing"/>
              <w:rPr>
                <w:color w:val="000000"/>
                <w:sz w:val="18"/>
                <w:szCs w:val="18"/>
              </w:rPr>
            </w:pPr>
            <w:r w:rsidRPr="00727DE0">
              <w:rPr>
                <w:i/>
                <w:iCs/>
                <w:color w:val="000000"/>
                <w:sz w:val="18"/>
                <w:szCs w:val="18"/>
              </w:rPr>
              <w:t>D</w:t>
            </w:r>
            <w:r w:rsidRPr="00727DE0">
              <w:rPr>
                <w:color w:val="000000"/>
                <w:sz w:val="18"/>
                <w:szCs w:val="18"/>
              </w:rPr>
              <w:t> (</w:t>
            </w:r>
            <w:r w:rsidRPr="00727DE0">
              <w:rPr>
                <w:i/>
                <w:iCs/>
                <w:color w:val="000000"/>
                <w:sz w:val="18"/>
                <w:szCs w:val="18"/>
              </w:rPr>
              <w:t>P</w:t>
            </w:r>
            <w:r w:rsidRPr="00727DE0">
              <w:rPr>
                <w:color w:val="000000"/>
                <w:sz w:val="18"/>
                <w:szCs w:val="18"/>
              </w:rPr>
              <w:t> </w:t>
            </w:r>
            <w:r w:rsidRPr="00727DE0">
              <w:rPr>
                <w:color w:val="000000"/>
                <w:sz w:val="18"/>
                <w:szCs w:val="18"/>
              </w:rPr>
              <w:t>&lt;</w:t>
            </w:r>
            <w:r w:rsidRPr="00727DE0">
              <w:rPr>
                <w:color w:val="000000"/>
                <w:sz w:val="18"/>
                <w:szCs w:val="18"/>
              </w:rPr>
              <w:t> </w:t>
            </w:r>
            <w:r w:rsidRPr="00727DE0">
              <w:rPr>
                <w:color w:val="000000"/>
                <w:sz w:val="18"/>
                <w:szCs w:val="18"/>
              </w:rPr>
              <w:t>0.001),</w:t>
            </w:r>
          </w:p>
        </w:tc>
      </w:tr>
      <w:tr w:rsidR="00BA109F" w:rsidRPr="00727DE0" w14:paraId="0F899524" w14:textId="77777777" w:rsidTr="00727DE0">
        <w:tc>
          <w:tcPr>
            <w:tcW w:w="0" w:type="auto"/>
            <w:hideMark/>
          </w:tcPr>
          <w:p w14:paraId="6205D23F" w14:textId="77777777" w:rsidR="00BA109F" w:rsidRPr="00727DE0" w:rsidRDefault="00BA109F" w:rsidP="00727DE0">
            <w:pPr>
              <w:pStyle w:val="NoSpacing"/>
              <w:rPr>
                <w:color w:val="000000"/>
                <w:sz w:val="18"/>
                <w:szCs w:val="18"/>
              </w:rPr>
            </w:pPr>
            <w:r w:rsidRPr="00727DE0">
              <w:rPr>
                <w:color w:val="000000"/>
                <w:sz w:val="18"/>
                <w:szCs w:val="18"/>
              </w:rPr>
              <w:t>Field 57</w:t>
            </w:r>
          </w:p>
        </w:tc>
        <w:tc>
          <w:tcPr>
            <w:tcW w:w="0" w:type="auto"/>
            <w:hideMark/>
          </w:tcPr>
          <w:p w14:paraId="145FA0F1" w14:textId="77777777" w:rsidR="00BA109F" w:rsidRPr="00727DE0" w:rsidRDefault="00BA109F" w:rsidP="00727DE0">
            <w:pPr>
              <w:pStyle w:val="NoSpacing"/>
              <w:rPr>
                <w:color w:val="000000"/>
                <w:sz w:val="18"/>
                <w:szCs w:val="18"/>
              </w:rPr>
            </w:pPr>
            <w:r w:rsidRPr="00727DE0">
              <w:rPr>
                <w:color w:val="000000"/>
                <w:sz w:val="18"/>
                <w:szCs w:val="18"/>
              </w:rPr>
              <w:t>840</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306</w:t>
            </w:r>
          </w:p>
        </w:tc>
        <w:tc>
          <w:tcPr>
            <w:tcW w:w="0" w:type="auto"/>
            <w:hideMark/>
          </w:tcPr>
          <w:p w14:paraId="33AE002A" w14:textId="77777777" w:rsidR="00BA109F" w:rsidRPr="00727DE0" w:rsidRDefault="00BA109F" w:rsidP="00727DE0">
            <w:pPr>
              <w:pStyle w:val="NoSpacing"/>
              <w:rPr>
                <w:color w:val="000000"/>
                <w:sz w:val="18"/>
                <w:szCs w:val="18"/>
              </w:rPr>
            </w:pPr>
            <w:r w:rsidRPr="00727DE0">
              <w:rPr>
                <w:color w:val="000000"/>
                <w:sz w:val="18"/>
                <w:szCs w:val="18"/>
              </w:rPr>
              <w:t>302</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84</w:t>
            </w:r>
          </w:p>
        </w:tc>
        <w:tc>
          <w:tcPr>
            <w:tcW w:w="0" w:type="auto"/>
            <w:hideMark/>
          </w:tcPr>
          <w:p w14:paraId="35491118" w14:textId="77777777" w:rsidR="00BA109F" w:rsidRPr="00727DE0" w:rsidRDefault="00BA109F" w:rsidP="00727DE0">
            <w:pPr>
              <w:pStyle w:val="NoSpacing"/>
              <w:rPr>
                <w:color w:val="000000"/>
                <w:sz w:val="18"/>
                <w:szCs w:val="18"/>
              </w:rPr>
            </w:pPr>
            <w:r w:rsidRPr="00727DE0">
              <w:rPr>
                <w:color w:val="000000"/>
                <w:sz w:val="18"/>
                <w:szCs w:val="18"/>
              </w:rPr>
              <w:t>149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31</w:t>
            </w:r>
          </w:p>
        </w:tc>
        <w:tc>
          <w:tcPr>
            <w:tcW w:w="0" w:type="auto"/>
            <w:hideMark/>
          </w:tcPr>
          <w:p w14:paraId="4F218449" w14:textId="77777777" w:rsidR="00BA109F" w:rsidRPr="00727DE0" w:rsidRDefault="00BA109F" w:rsidP="00727DE0">
            <w:pPr>
              <w:pStyle w:val="NoSpacing"/>
              <w:rPr>
                <w:color w:val="000000"/>
                <w:sz w:val="18"/>
                <w:szCs w:val="18"/>
              </w:rPr>
            </w:pPr>
            <w:r w:rsidRPr="00727DE0">
              <w:rPr>
                <w:color w:val="000000"/>
                <w:sz w:val="18"/>
                <w:szCs w:val="18"/>
              </w:rPr>
              <w:t>44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5</w:t>
            </w:r>
          </w:p>
        </w:tc>
        <w:tc>
          <w:tcPr>
            <w:tcW w:w="0" w:type="auto"/>
            <w:hideMark/>
          </w:tcPr>
          <w:p w14:paraId="53DCB1B2" w14:textId="77777777" w:rsidR="00BA109F" w:rsidRPr="00727DE0" w:rsidRDefault="00BA109F" w:rsidP="00727DE0">
            <w:pPr>
              <w:pStyle w:val="NoSpacing"/>
              <w:rPr>
                <w:color w:val="000000"/>
                <w:sz w:val="18"/>
                <w:szCs w:val="18"/>
              </w:rPr>
            </w:pPr>
            <w:r w:rsidRPr="00727DE0">
              <w:rPr>
                <w:color w:val="000000"/>
                <w:sz w:val="18"/>
                <w:szCs w:val="18"/>
              </w:rPr>
              <w:t>40</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7</w:t>
            </w:r>
          </w:p>
        </w:tc>
        <w:tc>
          <w:tcPr>
            <w:tcW w:w="0" w:type="auto"/>
            <w:hideMark/>
          </w:tcPr>
          <w:p w14:paraId="5499D6F3" w14:textId="77777777" w:rsidR="00BA109F" w:rsidRPr="00727DE0" w:rsidRDefault="00BA109F" w:rsidP="00727DE0">
            <w:pPr>
              <w:pStyle w:val="NoSpacing"/>
              <w:rPr>
                <w:color w:val="000000"/>
                <w:sz w:val="18"/>
                <w:szCs w:val="18"/>
              </w:rPr>
            </w:pPr>
            <w:r w:rsidRPr="00727DE0">
              <w:rPr>
                <w:color w:val="000000"/>
                <w:sz w:val="18"/>
                <w:szCs w:val="18"/>
              </w:rPr>
              <w:t>14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2</w:t>
            </w:r>
          </w:p>
        </w:tc>
        <w:tc>
          <w:tcPr>
            <w:tcW w:w="0" w:type="auto"/>
            <w:hideMark/>
          </w:tcPr>
          <w:p w14:paraId="2CD80796" w14:textId="77777777" w:rsidR="00BA109F" w:rsidRPr="00727DE0" w:rsidRDefault="00BA109F" w:rsidP="00727DE0">
            <w:pPr>
              <w:pStyle w:val="NoSpacing"/>
              <w:rPr>
                <w:color w:val="000000"/>
                <w:sz w:val="18"/>
                <w:szCs w:val="18"/>
              </w:rPr>
            </w:pPr>
          </w:p>
        </w:tc>
        <w:tc>
          <w:tcPr>
            <w:tcW w:w="0" w:type="auto"/>
            <w:hideMark/>
          </w:tcPr>
          <w:p w14:paraId="76A7E120" w14:textId="77777777" w:rsidR="00BA109F" w:rsidRPr="00727DE0" w:rsidRDefault="00BA109F" w:rsidP="00727DE0">
            <w:pPr>
              <w:pStyle w:val="NoSpacing"/>
              <w:rPr>
                <w:sz w:val="20"/>
                <w:szCs w:val="20"/>
              </w:rPr>
            </w:pPr>
          </w:p>
        </w:tc>
        <w:tc>
          <w:tcPr>
            <w:tcW w:w="0" w:type="auto"/>
            <w:hideMark/>
          </w:tcPr>
          <w:p w14:paraId="21748E73" w14:textId="77777777" w:rsidR="00BA109F" w:rsidRPr="00727DE0" w:rsidRDefault="00BA109F" w:rsidP="00727DE0">
            <w:pPr>
              <w:pStyle w:val="NoSpacing"/>
              <w:rPr>
                <w:color w:val="000000"/>
                <w:sz w:val="18"/>
                <w:szCs w:val="18"/>
              </w:rPr>
            </w:pPr>
            <w:proofErr w:type="gramStart"/>
            <w:r w:rsidRPr="00727DE0">
              <w:rPr>
                <w:i/>
                <w:iCs/>
                <w:color w:val="000000"/>
                <w:sz w:val="18"/>
                <w:szCs w:val="18"/>
              </w:rPr>
              <w:t>D</w:t>
            </w:r>
            <w:r w:rsidRPr="00727DE0">
              <w:rPr>
                <w:color w:val="000000"/>
                <w:sz w:val="18"/>
                <w:szCs w:val="18"/>
              </w:rPr>
              <w:t> </w:t>
            </w:r>
            <w:r w:rsidRPr="00727DE0">
              <w:rPr>
                <w:color w:val="000000"/>
                <w:sz w:val="14"/>
                <w:szCs w:val="14"/>
                <w:vertAlign w:val="superscript"/>
              </w:rPr>
              <w:t> 2</w:t>
            </w:r>
            <w:proofErr w:type="gramEnd"/>
            <w:r w:rsidRPr="00727DE0">
              <w:rPr>
                <w:color w:val="000000"/>
                <w:sz w:val="18"/>
                <w:szCs w:val="18"/>
              </w:rPr>
              <w:t> (</w:t>
            </w:r>
            <w:r w:rsidRPr="00727DE0">
              <w:rPr>
                <w:i/>
                <w:iCs/>
                <w:color w:val="000000"/>
                <w:sz w:val="18"/>
                <w:szCs w:val="18"/>
              </w:rPr>
              <w:t>P</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0.010)</w:t>
            </w:r>
          </w:p>
        </w:tc>
      </w:tr>
      <w:tr w:rsidR="002F5B99" w:rsidRPr="00727DE0" w14:paraId="09152856" w14:textId="77777777" w:rsidTr="00727DE0">
        <w:tc>
          <w:tcPr>
            <w:tcW w:w="0" w:type="auto"/>
          </w:tcPr>
          <w:p w14:paraId="605E6A60" w14:textId="79F983C5" w:rsidR="002F5B99" w:rsidRPr="00727DE0" w:rsidRDefault="002F5B99" w:rsidP="00727DE0">
            <w:pPr>
              <w:pStyle w:val="NoSpacing"/>
              <w:rPr>
                <w:color w:val="000000"/>
                <w:sz w:val="18"/>
                <w:szCs w:val="18"/>
              </w:rPr>
            </w:pPr>
            <w:r w:rsidRPr="00727DE0">
              <w:rPr>
                <w:color w:val="000000"/>
                <w:sz w:val="18"/>
                <w:szCs w:val="18"/>
              </w:rPr>
              <w:t>Herbaceous litter (g</w:t>
            </w:r>
            <w:r w:rsidRPr="00727DE0">
              <w:rPr>
                <w:color w:val="000000"/>
                <w:sz w:val="18"/>
                <w:szCs w:val="18"/>
              </w:rPr>
              <w:t> </w:t>
            </w:r>
            <w:r w:rsidRPr="00727DE0">
              <w:rPr>
                <w:color w:val="000000"/>
                <w:sz w:val="18"/>
                <w:szCs w:val="18"/>
              </w:rPr>
              <w:t>m</w:t>
            </w:r>
            <w:r w:rsidRPr="00727DE0">
              <w:rPr>
                <w:color w:val="000000"/>
                <w:sz w:val="14"/>
                <w:szCs w:val="14"/>
                <w:vertAlign w:val="superscript"/>
              </w:rPr>
              <w:t>−2</w:t>
            </w:r>
            <w:r w:rsidRPr="00727DE0">
              <w:rPr>
                <w:color w:val="000000"/>
                <w:sz w:val="18"/>
                <w:szCs w:val="18"/>
              </w:rPr>
              <w:t>)</w:t>
            </w:r>
          </w:p>
        </w:tc>
        <w:tc>
          <w:tcPr>
            <w:tcW w:w="0" w:type="auto"/>
          </w:tcPr>
          <w:p w14:paraId="2123D592" w14:textId="77777777" w:rsidR="002F5B99" w:rsidRPr="00727DE0" w:rsidRDefault="002F5B99" w:rsidP="00727DE0">
            <w:pPr>
              <w:pStyle w:val="NoSpacing"/>
              <w:rPr>
                <w:color w:val="000000"/>
                <w:sz w:val="18"/>
                <w:szCs w:val="18"/>
              </w:rPr>
            </w:pPr>
          </w:p>
        </w:tc>
        <w:tc>
          <w:tcPr>
            <w:tcW w:w="0" w:type="auto"/>
          </w:tcPr>
          <w:p w14:paraId="76C4FCB4" w14:textId="77777777" w:rsidR="002F5B99" w:rsidRPr="00727DE0" w:rsidRDefault="002F5B99" w:rsidP="00727DE0">
            <w:pPr>
              <w:pStyle w:val="NoSpacing"/>
              <w:rPr>
                <w:color w:val="000000"/>
                <w:sz w:val="18"/>
                <w:szCs w:val="18"/>
              </w:rPr>
            </w:pPr>
          </w:p>
        </w:tc>
        <w:tc>
          <w:tcPr>
            <w:tcW w:w="0" w:type="auto"/>
          </w:tcPr>
          <w:p w14:paraId="7E1F8E35" w14:textId="77777777" w:rsidR="002F5B99" w:rsidRPr="00727DE0" w:rsidRDefault="002F5B99" w:rsidP="00727DE0">
            <w:pPr>
              <w:pStyle w:val="NoSpacing"/>
              <w:rPr>
                <w:color w:val="000000"/>
                <w:sz w:val="18"/>
                <w:szCs w:val="18"/>
              </w:rPr>
            </w:pPr>
          </w:p>
        </w:tc>
        <w:tc>
          <w:tcPr>
            <w:tcW w:w="0" w:type="auto"/>
          </w:tcPr>
          <w:p w14:paraId="1B9F7B2C" w14:textId="77777777" w:rsidR="002F5B99" w:rsidRPr="00727DE0" w:rsidRDefault="002F5B99" w:rsidP="00727DE0">
            <w:pPr>
              <w:pStyle w:val="NoSpacing"/>
              <w:rPr>
                <w:color w:val="000000"/>
                <w:sz w:val="18"/>
                <w:szCs w:val="18"/>
              </w:rPr>
            </w:pPr>
          </w:p>
        </w:tc>
        <w:tc>
          <w:tcPr>
            <w:tcW w:w="0" w:type="auto"/>
          </w:tcPr>
          <w:p w14:paraId="5044FA76" w14:textId="77777777" w:rsidR="002F5B99" w:rsidRPr="00727DE0" w:rsidRDefault="002F5B99" w:rsidP="00727DE0">
            <w:pPr>
              <w:pStyle w:val="NoSpacing"/>
              <w:rPr>
                <w:color w:val="000000"/>
                <w:sz w:val="18"/>
                <w:szCs w:val="18"/>
              </w:rPr>
            </w:pPr>
          </w:p>
        </w:tc>
        <w:tc>
          <w:tcPr>
            <w:tcW w:w="0" w:type="auto"/>
          </w:tcPr>
          <w:p w14:paraId="0149528B" w14:textId="77777777" w:rsidR="002F5B99" w:rsidRPr="00727DE0" w:rsidRDefault="002F5B99" w:rsidP="00727DE0">
            <w:pPr>
              <w:pStyle w:val="NoSpacing"/>
              <w:rPr>
                <w:color w:val="000000"/>
                <w:sz w:val="18"/>
                <w:szCs w:val="18"/>
              </w:rPr>
            </w:pPr>
          </w:p>
        </w:tc>
        <w:tc>
          <w:tcPr>
            <w:tcW w:w="0" w:type="auto"/>
          </w:tcPr>
          <w:p w14:paraId="74F05185" w14:textId="77777777" w:rsidR="002F5B99" w:rsidRPr="00727DE0" w:rsidRDefault="002F5B99" w:rsidP="00727DE0">
            <w:pPr>
              <w:pStyle w:val="NoSpacing"/>
              <w:rPr>
                <w:color w:val="000000"/>
                <w:sz w:val="18"/>
                <w:szCs w:val="18"/>
              </w:rPr>
            </w:pPr>
          </w:p>
        </w:tc>
        <w:tc>
          <w:tcPr>
            <w:tcW w:w="0" w:type="auto"/>
          </w:tcPr>
          <w:p w14:paraId="42744FE8" w14:textId="77777777" w:rsidR="002F5B99" w:rsidRPr="00727DE0" w:rsidRDefault="002F5B99" w:rsidP="00727DE0">
            <w:pPr>
              <w:pStyle w:val="NoSpacing"/>
              <w:rPr>
                <w:i/>
                <w:iCs/>
                <w:color w:val="000000"/>
                <w:sz w:val="18"/>
                <w:szCs w:val="18"/>
              </w:rPr>
            </w:pPr>
          </w:p>
        </w:tc>
        <w:tc>
          <w:tcPr>
            <w:tcW w:w="0" w:type="auto"/>
          </w:tcPr>
          <w:p w14:paraId="032A4E94" w14:textId="77777777" w:rsidR="002F5B99" w:rsidRPr="00727DE0" w:rsidRDefault="002F5B99" w:rsidP="00727DE0">
            <w:pPr>
              <w:pStyle w:val="NoSpacing"/>
              <w:rPr>
                <w:i/>
                <w:iCs/>
                <w:color w:val="000000"/>
                <w:sz w:val="18"/>
                <w:szCs w:val="18"/>
              </w:rPr>
            </w:pPr>
          </w:p>
        </w:tc>
      </w:tr>
      <w:tr w:rsidR="00BA109F" w:rsidRPr="00727DE0" w14:paraId="61A296BC" w14:textId="77777777" w:rsidTr="00727DE0">
        <w:tc>
          <w:tcPr>
            <w:tcW w:w="0" w:type="auto"/>
            <w:hideMark/>
          </w:tcPr>
          <w:p w14:paraId="2FBD08DC" w14:textId="77777777" w:rsidR="00BA109F" w:rsidRPr="00727DE0" w:rsidRDefault="00BA109F" w:rsidP="00727DE0">
            <w:pPr>
              <w:pStyle w:val="NoSpacing"/>
              <w:rPr>
                <w:color w:val="000000"/>
                <w:sz w:val="18"/>
                <w:szCs w:val="18"/>
              </w:rPr>
            </w:pPr>
            <w:r w:rsidRPr="00727DE0">
              <w:rPr>
                <w:color w:val="000000"/>
                <w:sz w:val="18"/>
                <w:szCs w:val="18"/>
              </w:rPr>
              <w:t>Field 56</w:t>
            </w:r>
          </w:p>
        </w:tc>
        <w:tc>
          <w:tcPr>
            <w:tcW w:w="0" w:type="auto"/>
            <w:hideMark/>
          </w:tcPr>
          <w:p w14:paraId="020999FF" w14:textId="77777777" w:rsidR="00BA109F" w:rsidRPr="00727DE0" w:rsidRDefault="00BA109F" w:rsidP="00727DE0">
            <w:pPr>
              <w:pStyle w:val="NoSpacing"/>
              <w:rPr>
                <w:color w:val="000000"/>
                <w:sz w:val="18"/>
                <w:szCs w:val="18"/>
              </w:rPr>
            </w:pPr>
            <w:r w:rsidRPr="00727DE0">
              <w:rPr>
                <w:color w:val="000000"/>
                <w:sz w:val="18"/>
                <w:szCs w:val="18"/>
              </w:rPr>
              <w:t>115</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6</w:t>
            </w:r>
          </w:p>
        </w:tc>
        <w:tc>
          <w:tcPr>
            <w:tcW w:w="0" w:type="auto"/>
            <w:hideMark/>
          </w:tcPr>
          <w:p w14:paraId="45657659" w14:textId="77777777" w:rsidR="00BA109F" w:rsidRPr="00727DE0" w:rsidRDefault="00BA109F" w:rsidP="00727DE0">
            <w:pPr>
              <w:pStyle w:val="NoSpacing"/>
              <w:rPr>
                <w:color w:val="000000"/>
                <w:sz w:val="18"/>
                <w:szCs w:val="18"/>
              </w:rPr>
            </w:pPr>
            <w:r w:rsidRPr="00727DE0">
              <w:rPr>
                <w:color w:val="000000"/>
                <w:sz w:val="18"/>
                <w:szCs w:val="18"/>
              </w:rPr>
              <w:t>116</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24</w:t>
            </w:r>
          </w:p>
        </w:tc>
        <w:tc>
          <w:tcPr>
            <w:tcW w:w="0" w:type="auto"/>
            <w:hideMark/>
          </w:tcPr>
          <w:p w14:paraId="6079FC57" w14:textId="77777777" w:rsidR="00BA109F" w:rsidRPr="00727DE0" w:rsidRDefault="00BA109F" w:rsidP="00727DE0">
            <w:pPr>
              <w:pStyle w:val="NoSpacing"/>
              <w:rPr>
                <w:color w:val="000000"/>
                <w:sz w:val="18"/>
                <w:szCs w:val="18"/>
              </w:rPr>
            </w:pPr>
            <w:r w:rsidRPr="00727DE0">
              <w:rPr>
                <w:color w:val="000000"/>
                <w:sz w:val="18"/>
                <w:szCs w:val="18"/>
              </w:rPr>
              <w:t>112</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32</w:t>
            </w:r>
          </w:p>
        </w:tc>
        <w:tc>
          <w:tcPr>
            <w:tcW w:w="0" w:type="auto"/>
            <w:hideMark/>
          </w:tcPr>
          <w:p w14:paraId="42D27570" w14:textId="77777777" w:rsidR="00BA109F" w:rsidRPr="00727DE0" w:rsidRDefault="00BA109F" w:rsidP="00727DE0">
            <w:pPr>
              <w:pStyle w:val="NoSpacing"/>
              <w:rPr>
                <w:color w:val="000000"/>
                <w:sz w:val="18"/>
                <w:szCs w:val="18"/>
              </w:rPr>
            </w:pPr>
            <w:r w:rsidRPr="00727DE0">
              <w:rPr>
                <w:color w:val="000000"/>
                <w:sz w:val="18"/>
                <w:szCs w:val="18"/>
              </w:rPr>
              <w:t>199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9</w:t>
            </w:r>
          </w:p>
        </w:tc>
        <w:tc>
          <w:tcPr>
            <w:tcW w:w="0" w:type="auto"/>
            <w:hideMark/>
          </w:tcPr>
          <w:p w14:paraId="1EF02FBE" w14:textId="77777777" w:rsidR="00BA109F" w:rsidRPr="00727DE0" w:rsidRDefault="00BA109F" w:rsidP="00727DE0">
            <w:pPr>
              <w:pStyle w:val="NoSpacing"/>
              <w:rPr>
                <w:color w:val="000000"/>
                <w:sz w:val="18"/>
                <w:szCs w:val="18"/>
              </w:rPr>
            </w:pPr>
            <w:r w:rsidRPr="00727DE0">
              <w:rPr>
                <w:color w:val="000000"/>
                <w:sz w:val="18"/>
                <w:szCs w:val="18"/>
              </w:rPr>
              <w:t>159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37</w:t>
            </w:r>
          </w:p>
        </w:tc>
        <w:tc>
          <w:tcPr>
            <w:tcW w:w="0" w:type="auto"/>
            <w:hideMark/>
          </w:tcPr>
          <w:p w14:paraId="7F644EA2" w14:textId="77777777" w:rsidR="00BA109F" w:rsidRPr="00727DE0" w:rsidRDefault="00BA109F" w:rsidP="00727DE0">
            <w:pPr>
              <w:pStyle w:val="NoSpacing"/>
              <w:rPr>
                <w:color w:val="000000"/>
                <w:sz w:val="18"/>
                <w:szCs w:val="18"/>
              </w:rPr>
            </w:pPr>
            <w:r w:rsidRPr="00727DE0">
              <w:rPr>
                <w:color w:val="000000"/>
                <w:sz w:val="18"/>
                <w:szCs w:val="18"/>
              </w:rPr>
              <w:t>178</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39</w:t>
            </w:r>
          </w:p>
        </w:tc>
        <w:tc>
          <w:tcPr>
            <w:tcW w:w="0" w:type="auto"/>
            <w:hideMark/>
          </w:tcPr>
          <w:p w14:paraId="4629890C" w14:textId="77777777" w:rsidR="00BA109F" w:rsidRPr="00727DE0" w:rsidRDefault="00BA109F" w:rsidP="00727DE0">
            <w:pPr>
              <w:pStyle w:val="NoSpacing"/>
              <w:rPr>
                <w:color w:val="000000"/>
                <w:sz w:val="18"/>
                <w:szCs w:val="18"/>
              </w:rPr>
            </w:pPr>
            <w:r w:rsidRPr="00727DE0">
              <w:rPr>
                <w:color w:val="000000"/>
                <w:sz w:val="18"/>
                <w:szCs w:val="18"/>
              </w:rPr>
              <w:t>0.015</w:t>
            </w:r>
          </w:p>
        </w:tc>
        <w:tc>
          <w:tcPr>
            <w:tcW w:w="0" w:type="auto"/>
            <w:hideMark/>
          </w:tcPr>
          <w:p w14:paraId="427B764A" w14:textId="77777777" w:rsidR="00BA109F" w:rsidRPr="00727DE0" w:rsidRDefault="00BA109F" w:rsidP="00727DE0">
            <w:pPr>
              <w:pStyle w:val="NoSpacing"/>
              <w:rPr>
                <w:color w:val="000000"/>
                <w:sz w:val="18"/>
                <w:szCs w:val="18"/>
              </w:rPr>
            </w:pPr>
            <w:r w:rsidRPr="00727DE0">
              <w:rPr>
                <w:i/>
                <w:iCs/>
                <w:color w:val="000000"/>
                <w:sz w:val="18"/>
                <w:szCs w:val="18"/>
              </w:rPr>
              <w:t>D</w:t>
            </w:r>
          </w:p>
        </w:tc>
        <w:tc>
          <w:tcPr>
            <w:tcW w:w="0" w:type="auto"/>
            <w:hideMark/>
          </w:tcPr>
          <w:p w14:paraId="1575C210" w14:textId="77777777" w:rsidR="00BA109F" w:rsidRPr="00727DE0" w:rsidRDefault="00BA109F" w:rsidP="00727DE0">
            <w:pPr>
              <w:pStyle w:val="NoSpacing"/>
              <w:rPr>
                <w:color w:val="000000"/>
                <w:sz w:val="18"/>
                <w:szCs w:val="18"/>
              </w:rPr>
            </w:pPr>
            <w:r w:rsidRPr="00727DE0">
              <w:rPr>
                <w:i/>
                <w:iCs/>
                <w:color w:val="000000"/>
                <w:sz w:val="18"/>
                <w:szCs w:val="18"/>
              </w:rPr>
              <w:t>D</w:t>
            </w:r>
            <w:r w:rsidRPr="00727DE0">
              <w:rPr>
                <w:color w:val="000000"/>
                <w:sz w:val="18"/>
                <w:szCs w:val="18"/>
              </w:rPr>
              <w:t> (</w:t>
            </w:r>
            <w:r w:rsidRPr="00727DE0">
              <w:rPr>
                <w:i/>
                <w:iCs/>
                <w:color w:val="000000"/>
                <w:sz w:val="18"/>
                <w:szCs w:val="18"/>
              </w:rPr>
              <w:t>P</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0.015)</w:t>
            </w:r>
          </w:p>
        </w:tc>
      </w:tr>
      <w:tr w:rsidR="00BA109F" w:rsidRPr="00727DE0" w14:paraId="18F817A5" w14:textId="77777777" w:rsidTr="00727DE0">
        <w:tc>
          <w:tcPr>
            <w:tcW w:w="0" w:type="auto"/>
            <w:hideMark/>
          </w:tcPr>
          <w:p w14:paraId="357D899B" w14:textId="77777777" w:rsidR="00BA109F" w:rsidRPr="00727DE0" w:rsidRDefault="00BA109F" w:rsidP="00727DE0">
            <w:pPr>
              <w:pStyle w:val="NoSpacing"/>
              <w:rPr>
                <w:color w:val="000000"/>
                <w:sz w:val="18"/>
                <w:szCs w:val="18"/>
              </w:rPr>
            </w:pPr>
            <w:r w:rsidRPr="00727DE0">
              <w:rPr>
                <w:color w:val="000000"/>
                <w:sz w:val="18"/>
                <w:szCs w:val="18"/>
              </w:rPr>
              <w:t>Field 57</w:t>
            </w:r>
          </w:p>
        </w:tc>
        <w:tc>
          <w:tcPr>
            <w:tcW w:w="0" w:type="auto"/>
            <w:hideMark/>
          </w:tcPr>
          <w:p w14:paraId="2C14DAF3" w14:textId="77777777" w:rsidR="00BA109F" w:rsidRPr="00727DE0" w:rsidRDefault="00BA109F" w:rsidP="00727DE0">
            <w:pPr>
              <w:pStyle w:val="NoSpacing"/>
              <w:rPr>
                <w:color w:val="000000"/>
                <w:sz w:val="18"/>
                <w:szCs w:val="18"/>
              </w:rPr>
            </w:pPr>
            <w:r w:rsidRPr="00727DE0">
              <w:rPr>
                <w:color w:val="000000"/>
                <w:sz w:val="18"/>
                <w:szCs w:val="18"/>
              </w:rPr>
              <w:t>151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77</w:t>
            </w:r>
          </w:p>
        </w:tc>
        <w:tc>
          <w:tcPr>
            <w:tcW w:w="0" w:type="auto"/>
            <w:hideMark/>
          </w:tcPr>
          <w:p w14:paraId="37205560" w14:textId="77777777" w:rsidR="00BA109F" w:rsidRPr="00727DE0" w:rsidRDefault="00BA109F" w:rsidP="00727DE0">
            <w:pPr>
              <w:pStyle w:val="NoSpacing"/>
              <w:rPr>
                <w:color w:val="000000"/>
                <w:sz w:val="18"/>
                <w:szCs w:val="18"/>
              </w:rPr>
            </w:pPr>
            <w:r w:rsidRPr="00727DE0">
              <w:rPr>
                <w:color w:val="000000"/>
                <w:sz w:val="18"/>
                <w:szCs w:val="18"/>
              </w:rPr>
              <w:t>184</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66</w:t>
            </w:r>
          </w:p>
        </w:tc>
        <w:tc>
          <w:tcPr>
            <w:tcW w:w="0" w:type="auto"/>
            <w:hideMark/>
          </w:tcPr>
          <w:p w14:paraId="6E780715" w14:textId="77777777" w:rsidR="00BA109F" w:rsidRPr="00727DE0" w:rsidRDefault="00BA109F" w:rsidP="00727DE0">
            <w:pPr>
              <w:pStyle w:val="NoSpacing"/>
              <w:rPr>
                <w:color w:val="000000"/>
                <w:sz w:val="18"/>
                <w:szCs w:val="18"/>
              </w:rPr>
            </w:pPr>
            <w:r w:rsidRPr="00727DE0">
              <w:rPr>
                <w:color w:val="000000"/>
                <w:sz w:val="18"/>
                <w:szCs w:val="18"/>
              </w:rPr>
              <w:t>201</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24</w:t>
            </w:r>
          </w:p>
        </w:tc>
        <w:tc>
          <w:tcPr>
            <w:tcW w:w="0" w:type="auto"/>
            <w:hideMark/>
          </w:tcPr>
          <w:p w14:paraId="0DB4AE36" w14:textId="77777777" w:rsidR="00BA109F" w:rsidRPr="00727DE0" w:rsidRDefault="00BA109F" w:rsidP="00727DE0">
            <w:pPr>
              <w:pStyle w:val="NoSpacing"/>
              <w:rPr>
                <w:color w:val="000000"/>
                <w:sz w:val="18"/>
                <w:szCs w:val="18"/>
              </w:rPr>
            </w:pPr>
            <w:r w:rsidRPr="00727DE0">
              <w:rPr>
                <w:color w:val="000000"/>
                <w:sz w:val="18"/>
                <w:szCs w:val="18"/>
              </w:rPr>
              <w:t>219</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24</w:t>
            </w:r>
          </w:p>
        </w:tc>
        <w:tc>
          <w:tcPr>
            <w:tcW w:w="0" w:type="auto"/>
            <w:hideMark/>
          </w:tcPr>
          <w:p w14:paraId="678C1193" w14:textId="77777777" w:rsidR="00BA109F" w:rsidRPr="00727DE0" w:rsidRDefault="00BA109F" w:rsidP="00727DE0">
            <w:pPr>
              <w:pStyle w:val="NoSpacing"/>
              <w:rPr>
                <w:color w:val="000000"/>
                <w:sz w:val="18"/>
                <w:szCs w:val="18"/>
              </w:rPr>
            </w:pPr>
            <w:r w:rsidRPr="00727DE0">
              <w:rPr>
                <w:color w:val="000000"/>
                <w:sz w:val="18"/>
                <w:szCs w:val="18"/>
              </w:rPr>
              <w:t>267</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61</w:t>
            </w:r>
          </w:p>
        </w:tc>
        <w:tc>
          <w:tcPr>
            <w:tcW w:w="0" w:type="auto"/>
            <w:hideMark/>
          </w:tcPr>
          <w:p w14:paraId="038B2AF1" w14:textId="77777777" w:rsidR="00BA109F" w:rsidRPr="00727DE0" w:rsidRDefault="00BA109F" w:rsidP="00727DE0">
            <w:pPr>
              <w:pStyle w:val="NoSpacing"/>
              <w:rPr>
                <w:color w:val="000000"/>
                <w:sz w:val="18"/>
                <w:szCs w:val="18"/>
              </w:rPr>
            </w:pPr>
            <w:r w:rsidRPr="00727DE0">
              <w:rPr>
                <w:color w:val="000000"/>
                <w:sz w:val="18"/>
                <w:szCs w:val="18"/>
              </w:rPr>
              <w:t>212</w:t>
            </w:r>
            <w:r w:rsidRPr="00727DE0">
              <w:rPr>
                <w:color w:val="000000"/>
                <w:sz w:val="18"/>
                <w:szCs w:val="18"/>
              </w:rPr>
              <w:t> </w:t>
            </w:r>
            <w:r w:rsidRPr="00727DE0">
              <w:rPr>
                <w:color w:val="000000"/>
                <w:sz w:val="18"/>
                <w:szCs w:val="18"/>
              </w:rPr>
              <w:t>±</w:t>
            </w:r>
            <w:r w:rsidRPr="00727DE0">
              <w:rPr>
                <w:color w:val="000000"/>
                <w:sz w:val="18"/>
                <w:szCs w:val="18"/>
              </w:rPr>
              <w:t> </w:t>
            </w:r>
            <w:r w:rsidRPr="00727DE0">
              <w:rPr>
                <w:color w:val="000000"/>
                <w:sz w:val="18"/>
                <w:szCs w:val="18"/>
              </w:rPr>
              <w:t>48</w:t>
            </w:r>
          </w:p>
        </w:tc>
        <w:tc>
          <w:tcPr>
            <w:tcW w:w="0" w:type="auto"/>
            <w:hideMark/>
          </w:tcPr>
          <w:p w14:paraId="0CFB20AB" w14:textId="77777777" w:rsidR="00BA109F" w:rsidRPr="00727DE0" w:rsidRDefault="00BA109F" w:rsidP="00727DE0">
            <w:pPr>
              <w:pStyle w:val="NoSpacing"/>
              <w:rPr>
                <w:color w:val="000000"/>
                <w:sz w:val="18"/>
                <w:szCs w:val="18"/>
              </w:rPr>
            </w:pPr>
          </w:p>
        </w:tc>
        <w:tc>
          <w:tcPr>
            <w:tcW w:w="0" w:type="auto"/>
            <w:hideMark/>
          </w:tcPr>
          <w:p w14:paraId="1920EDAE" w14:textId="77777777" w:rsidR="00BA109F" w:rsidRPr="00727DE0" w:rsidRDefault="00BA109F" w:rsidP="00727DE0">
            <w:pPr>
              <w:pStyle w:val="NoSpacing"/>
              <w:rPr>
                <w:sz w:val="20"/>
                <w:szCs w:val="20"/>
              </w:rPr>
            </w:pPr>
          </w:p>
        </w:tc>
        <w:tc>
          <w:tcPr>
            <w:tcW w:w="0" w:type="auto"/>
            <w:hideMark/>
          </w:tcPr>
          <w:p w14:paraId="1F4AF079" w14:textId="77777777" w:rsidR="00BA109F" w:rsidRPr="00727DE0" w:rsidRDefault="00BA109F" w:rsidP="00727DE0">
            <w:pPr>
              <w:pStyle w:val="NoSpacing"/>
              <w:rPr>
                <w:sz w:val="20"/>
                <w:szCs w:val="20"/>
              </w:rPr>
            </w:pPr>
          </w:p>
        </w:tc>
      </w:tr>
    </w:tbl>
    <w:p w14:paraId="00AFC593" w14:textId="77777777" w:rsidR="00BA109F" w:rsidRPr="00727DE0" w:rsidRDefault="00BA109F" w:rsidP="002F5B99">
      <w:pPr>
        <w:pStyle w:val="NoSpacing"/>
        <w:rPr>
          <w:sz w:val="24"/>
          <w:szCs w:val="24"/>
        </w:rPr>
      </w:pPr>
      <w:r w:rsidRPr="00727DE0">
        <w:t>*Significance of Field random effect (</w:t>
      </w:r>
      <w:r w:rsidRPr="00727DE0">
        <w:rPr>
          <w:i/>
          <w:iCs/>
        </w:rPr>
        <w:t>P</w:t>
      </w:r>
      <w:r w:rsidRPr="00727DE0">
        <w:t>‐value from </w:t>
      </w:r>
      <w:r w:rsidRPr="00727DE0">
        <w:rPr>
          <w:rStyle w:val="smallcaps"/>
          <w:rFonts w:cstheme="minorHAnsi"/>
          <w:smallCaps/>
        </w:rPr>
        <w:t>anova</w:t>
      </w:r>
      <w:r w:rsidRPr="00727DE0">
        <w:t> of model including random term for field vs. model without field term).</w:t>
      </w:r>
    </w:p>
    <w:p w14:paraId="723B4774" w14:textId="77777777" w:rsidR="00BA109F" w:rsidRPr="00727DE0" w:rsidRDefault="00BA109F" w:rsidP="002F5B99">
      <w:pPr>
        <w:pStyle w:val="NoSpacing"/>
      </w:pPr>
      <w:r w:rsidRPr="00727DE0">
        <w:t>†All response variables were tested with quadratic (</w:t>
      </w:r>
      <w:r w:rsidRPr="00727DE0">
        <w:rPr>
          <w:i/>
          <w:iCs/>
        </w:rPr>
        <w:t>D</w:t>
      </w:r>
      <w:r w:rsidRPr="00727DE0">
        <w:rPr>
          <w:i/>
          <w:iCs/>
        </w:rPr>
        <w:t> </w:t>
      </w:r>
      <w:r w:rsidRPr="00727DE0">
        <w:rPr>
          <w:i/>
          <w:iCs/>
        </w:rPr>
        <w:t>+</w:t>
      </w:r>
      <w:r w:rsidRPr="00727DE0">
        <w:rPr>
          <w:i/>
          <w:iCs/>
        </w:rPr>
        <w:t> </w:t>
      </w:r>
      <w:r w:rsidRPr="00727DE0">
        <w:rPr>
          <w:i/>
          <w:iCs/>
        </w:rPr>
        <w:t>D</w:t>
      </w:r>
      <w:r w:rsidRPr="00727DE0">
        <w:rPr>
          <w:sz w:val="18"/>
          <w:szCs w:val="18"/>
          <w:vertAlign w:val="superscript"/>
        </w:rPr>
        <w:t>2</w:t>
      </w:r>
      <w:r w:rsidRPr="00727DE0">
        <w:t>) and linear models (</w:t>
      </w:r>
      <w:r w:rsidRPr="00727DE0">
        <w:rPr>
          <w:i/>
          <w:iCs/>
        </w:rPr>
        <w:t>D</w:t>
      </w:r>
      <w:r w:rsidRPr="00727DE0">
        <w:t>), and with and without interaction terms with Field (</w:t>
      </w:r>
      <w:proofErr w:type="gramStart"/>
      <w:r w:rsidRPr="00727DE0">
        <w:rPr>
          <w:i/>
          <w:iCs/>
        </w:rPr>
        <w:t>D:F</w:t>
      </w:r>
      <w:proofErr w:type="gramEnd"/>
      <w:r w:rsidRPr="00727DE0">
        <w:t>) effects. The best model is indicated and significant </w:t>
      </w:r>
      <w:r w:rsidRPr="00727DE0">
        <w:rPr>
          <w:i/>
          <w:iCs/>
        </w:rPr>
        <w:t>P</w:t>
      </w:r>
      <w:r w:rsidRPr="00727DE0">
        <w:t>‐values for fixed terms given.</w:t>
      </w:r>
    </w:p>
    <w:p w14:paraId="6731300A" w14:textId="77777777" w:rsidR="00BA109F" w:rsidRPr="00727DE0" w:rsidRDefault="00BA109F" w:rsidP="002F5B99">
      <w:pPr>
        <w:pStyle w:val="NoSpacing"/>
      </w:pPr>
      <w:r w:rsidRPr="00727DE0">
        <w:t>‡No model tested had significant fixed terms. Significance of random term for field is from quadratic model.</w:t>
      </w:r>
    </w:p>
    <w:p w14:paraId="650CE199" w14:textId="77777777" w:rsidR="00BA109F" w:rsidRPr="00727DE0" w:rsidRDefault="00BA109F" w:rsidP="002F5B99">
      <w:pPr>
        <w:pStyle w:val="NoSpacing"/>
      </w:pPr>
      <w:r w:rsidRPr="00727DE0">
        <w:t>§Oak leaf mass was log‐transformed for statistical modelling; mean and SE are for untransformed data, </w:t>
      </w:r>
      <w:r w:rsidRPr="00727DE0">
        <w:rPr>
          <w:i/>
          <w:iCs/>
        </w:rPr>
        <w:t>P</w:t>
      </w:r>
      <w:r w:rsidRPr="00727DE0">
        <w:t>‐values are for transformed data.</w:t>
      </w:r>
    </w:p>
    <w:p w14:paraId="3A378EFD" w14:textId="77777777" w:rsidR="00BA109F" w:rsidRPr="00727DE0" w:rsidRDefault="00BA109F" w:rsidP="003350BB">
      <w:pPr>
        <w:pStyle w:val="Heading2"/>
        <w:rPr>
          <w:rFonts w:asciiTheme="minorHAnsi" w:hAnsiTheme="minorHAnsi" w:cstheme="minorHAnsi"/>
        </w:rPr>
      </w:pPr>
      <w:r w:rsidRPr="00727DE0">
        <w:rPr>
          <w:rFonts w:asciiTheme="minorHAnsi" w:hAnsiTheme="minorHAnsi" w:cstheme="minorHAnsi"/>
        </w:rPr>
        <w:t>Seedling responses to distance from trees</w:t>
      </w:r>
    </w:p>
    <w:p w14:paraId="007542AD" w14:textId="77777777" w:rsidR="00BA109F" w:rsidRPr="00727DE0" w:rsidRDefault="00BA109F" w:rsidP="003350BB">
      <w:pPr>
        <w:rPr>
          <w:rFonts w:cstheme="minorHAnsi"/>
        </w:rPr>
      </w:pPr>
      <w:r w:rsidRPr="00727DE0">
        <w:rPr>
          <w:rFonts w:cstheme="minorHAnsi"/>
        </w:rPr>
        <w:t>There were strongly nonlinear responses of ectomycorrhizal infection to distance at one and three growing seasons (</w:t>
      </w:r>
      <w:hyperlink r:id="rId60" w:anchor="f2" w:history="1">
        <w:r w:rsidRPr="00727DE0">
          <w:rPr>
            <w:rStyle w:val="Hyperlink"/>
            <w:rFonts w:eastAsiaTheme="majorEastAsia" w:cstheme="minorHAnsi"/>
            <w:b/>
            <w:bCs/>
            <w:color w:val="005274"/>
          </w:rPr>
          <w:t>Fig. 2</w:t>
        </w:r>
      </w:hyperlink>
      <w:r w:rsidRPr="00727DE0">
        <w:rPr>
          <w:rFonts w:cstheme="minorHAnsi"/>
        </w:rPr>
        <w:t>), which we described as a four‐parameter logistic model:</w:t>
      </w:r>
    </w:p>
    <w:p w14:paraId="2D8B9441" w14:textId="42EDD2CD" w:rsidR="00BA109F" w:rsidRDefault="00BA109F" w:rsidP="00BA109F">
      <w:pPr>
        <w:jc w:val="center"/>
        <w:rPr>
          <w:rStyle w:val="inline-equationlabel"/>
          <w:rFonts w:cstheme="minorHAnsi"/>
        </w:rPr>
      </w:pPr>
      <w:r w:rsidRPr="00727DE0">
        <w:rPr>
          <w:rFonts w:cstheme="minorHAnsi"/>
          <w:noProof/>
        </w:rPr>
        <w:drawing>
          <wp:inline distT="0" distB="0" distL="0" distR="0" wp14:anchorId="1809014A" wp14:editId="7AA602C2">
            <wp:extent cx="1466850" cy="352425"/>
            <wp:effectExtent l="0" t="0" r="0" b="9525"/>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66850" cy="352425"/>
                    </a:xfrm>
                    <a:prstGeom prst="rect">
                      <a:avLst/>
                    </a:prstGeom>
                    <a:noFill/>
                    <a:ln>
                      <a:noFill/>
                    </a:ln>
                  </pic:spPr>
                </pic:pic>
              </a:graphicData>
            </a:graphic>
          </wp:inline>
        </w:drawing>
      </w:r>
      <w:r w:rsidRPr="00727DE0">
        <w:rPr>
          <w:rStyle w:val="inline-equationlabel"/>
          <w:rFonts w:cstheme="minorHAnsi"/>
        </w:rPr>
        <w:t>(1)</w:t>
      </w:r>
    </w:p>
    <w:p w14:paraId="38BCD74B" w14:textId="0D4930B2" w:rsidR="002F5B99" w:rsidRPr="003E7A17" w:rsidRDefault="003E7A17" w:rsidP="00BA109F">
      <w:pPr>
        <w:jc w:val="center"/>
        <w:rPr>
          <w:rFonts w:cstheme="minorHAnsi"/>
          <w:sz w:val="36"/>
          <w:szCs w:val="36"/>
        </w:rPr>
      </w:pPr>
      <m:oMathPara>
        <m:oMath>
          <m:r>
            <w:rPr>
              <w:rFonts w:ascii="Cambria Math" w:hAnsi="Cambria Math" w:cstheme="minorHAnsi"/>
              <w:sz w:val="36"/>
              <w:szCs w:val="36"/>
            </w:rPr>
            <m:t>E=α+</m:t>
          </m:r>
          <m:f>
            <m:fPr>
              <m:ctrlPr>
                <w:rPr>
                  <w:rFonts w:ascii="Cambria Math" w:hAnsi="Cambria Math" w:cstheme="minorHAnsi"/>
                  <w:i/>
                  <w:sz w:val="36"/>
                  <w:szCs w:val="36"/>
                </w:rPr>
              </m:ctrlPr>
            </m:fPr>
            <m:num>
              <m:r>
                <m:rPr>
                  <m:sty m:val="p"/>
                </m:rPr>
                <w:rPr>
                  <w:rFonts w:ascii="Cambria Math" w:hAnsi="Cambria Math" w:cstheme="minorHAnsi"/>
                  <w:sz w:val="36"/>
                  <w:szCs w:val="36"/>
                </w:rPr>
                <m:t>β</m:t>
              </m:r>
              <m:r>
                <w:rPr>
                  <w:rFonts w:ascii="Cambria Math" w:hAnsi="Cambria Math" w:cstheme="minorHAnsi"/>
                  <w:sz w:val="36"/>
                  <w:szCs w:val="36"/>
                </w:rPr>
                <m:t>-α</m:t>
              </m:r>
            </m:num>
            <m:den>
              <m:r>
                <w:rPr>
                  <w:rFonts w:ascii="Cambria Math" w:hAnsi="Cambria Math" w:cstheme="minorHAnsi"/>
                  <w:sz w:val="36"/>
                  <w:szCs w:val="36"/>
                </w:rPr>
                <m:t>1+</m:t>
              </m:r>
              <m:sSup>
                <m:sSupPr>
                  <m:ctrlPr>
                    <w:rPr>
                      <w:rFonts w:ascii="Cambria Math" w:hAnsi="Cambria Math" w:cstheme="minorHAnsi"/>
                      <w:i/>
                      <w:sz w:val="36"/>
                      <w:szCs w:val="36"/>
                    </w:rPr>
                  </m:ctrlPr>
                </m:sSupPr>
                <m:e>
                  <m:r>
                    <w:rPr>
                      <w:rFonts w:ascii="Cambria Math" w:hAnsi="Cambria Math" w:cstheme="minorHAnsi"/>
                      <w:sz w:val="36"/>
                      <w:szCs w:val="36"/>
                    </w:rPr>
                    <m:t>e</m:t>
                  </m:r>
                </m:e>
                <m:sup>
                  <m:r>
                    <w:rPr>
                      <w:rFonts w:ascii="Cambria Math" w:hAnsi="Cambria Math" w:cstheme="minorHAnsi"/>
                      <w:sz w:val="36"/>
                      <w:szCs w:val="36"/>
                    </w:rPr>
                    <m:t>[(D-λ)/θ]</m:t>
                  </m:r>
                </m:sup>
              </m:sSup>
            </m:den>
          </m:f>
        </m:oMath>
      </m:oMathPara>
    </w:p>
    <w:p w14:paraId="027B0162" w14:textId="77777777" w:rsidR="004071F4" w:rsidRDefault="004071F4" w:rsidP="00BA109F">
      <w:pPr>
        <w:rPr>
          <w:rFonts w:cstheme="minorHAnsi"/>
        </w:rPr>
      </w:pPr>
    </w:p>
    <w:p w14:paraId="5EC35E4D" w14:textId="7EF47009" w:rsidR="00BA109F" w:rsidRPr="00727DE0" w:rsidRDefault="00BA109F" w:rsidP="00BA109F">
      <w:pPr>
        <w:rPr>
          <w:rFonts w:cstheme="minorHAnsi"/>
        </w:rPr>
      </w:pPr>
      <w:r w:rsidRPr="00727DE0">
        <w:rPr>
          <w:rFonts w:cstheme="minorHAnsi"/>
        </w:rPr>
        <w:t>where </w:t>
      </w:r>
      <w:r w:rsidRPr="00727DE0">
        <w:rPr>
          <w:rFonts w:cstheme="minorHAnsi"/>
          <w:i/>
          <w:iCs/>
        </w:rPr>
        <w:t>E</w:t>
      </w:r>
      <w:r w:rsidRPr="00727DE0">
        <w:rPr>
          <w:rFonts w:cstheme="minorHAnsi"/>
        </w:rPr>
        <w:t> is the ectomycorrhizal infection (0–100%); </w:t>
      </w:r>
      <w:r w:rsidRPr="00727DE0">
        <w:rPr>
          <w:rFonts w:cstheme="minorHAnsi"/>
          <w:i/>
          <w:iCs/>
        </w:rPr>
        <w:t>D</w:t>
      </w:r>
      <w:r w:rsidRPr="00727DE0">
        <w:rPr>
          <w:rFonts w:cstheme="minorHAnsi"/>
        </w:rPr>
        <w:t>, distance from trees (0–20</w:t>
      </w:r>
      <w:r w:rsidRPr="00727DE0">
        <w:rPr>
          <w:rFonts w:cstheme="minorHAnsi"/>
        </w:rPr>
        <w:t> </w:t>
      </w:r>
      <w:r w:rsidRPr="00727DE0">
        <w:rPr>
          <w:rFonts w:cstheme="minorHAnsi"/>
        </w:rPr>
        <w:t>m in our data); </w:t>
      </w:r>
      <w:r w:rsidRPr="00727DE0">
        <w:rPr>
          <w:rFonts w:cstheme="minorHAnsi"/>
          <w:i/>
          <w:iCs/>
        </w:rPr>
        <w:t>α</w:t>
      </w:r>
      <w:r w:rsidRPr="00727DE0">
        <w:rPr>
          <w:rFonts w:cstheme="minorHAnsi"/>
        </w:rPr>
        <w:t>, infection distant from trees (the right asymptote); </w:t>
      </w:r>
      <w:r w:rsidRPr="00727DE0">
        <w:rPr>
          <w:rFonts w:cstheme="minorHAnsi"/>
          <w:i/>
          <w:iCs/>
        </w:rPr>
        <w:t>β</w:t>
      </w:r>
      <w:r w:rsidRPr="00727DE0">
        <w:rPr>
          <w:rFonts w:cstheme="minorHAnsi"/>
        </w:rPr>
        <w:t>, infection near trees (the left asymptote); </w:t>
      </w:r>
      <w:r w:rsidRPr="00727DE0">
        <w:rPr>
          <w:rFonts w:cstheme="minorHAnsi"/>
          <w:i/>
          <w:iCs/>
        </w:rPr>
        <w:t>λ</w:t>
      </w:r>
      <w:r w:rsidRPr="00727DE0">
        <w:rPr>
          <w:rFonts w:cstheme="minorHAnsi"/>
        </w:rPr>
        <w:t>, distance where ectomycorrhizal infection is halfway between </w:t>
      </w:r>
      <w:r w:rsidRPr="00727DE0">
        <w:rPr>
          <w:rFonts w:cstheme="minorHAnsi"/>
          <w:i/>
          <w:iCs/>
        </w:rPr>
        <w:t>α</w:t>
      </w:r>
      <w:r w:rsidRPr="00727DE0">
        <w:rPr>
          <w:rFonts w:cstheme="minorHAnsi"/>
        </w:rPr>
        <w:t> and </w:t>
      </w:r>
      <w:r w:rsidRPr="00727DE0">
        <w:rPr>
          <w:rFonts w:cstheme="minorHAnsi"/>
          <w:i/>
          <w:iCs/>
        </w:rPr>
        <w:t>β</w:t>
      </w:r>
      <w:r w:rsidRPr="00727DE0">
        <w:rPr>
          <w:rFonts w:cstheme="minorHAnsi"/>
        </w:rPr>
        <w:t>; and θ determines the slope (</w:t>
      </w:r>
      <w:hyperlink r:id="rId62" w:anchor="b47" w:history="1">
        <w:r w:rsidRPr="00727DE0">
          <w:rPr>
            <w:rStyle w:val="Hyperlink"/>
            <w:rFonts w:cstheme="minorHAnsi"/>
            <w:color w:val="000000"/>
          </w:rPr>
          <w:t>Venables &amp; Ripley 2002</w:t>
        </w:r>
      </w:hyperlink>
      <w:r w:rsidRPr="00727DE0">
        <w:rPr>
          <w:rFonts w:cstheme="minorHAnsi"/>
        </w:rPr>
        <w:t>). Ectomycorrhizal infection after one growing season (</w:t>
      </w:r>
      <w:hyperlink r:id="rId63" w:anchor="f2" w:history="1">
        <w:r w:rsidRPr="00727DE0">
          <w:rPr>
            <w:rStyle w:val="Hyperlink"/>
            <w:rFonts w:cstheme="minorHAnsi"/>
            <w:color w:val="005274"/>
          </w:rPr>
          <w:t>Fig. 2a</w:t>
        </w:r>
      </w:hyperlink>
      <w:r w:rsidRPr="00727DE0">
        <w:rPr>
          <w:rFonts w:cstheme="minorHAnsi"/>
        </w:rPr>
        <w:t>) was high near trees (</w:t>
      </w:r>
      <w:r w:rsidRPr="00727DE0">
        <w:rPr>
          <w:rFonts w:cstheme="minorHAnsi"/>
          <w:i/>
          <w:iCs/>
        </w:rPr>
        <w:t>β</w:t>
      </w:r>
      <w:r w:rsidRPr="00727DE0">
        <w:rPr>
          <w:rFonts w:cstheme="minorHAnsi"/>
        </w:rPr>
        <w:t> </w:t>
      </w:r>
      <w:r w:rsidRPr="00727DE0">
        <w:rPr>
          <w:rFonts w:cstheme="minorHAnsi"/>
        </w:rPr>
        <w:t>=76.5</w:t>
      </w:r>
      <w:r w:rsidRPr="00727DE0">
        <w:rPr>
          <w:rFonts w:cstheme="minorHAnsi"/>
        </w:rPr>
        <w:t> </w:t>
      </w:r>
      <w:r w:rsidRPr="00727DE0">
        <w:rPr>
          <w:rFonts w:cstheme="minorHAnsi"/>
        </w:rPr>
        <w:t>±</w:t>
      </w:r>
      <w:r w:rsidRPr="00727DE0">
        <w:rPr>
          <w:rFonts w:cstheme="minorHAnsi"/>
        </w:rPr>
        <w:t> </w:t>
      </w:r>
      <w:r w:rsidRPr="00727DE0">
        <w:rPr>
          <w:rFonts w:cstheme="minorHAnsi"/>
        </w:rPr>
        <w:t>5.0%, estimate and SE), and showed an abrupt decline at </w:t>
      </w:r>
      <w:r w:rsidRPr="00727DE0">
        <w:rPr>
          <w:rFonts w:cstheme="minorHAnsi"/>
          <w:i/>
          <w:iCs/>
        </w:rPr>
        <w:t>c.</w:t>
      </w:r>
      <w:r w:rsidRPr="00727DE0">
        <w:rPr>
          <w:rFonts w:cstheme="minorHAnsi"/>
        </w:rPr>
        <w:t> 15.7</w:t>
      </w:r>
      <w:r w:rsidRPr="00727DE0">
        <w:rPr>
          <w:rFonts w:cstheme="minorHAnsi"/>
        </w:rPr>
        <w:t> </w:t>
      </w:r>
      <w:r w:rsidRPr="00727DE0">
        <w:rPr>
          <w:rFonts w:cstheme="minorHAnsi"/>
        </w:rPr>
        <w:t>m (</w:t>
      </w:r>
      <w:r w:rsidRPr="00727DE0">
        <w:rPr>
          <w:rFonts w:cstheme="minorHAnsi"/>
          <w:i/>
          <w:iCs/>
        </w:rPr>
        <w:t>λ</w:t>
      </w:r>
      <w:r w:rsidRPr="00727DE0">
        <w:rPr>
          <w:rFonts w:cstheme="minorHAnsi"/>
        </w:rPr>
        <w:t> </w:t>
      </w:r>
      <w:r w:rsidRPr="00727DE0">
        <w:rPr>
          <w:rFonts w:cstheme="minorHAnsi"/>
        </w:rPr>
        <w:t>=</w:t>
      </w:r>
      <w:r w:rsidRPr="00727DE0">
        <w:rPr>
          <w:rFonts w:cstheme="minorHAnsi"/>
        </w:rPr>
        <w:t> </w:t>
      </w:r>
      <w:r w:rsidRPr="00727DE0">
        <w:rPr>
          <w:rFonts w:cstheme="minorHAnsi"/>
        </w:rPr>
        <w:t>14.7</w:t>
      </w:r>
      <w:r w:rsidRPr="00727DE0">
        <w:rPr>
          <w:rFonts w:cstheme="minorHAnsi"/>
        </w:rPr>
        <w:t> </w:t>
      </w:r>
      <w:r w:rsidRPr="00727DE0">
        <w:rPr>
          <w:rFonts w:cstheme="minorHAnsi"/>
        </w:rPr>
        <w:t>±</w:t>
      </w:r>
      <w:r w:rsidRPr="00727DE0">
        <w:rPr>
          <w:rFonts w:cstheme="minorHAnsi"/>
        </w:rPr>
        <w:t> </w:t>
      </w:r>
      <w:r w:rsidRPr="00727DE0">
        <w:rPr>
          <w:rFonts w:cstheme="minorHAnsi"/>
        </w:rPr>
        <w:t>1.1, +1</w:t>
      </w:r>
      <w:r w:rsidRPr="00727DE0">
        <w:rPr>
          <w:rFonts w:cstheme="minorHAnsi"/>
        </w:rPr>
        <w:t> </w:t>
      </w:r>
      <w:r w:rsidRPr="00727DE0">
        <w:rPr>
          <w:rFonts w:cstheme="minorHAnsi"/>
        </w:rPr>
        <w:t>m to account for offset of 0</w:t>
      </w:r>
      <w:r w:rsidRPr="00727DE0">
        <w:rPr>
          <w:rFonts w:cstheme="minorHAnsi"/>
        </w:rPr>
        <w:t> </w:t>
      </w:r>
      <w:r w:rsidRPr="00727DE0">
        <w:rPr>
          <w:rFonts w:cstheme="minorHAnsi"/>
        </w:rPr>
        <w:t>m plot from trees) from the base of trees to very low levels (</w:t>
      </w:r>
      <w:r w:rsidRPr="00727DE0">
        <w:rPr>
          <w:rFonts w:cstheme="minorHAnsi"/>
          <w:i/>
          <w:iCs/>
        </w:rPr>
        <w:t>α</w:t>
      </w:r>
      <w:r w:rsidRPr="00727DE0">
        <w:rPr>
          <w:rFonts w:cstheme="minorHAnsi"/>
        </w:rPr>
        <w:t> </w:t>
      </w:r>
      <w:r w:rsidRPr="00727DE0">
        <w:rPr>
          <w:rFonts w:cstheme="minorHAnsi"/>
        </w:rPr>
        <w:t>=</w:t>
      </w:r>
      <w:r w:rsidRPr="00727DE0">
        <w:rPr>
          <w:rFonts w:cstheme="minorHAnsi"/>
        </w:rPr>
        <w:t> </w:t>
      </w:r>
      <w:r w:rsidRPr="00727DE0">
        <w:rPr>
          <w:rFonts w:cstheme="minorHAnsi"/>
        </w:rPr>
        <w:t>8.6</w:t>
      </w:r>
      <w:r w:rsidRPr="00727DE0">
        <w:rPr>
          <w:rFonts w:cstheme="minorHAnsi"/>
        </w:rPr>
        <w:t> </w:t>
      </w:r>
      <w:r w:rsidRPr="00727DE0">
        <w:rPr>
          <w:rFonts w:cstheme="minorHAnsi"/>
        </w:rPr>
        <w:t>±</w:t>
      </w:r>
      <w:r w:rsidRPr="00727DE0">
        <w:rPr>
          <w:rFonts w:cstheme="minorHAnsi"/>
        </w:rPr>
        <w:t> </w:t>
      </w:r>
      <w:r w:rsidRPr="00727DE0">
        <w:rPr>
          <w:rFonts w:cstheme="minorHAnsi"/>
        </w:rPr>
        <w:t>11%).</w:t>
      </w:r>
    </w:p>
    <w:p w14:paraId="08058967" w14:textId="56F93CA3" w:rsidR="00BA109F" w:rsidRPr="00727DE0" w:rsidRDefault="00BA109F" w:rsidP="00BA109F">
      <w:pPr>
        <w:rPr>
          <w:rFonts w:cstheme="minorHAnsi"/>
        </w:rPr>
      </w:pPr>
      <w:r w:rsidRPr="00727DE0">
        <w:rPr>
          <w:rFonts w:cstheme="minorHAnsi"/>
          <w:noProof/>
          <w:color w:val="005274"/>
        </w:rPr>
        <w:lastRenderedPageBreak/>
        <w:drawing>
          <wp:inline distT="0" distB="0" distL="0" distR="0" wp14:anchorId="2C833EBD" wp14:editId="5E1E99A5">
            <wp:extent cx="6400800" cy="4267200"/>
            <wp:effectExtent l="0" t="0" r="0" b="0"/>
            <wp:docPr id="3" name="Picture 3" descr="image">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64" tgtFrame="&quot;_blank&quot;"/>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400800" cy="4267200"/>
                    </a:xfrm>
                    <a:prstGeom prst="rect">
                      <a:avLst/>
                    </a:prstGeom>
                    <a:noFill/>
                    <a:ln>
                      <a:noFill/>
                    </a:ln>
                  </pic:spPr>
                </pic:pic>
              </a:graphicData>
            </a:graphic>
          </wp:inline>
        </w:drawing>
      </w:r>
    </w:p>
    <w:p w14:paraId="5774F2E8" w14:textId="77777777" w:rsidR="00BA109F" w:rsidRPr="00727DE0" w:rsidRDefault="00BA109F" w:rsidP="00F77324">
      <w:pPr>
        <w:pStyle w:val="Heading3"/>
        <w:rPr>
          <w:rFonts w:asciiTheme="minorHAnsi" w:hAnsiTheme="minorHAnsi" w:cstheme="minorHAnsi"/>
        </w:rPr>
      </w:pPr>
      <w:r w:rsidRPr="00727DE0">
        <w:rPr>
          <w:rStyle w:val="Strong"/>
          <w:rFonts w:asciiTheme="minorHAnsi" w:hAnsiTheme="minorHAnsi" w:cstheme="minorHAnsi"/>
          <w:b w:val="0"/>
          <w:bCs w:val="0"/>
          <w:color w:val="0D0D0D" w:themeColor="text1" w:themeTint="F2"/>
        </w:rPr>
        <w:t>Figure 2</w:t>
      </w:r>
    </w:p>
    <w:p w14:paraId="1F1C7E9B" w14:textId="77777777" w:rsidR="00BA109F" w:rsidRPr="00727DE0" w:rsidRDefault="00BA109F" w:rsidP="00F77324">
      <w:pPr>
        <w:rPr>
          <w:rFonts w:cstheme="minorHAnsi"/>
        </w:rPr>
      </w:pPr>
      <w:r w:rsidRPr="00727DE0">
        <w:rPr>
          <w:rFonts w:cstheme="minorHAnsi"/>
        </w:rPr>
        <w:t>Response of seedling mycorrhizal infection (a, g), leaf N concentration (b, e, h), aboveground biomass (c, i), and height (d, f, j) to distance from the forest edge at year 1 (a–d), 2 (e, f) and 3 (g–j). Circles indicate data from field 56, crosses indicate data points from field 57. Solid lines indicate overall significant effect of distance with no significant field effect. N concentration in year 3 had a significant field effect (h), lines indicate main effect of distance in field 56 (dotted) and field 57 (dashed). In (f), (i) and (j) there were significant differences between fields. We therefore analysed the data separately from each field. Dashed lines indicate significant effects of distance in field 57, there were no significant effects of distance on mass or height in field 56.</w:t>
      </w:r>
    </w:p>
    <w:p w14:paraId="2331B8E2" w14:textId="77777777" w:rsidR="00BA109F" w:rsidRPr="00727DE0" w:rsidRDefault="00BA109F" w:rsidP="00F77324">
      <w:pPr>
        <w:rPr>
          <w:rFonts w:cstheme="minorHAnsi"/>
        </w:rPr>
      </w:pPr>
      <w:r w:rsidRPr="00727DE0">
        <w:rPr>
          <w:rFonts w:cstheme="minorHAnsi"/>
        </w:rPr>
        <w:t>By the end of the third growing season, the pattern of ectomycorrhizal infection of seedlings had changed (</w:t>
      </w:r>
      <w:hyperlink r:id="rId66" w:anchor="f2" w:history="1">
        <w:r w:rsidRPr="00727DE0">
          <w:rPr>
            <w:rStyle w:val="Hyperlink"/>
            <w:rFonts w:eastAsiaTheme="majorEastAsia" w:cstheme="minorHAnsi"/>
            <w:b/>
            <w:bCs/>
            <w:color w:val="005274"/>
          </w:rPr>
          <w:t>Fig. 2g</w:t>
        </w:r>
      </w:hyperlink>
      <w:r w:rsidRPr="00727DE0">
        <w:rPr>
          <w:rFonts w:cstheme="minorHAnsi"/>
        </w:rPr>
        <w:t>). Mycorrhizal infection remained high near trees (</w:t>
      </w:r>
      <w:r w:rsidRPr="00727DE0">
        <w:rPr>
          <w:rFonts w:cstheme="minorHAnsi"/>
          <w:i/>
          <w:iCs/>
        </w:rPr>
        <w:t>β</w:t>
      </w:r>
      <w:r w:rsidRPr="00727DE0">
        <w:rPr>
          <w:rFonts w:cstheme="minorHAnsi"/>
        </w:rPr>
        <w:t> </w:t>
      </w:r>
      <w:r w:rsidRPr="00727DE0">
        <w:rPr>
          <w:rFonts w:cstheme="minorHAnsi"/>
        </w:rPr>
        <w:t>=</w:t>
      </w:r>
      <w:r w:rsidRPr="00727DE0">
        <w:rPr>
          <w:rFonts w:cstheme="minorHAnsi"/>
        </w:rPr>
        <w:t> </w:t>
      </w:r>
      <w:r w:rsidRPr="00727DE0">
        <w:rPr>
          <w:rFonts w:cstheme="minorHAnsi"/>
        </w:rPr>
        <w:t>77.2</w:t>
      </w:r>
      <w:r w:rsidRPr="00727DE0">
        <w:rPr>
          <w:rFonts w:cstheme="minorHAnsi"/>
        </w:rPr>
        <w:t> </w:t>
      </w:r>
      <w:r w:rsidRPr="00727DE0">
        <w:rPr>
          <w:rFonts w:cstheme="minorHAnsi"/>
        </w:rPr>
        <w:t>±</w:t>
      </w:r>
      <w:r w:rsidRPr="00727DE0">
        <w:rPr>
          <w:rFonts w:cstheme="minorHAnsi"/>
        </w:rPr>
        <w:t> </w:t>
      </w:r>
      <w:r w:rsidRPr="00727DE0">
        <w:rPr>
          <w:rFonts w:cstheme="minorHAnsi"/>
        </w:rPr>
        <w:t>19.0), but had increased distant from trees (</w:t>
      </w:r>
      <w:r w:rsidRPr="00727DE0">
        <w:rPr>
          <w:rFonts w:cstheme="minorHAnsi"/>
          <w:i/>
          <w:iCs/>
        </w:rPr>
        <w:t>α</w:t>
      </w:r>
      <w:r w:rsidRPr="00727DE0">
        <w:rPr>
          <w:rFonts w:cstheme="minorHAnsi"/>
        </w:rPr>
        <w:t> </w:t>
      </w:r>
      <w:r w:rsidRPr="00727DE0">
        <w:rPr>
          <w:rFonts w:cstheme="minorHAnsi"/>
        </w:rPr>
        <w:t>=</w:t>
      </w:r>
      <w:r w:rsidRPr="00727DE0">
        <w:rPr>
          <w:rFonts w:cstheme="minorHAnsi"/>
        </w:rPr>
        <w:t> </w:t>
      </w:r>
      <w:r w:rsidRPr="00727DE0">
        <w:rPr>
          <w:rFonts w:cstheme="minorHAnsi"/>
        </w:rPr>
        <w:t>36.6</w:t>
      </w:r>
      <w:r w:rsidRPr="00727DE0">
        <w:rPr>
          <w:rFonts w:cstheme="minorHAnsi"/>
        </w:rPr>
        <w:t> </w:t>
      </w:r>
      <w:r w:rsidRPr="00727DE0">
        <w:rPr>
          <w:rFonts w:cstheme="minorHAnsi"/>
        </w:rPr>
        <w:t>±</w:t>
      </w:r>
      <w:r w:rsidRPr="00727DE0">
        <w:rPr>
          <w:rFonts w:cstheme="minorHAnsi"/>
        </w:rPr>
        <w:t> </w:t>
      </w:r>
      <w:r w:rsidRPr="00727DE0">
        <w:rPr>
          <w:rFonts w:cstheme="minorHAnsi"/>
        </w:rPr>
        <w:t>5.4), although four plots, all beyond 8</w:t>
      </w:r>
      <w:r w:rsidRPr="00727DE0">
        <w:rPr>
          <w:rFonts w:cstheme="minorHAnsi"/>
        </w:rPr>
        <w:t> </w:t>
      </w:r>
      <w:r w:rsidRPr="00727DE0">
        <w:rPr>
          <w:rFonts w:cstheme="minorHAnsi"/>
        </w:rPr>
        <w:t>m from the edge, continued to have &lt;</w:t>
      </w:r>
      <w:r w:rsidRPr="00727DE0">
        <w:rPr>
          <w:rFonts w:cstheme="minorHAnsi"/>
        </w:rPr>
        <w:t> </w:t>
      </w:r>
      <w:r w:rsidRPr="00727DE0">
        <w:rPr>
          <w:rFonts w:cstheme="minorHAnsi"/>
        </w:rPr>
        <w:t>20% of root tips infected. Although mycorrhizal infection again varied as a logistic function of distance, the increase in seedling infection occurred substantially closer to the edge than in year 1 (5.9</w:t>
      </w:r>
      <w:r w:rsidRPr="00727DE0">
        <w:rPr>
          <w:rFonts w:cstheme="minorHAnsi"/>
        </w:rPr>
        <w:t> </w:t>
      </w:r>
      <w:r w:rsidRPr="00727DE0">
        <w:rPr>
          <w:rFonts w:cstheme="minorHAnsi"/>
        </w:rPr>
        <w:t>m</w:t>
      </w:r>
      <w:r w:rsidRPr="00727DE0">
        <w:rPr>
          <w:rFonts w:cstheme="minorHAnsi"/>
        </w:rPr>
        <w:t> </w:t>
      </w:r>
      <w:r w:rsidRPr="00727DE0">
        <w:rPr>
          <w:rFonts w:cstheme="minorHAnsi"/>
        </w:rPr>
        <w:t>±</w:t>
      </w:r>
      <w:r w:rsidRPr="00727DE0">
        <w:rPr>
          <w:rFonts w:cstheme="minorHAnsi"/>
        </w:rPr>
        <w:t> </w:t>
      </w:r>
      <w:r w:rsidRPr="00727DE0">
        <w:rPr>
          <w:rFonts w:cstheme="minorHAnsi"/>
        </w:rPr>
        <w:t>3.3), which is approximately at the edge of the canopy. This led us to suspect that shading might be an important factor, which was supported by a significant correlation of year 3 infection with percent open canopy in plots from 0 to 8</w:t>
      </w:r>
      <w:r w:rsidRPr="00727DE0">
        <w:rPr>
          <w:rFonts w:cstheme="minorHAnsi"/>
        </w:rPr>
        <w:t> </w:t>
      </w:r>
      <w:r w:rsidRPr="00727DE0">
        <w:rPr>
          <w:rFonts w:cstheme="minorHAnsi"/>
        </w:rPr>
        <w:t>m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0.008, 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0.27; not shown).</w:t>
      </w:r>
    </w:p>
    <w:p w14:paraId="458E6EE6" w14:textId="77777777" w:rsidR="00BA109F" w:rsidRPr="00727DE0" w:rsidRDefault="00BA109F" w:rsidP="00F77324">
      <w:pPr>
        <w:rPr>
          <w:rFonts w:cstheme="minorHAnsi"/>
        </w:rPr>
      </w:pPr>
      <w:r w:rsidRPr="00727DE0">
        <w:rPr>
          <w:rFonts w:cstheme="minorHAnsi"/>
        </w:rPr>
        <w:t>Leaf nitrogen concentration of oak seedlings declined sharply with distance from the edge after 1</w:t>
      </w:r>
      <w:r w:rsidRPr="00727DE0">
        <w:rPr>
          <w:rFonts w:cstheme="minorHAnsi"/>
        </w:rPr>
        <w:t> </w:t>
      </w:r>
      <w:r w:rsidRPr="00727DE0">
        <w:rPr>
          <w:rFonts w:cstheme="minorHAnsi"/>
        </w:rPr>
        <w:t>year (quadratic term significant,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0.045) and somewhat less sharply after 2</w:t>
      </w:r>
      <w:r w:rsidRPr="00727DE0">
        <w:rPr>
          <w:rFonts w:cstheme="minorHAnsi"/>
        </w:rPr>
        <w:t> </w:t>
      </w:r>
      <w:r w:rsidRPr="00727DE0">
        <w:rPr>
          <w:rFonts w:cstheme="minorHAnsi"/>
        </w:rPr>
        <w:t>years (linear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0.0021). Third year leaf N showed a humped pattern, with an increase in leaf N from 0 to </w:t>
      </w:r>
      <w:r w:rsidRPr="00727DE0">
        <w:rPr>
          <w:rFonts w:cstheme="minorHAnsi"/>
          <w:i/>
          <w:iCs/>
        </w:rPr>
        <w:t>c.</w:t>
      </w:r>
      <w:r w:rsidRPr="00727DE0">
        <w:rPr>
          <w:rFonts w:cstheme="minorHAnsi"/>
        </w:rPr>
        <w:t> 8</w:t>
      </w:r>
      <w:r w:rsidRPr="00727DE0">
        <w:rPr>
          <w:rFonts w:cstheme="minorHAnsi"/>
        </w:rPr>
        <w:t> </w:t>
      </w:r>
      <w:r w:rsidRPr="00727DE0">
        <w:rPr>
          <w:rFonts w:cstheme="minorHAnsi"/>
        </w:rPr>
        <w:t>m, and a decline in leaf N from 8</w:t>
      </w:r>
      <w:r w:rsidRPr="00727DE0">
        <w:rPr>
          <w:rFonts w:cstheme="minorHAnsi"/>
        </w:rPr>
        <w:t> </w:t>
      </w:r>
      <w:r w:rsidRPr="00727DE0">
        <w:rPr>
          <w:rFonts w:cstheme="minorHAnsi"/>
        </w:rPr>
        <w:t>m to 20</w:t>
      </w:r>
      <w:r w:rsidRPr="00727DE0">
        <w:rPr>
          <w:rFonts w:cstheme="minorHAnsi"/>
        </w:rPr>
        <w:t> </w:t>
      </w:r>
      <w:r w:rsidRPr="00727DE0">
        <w:rPr>
          <w:rFonts w:cstheme="minorHAnsi"/>
        </w:rPr>
        <w:t>m (quadratic term significant,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0.042), and a significant effect of field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0.049), with higher leaf N in field 57 than in field 56.</w:t>
      </w:r>
    </w:p>
    <w:p w14:paraId="04413B42" w14:textId="77777777" w:rsidR="00BA109F" w:rsidRPr="00727DE0" w:rsidRDefault="00BA109F" w:rsidP="00F77324">
      <w:pPr>
        <w:rPr>
          <w:rFonts w:cstheme="minorHAnsi"/>
        </w:rPr>
      </w:pPr>
      <w:r w:rsidRPr="00727DE0">
        <w:rPr>
          <w:rFonts w:cstheme="minorHAnsi"/>
        </w:rPr>
        <w:lastRenderedPageBreak/>
        <w:t>First year mycorrhizal infection was a strong predictor of leaf N at 1</w:t>
      </w:r>
      <w:r w:rsidRPr="00727DE0">
        <w:rPr>
          <w:rFonts w:cstheme="minorHAnsi"/>
        </w:rPr>
        <w:t> </w:t>
      </w:r>
      <w:r w:rsidRPr="00727DE0">
        <w:rPr>
          <w:rFonts w:cstheme="minorHAnsi"/>
        </w:rPr>
        <w:t>year (</w:t>
      </w:r>
      <w:r w:rsidRPr="00727DE0">
        <w:rPr>
          <w:rFonts w:cstheme="minorHAnsi"/>
          <w:i/>
          <w:iCs/>
        </w:rPr>
        <w:t>P</w:t>
      </w:r>
      <w:r w:rsidRPr="00727DE0">
        <w:rPr>
          <w:rFonts w:cstheme="minorHAnsi"/>
        </w:rPr>
        <w:t> </w:t>
      </w:r>
      <w:r w:rsidRPr="00727DE0">
        <w:rPr>
          <w:rFonts w:cstheme="minorHAnsi"/>
        </w:rPr>
        <w:t>&lt;</w:t>
      </w:r>
      <w:r w:rsidRPr="00727DE0">
        <w:rPr>
          <w:rFonts w:cstheme="minorHAnsi"/>
        </w:rPr>
        <w:t> </w:t>
      </w:r>
      <w:r w:rsidRPr="00727DE0">
        <w:rPr>
          <w:rFonts w:cstheme="minorHAnsi"/>
        </w:rPr>
        <w:t>0.001, 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0.60) and 2</w:t>
      </w:r>
      <w:r w:rsidRPr="00727DE0">
        <w:rPr>
          <w:rFonts w:cstheme="minorHAnsi"/>
        </w:rPr>
        <w:t> </w:t>
      </w:r>
      <w:r w:rsidRPr="00727DE0">
        <w:rPr>
          <w:rFonts w:cstheme="minorHAnsi"/>
        </w:rPr>
        <w:t>years (</w:t>
      </w:r>
      <w:r w:rsidRPr="00727DE0">
        <w:rPr>
          <w:rFonts w:cstheme="minorHAnsi"/>
          <w:i/>
          <w:iCs/>
        </w:rPr>
        <w:t>P</w:t>
      </w:r>
      <w:r w:rsidRPr="00727DE0">
        <w:rPr>
          <w:rFonts w:cstheme="minorHAnsi"/>
        </w:rPr>
        <w:t> </w:t>
      </w:r>
      <w:r w:rsidRPr="00727DE0">
        <w:rPr>
          <w:rFonts w:cstheme="minorHAnsi"/>
        </w:rPr>
        <w:t>&lt;</w:t>
      </w:r>
      <w:r w:rsidRPr="00727DE0">
        <w:rPr>
          <w:rFonts w:cstheme="minorHAnsi"/>
        </w:rPr>
        <w:t> </w:t>
      </w:r>
      <w:r w:rsidRPr="00727DE0">
        <w:rPr>
          <w:rFonts w:cstheme="minorHAnsi"/>
        </w:rPr>
        <w:t>0.001, 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0.35), but not at 3</w:t>
      </w:r>
      <w:r w:rsidRPr="00727DE0">
        <w:rPr>
          <w:rFonts w:cstheme="minorHAnsi"/>
        </w:rPr>
        <w:t> </w:t>
      </w:r>
      <w:r w:rsidRPr="00727DE0">
        <w:rPr>
          <w:rFonts w:cstheme="minorHAnsi"/>
        </w:rPr>
        <w:t>years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0.19). Third year mycorrhizal infection was not correlated with third year leaf N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0.17).</w:t>
      </w:r>
    </w:p>
    <w:p w14:paraId="558B1450" w14:textId="77777777" w:rsidR="00BA109F" w:rsidRPr="00727DE0" w:rsidRDefault="00BA109F" w:rsidP="00F77324">
      <w:pPr>
        <w:rPr>
          <w:rFonts w:cstheme="minorHAnsi"/>
        </w:rPr>
      </w:pPr>
      <w:r w:rsidRPr="00727DE0">
        <w:rPr>
          <w:rFonts w:cstheme="minorHAnsi"/>
        </w:rPr>
        <w:t>At year 1, there was no significant effect of distance or field on seedling height or mass. In years 2 and 3 there were very strong field effects on height and mass with generally greater and more variable growth in field 57 than in field 56. We therefore divided the data by field and analysed each field individually. This greatly aided in interpretation of the results, but did not fundamentally change any outcome when compared with analysis of the full data set. In the second growing season, there were significant linear and quadratic effects of distance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0.019 and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0.025, respectively) on the height of seedlings in field 57 but not in field 56. After three growing seasons, both mass and height showed strongly humped patterns in field 57 (mass: linear term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0.0003 and quadratic term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0.0005; height: linear term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0.039 and quadratic term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0.034), but again there was no significant effect of distance on mass or height in field 56.</w:t>
      </w:r>
    </w:p>
    <w:p w14:paraId="539729E3" w14:textId="77777777" w:rsidR="00BA109F" w:rsidRPr="00727DE0" w:rsidRDefault="00BA109F" w:rsidP="00824097">
      <w:pPr>
        <w:pStyle w:val="Heading2"/>
        <w:rPr>
          <w:rFonts w:asciiTheme="minorHAnsi" w:hAnsiTheme="minorHAnsi" w:cstheme="minorHAnsi"/>
        </w:rPr>
      </w:pPr>
      <w:r w:rsidRPr="00727DE0">
        <w:rPr>
          <w:rFonts w:asciiTheme="minorHAnsi" w:hAnsiTheme="minorHAnsi" w:cstheme="minorHAnsi"/>
        </w:rPr>
        <w:t>Competition vs. facilitation</w:t>
      </w:r>
    </w:p>
    <w:p w14:paraId="692EC7B9" w14:textId="77777777" w:rsidR="00BA109F" w:rsidRPr="00727DE0" w:rsidRDefault="00BA109F" w:rsidP="00910012">
      <w:pPr>
        <w:rPr>
          <w:rFonts w:cstheme="minorHAnsi"/>
        </w:rPr>
      </w:pPr>
      <w:r w:rsidRPr="00727DE0">
        <w:rPr>
          <w:rFonts w:cstheme="minorHAnsi"/>
        </w:rPr>
        <w:t>The humped pattern in the biomass data for field 57 suggested that different factors might influence seedling growth near and distant from trees. From 0 to 8</w:t>
      </w:r>
      <w:r w:rsidRPr="00727DE0">
        <w:rPr>
          <w:rFonts w:cstheme="minorHAnsi"/>
        </w:rPr>
        <w:t> </w:t>
      </w:r>
      <w:r w:rsidRPr="00727DE0">
        <w:rPr>
          <w:rFonts w:cstheme="minorHAnsi"/>
        </w:rPr>
        <w:t>m there were strong gradients in canopy openness and uniformly high first year mycorrhizal infection, suggesting that competition via shading would be most apparent at these distances; while from 12 to 20</w:t>
      </w:r>
      <w:r w:rsidRPr="00727DE0">
        <w:rPr>
          <w:rFonts w:cstheme="minorHAnsi"/>
        </w:rPr>
        <w:t> </w:t>
      </w:r>
      <w:r w:rsidRPr="00727DE0">
        <w:rPr>
          <w:rFonts w:cstheme="minorHAnsi"/>
        </w:rPr>
        <w:t>m there was a strong gradient in first year mycorrhizal infection but uniformly high canopy openness, suggesting that facilitation would be most apparent at these distances. We therefore further divided the data into two parts: plots 0–8</w:t>
      </w:r>
      <w:r w:rsidRPr="00727DE0">
        <w:rPr>
          <w:rFonts w:cstheme="minorHAnsi"/>
        </w:rPr>
        <w:t> </w:t>
      </w:r>
      <w:r w:rsidRPr="00727DE0">
        <w:rPr>
          <w:rFonts w:cstheme="minorHAnsi"/>
        </w:rPr>
        <w:t>m from the base of trees, and plots 12–20</w:t>
      </w:r>
      <w:r w:rsidRPr="00727DE0">
        <w:rPr>
          <w:rFonts w:cstheme="minorHAnsi"/>
        </w:rPr>
        <w:t> </w:t>
      </w:r>
      <w:r w:rsidRPr="00727DE0">
        <w:rPr>
          <w:rFonts w:cstheme="minorHAnsi"/>
        </w:rPr>
        <w:t>m from the base of trees. From 0 to 8</w:t>
      </w:r>
      <w:r w:rsidRPr="00727DE0">
        <w:rPr>
          <w:rFonts w:cstheme="minorHAnsi"/>
        </w:rPr>
        <w:t> </w:t>
      </w:r>
      <w:r w:rsidRPr="00727DE0">
        <w:rPr>
          <w:rFonts w:cstheme="minorHAnsi"/>
        </w:rPr>
        <w:t>m there was a negative correlation of third‐year biomass with canopy openness in field 57 (</w:t>
      </w:r>
      <w:hyperlink r:id="rId67" w:anchor="f4" w:history="1">
        <w:r w:rsidRPr="00727DE0">
          <w:rPr>
            <w:rStyle w:val="Hyperlink"/>
            <w:rFonts w:eastAsiaTheme="majorEastAsia" w:cstheme="minorHAnsi"/>
            <w:b/>
            <w:bCs/>
            <w:color w:val="005274"/>
          </w:rPr>
          <w:t>Fig. 4a</w:t>
        </w:r>
      </w:hyperlink>
      <w:r w:rsidRPr="00727DE0">
        <w:rPr>
          <w:rFonts w:cstheme="minorHAnsi"/>
        </w:rPr>
        <w:t>;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0.040, 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0.30) and in field 56 (</w:t>
      </w:r>
      <w:hyperlink r:id="rId68" w:anchor="f4" w:history="1">
        <w:r w:rsidRPr="00727DE0">
          <w:rPr>
            <w:rStyle w:val="Hyperlink"/>
            <w:rFonts w:eastAsiaTheme="majorEastAsia" w:cstheme="minorHAnsi"/>
            <w:b/>
            <w:bCs/>
            <w:color w:val="005274"/>
          </w:rPr>
          <w:t>Fig. 4b</w:t>
        </w:r>
      </w:hyperlink>
      <w:r w:rsidRPr="00727DE0">
        <w:rPr>
          <w:rFonts w:cstheme="minorHAnsi"/>
        </w:rPr>
        <w:t>;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0.053, 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0.31). We also observed etiolation of seedlings in shaded plots, reflected in a significant correlation of the third year height to biomass ratio of seedlings with canopy openness (not shown, </w:t>
      </w:r>
      <w:r w:rsidRPr="00727DE0">
        <w:rPr>
          <w:rFonts w:cstheme="minorHAnsi"/>
          <w:i/>
          <w:iCs/>
        </w:rPr>
        <w:t>P</w:t>
      </w:r>
      <w:r w:rsidRPr="00727DE0">
        <w:rPr>
          <w:rFonts w:cstheme="minorHAnsi"/>
        </w:rPr>
        <w:t> </w:t>
      </w:r>
      <w:r w:rsidRPr="00727DE0">
        <w:rPr>
          <w:rFonts w:cstheme="minorHAnsi"/>
        </w:rPr>
        <w:t>&lt;</w:t>
      </w:r>
      <w:r w:rsidRPr="00727DE0">
        <w:rPr>
          <w:rFonts w:cstheme="minorHAnsi"/>
        </w:rPr>
        <w:t> </w:t>
      </w:r>
      <w:r w:rsidRPr="00727DE0">
        <w:rPr>
          <w:rFonts w:cstheme="minorHAnsi"/>
        </w:rPr>
        <w:t>0.0001, 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0.67). From 12 to 20</w:t>
      </w:r>
      <w:r w:rsidRPr="00727DE0">
        <w:rPr>
          <w:rFonts w:cstheme="minorHAnsi"/>
        </w:rPr>
        <w:t> </w:t>
      </w:r>
      <w:r w:rsidRPr="00727DE0">
        <w:rPr>
          <w:rFonts w:cstheme="minorHAnsi"/>
        </w:rPr>
        <w:t>m there was a positive correlation of third year biomass with mycorrhizal infection in both field 56 (</w:t>
      </w:r>
      <w:hyperlink r:id="rId69" w:anchor="f4" w:history="1">
        <w:r w:rsidRPr="00727DE0">
          <w:rPr>
            <w:rStyle w:val="Hyperlink"/>
            <w:rFonts w:eastAsiaTheme="majorEastAsia" w:cstheme="minorHAnsi"/>
            <w:b/>
            <w:bCs/>
            <w:color w:val="005274"/>
          </w:rPr>
          <w:t>Fig. 4c</w:t>
        </w:r>
      </w:hyperlink>
      <w:r w:rsidRPr="00727DE0">
        <w:rPr>
          <w:rFonts w:cstheme="minorHAnsi"/>
        </w:rPr>
        <w:t>;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0.0038, 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0.68) and field 57 (</w:t>
      </w:r>
      <w:hyperlink r:id="rId70" w:anchor="f4" w:history="1">
        <w:r w:rsidRPr="00727DE0">
          <w:rPr>
            <w:rStyle w:val="Hyperlink"/>
            <w:rFonts w:eastAsiaTheme="majorEastAsia" w:cstheme="minorHAnsi"/>
            <w:b/>
            <w:bCs/>
            <w:color w:val="005274"/>
          </w:rPr>
          <w:t>Fig. 4d</w:t>
        </w:r>
      </w:hyperlink>
      <w:r w:rsidRPr="00727DE0">
        <w:rPr>
          <w:rFonts w:cstheme="minorHAnsi"/>
        </w:rPr>
        <w:t>;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0.033, 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0.55). There was no significant correlation of growth with ectomycorrhizal infection from 0 to 8</w:t>
      </w:r>
      <w:r w:rsidRPr="00727DE0">
        <w:rPr>
          <w:rFonts w:cstheme="minorHAnsi"/>
        </w:rPr>
        <w:t> </w:t>
      </w:r>
      <w:r w:rsidRPr="00727DE0">
        <w:rPr>
          <w:rFonts w:cstheme="minorHAnsi"/>
        </w:rPr>
        <w:t>m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0.16) or canopy closure from 12 to 20</w:t>
      </w:r>
      <w:r w:rsidRPr="00727DE0">
        <w:rPr>
          <w:rFonts w:cstheme="minorHAnsi"/>
        </w:rPr>
        <w:t> </w:t>
      </w:r>
      <w:r w:rsidRPr="00727DE0">
        <w:rPr>
          <w:rFonts w:cstheme="minorHAnsi"/>
        </w:rPr>
        <w:t>m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0.98).</w:t>
      </w:r>
    </w:p>
    <w:p w14:paraId="42B0F161" w14:textId="6228D4AD" w:rsidR="00BA109F" w:rsidRPr="00727DE0" w:rsidRDefault="00BA109F" w:rsidP="00BA109F">
      <w:pPr>
        <w:rPr>
          <w:rFonts w:cstheme="minorHAnsi"/>
        </w:rPr>
      </w:pPr>
      <w:r w:rsidRPr="00727DE0">
        <w:rPr>
          <w:rFonts w:cstheme="minorHAnsi"/>
          <w:noProof/>
          <w:color w:val="005274"/>
        </w:rPr>
        <w:lastRenderedPageBreak/>
        <w:drawing>
          <wp:inline distT="0" distB="0" distL="0" distR="0" wp14:anchorId="420A9DBF" wp14:editId="0CDBAA81">
            <wp:extent cx="3810000" cy="6353175"/>
            <wp:effectExtent l="0" t="0" r="0" b="9525"/>
            <wp:docPr id="2" name="Picture 2" descr="image">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71" tgtFrame="&quot;_blank&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810000" cy="6353175"/>
                    </a:xfrm>
                    <a:prstGeom prst="rect">
                      <a:avLst/>
                    </a:prstGeom>
                    <a:noFill/>
                    <a:ln>
                      <a:noFill/>
                    </a:ln>
                  </pic:spPr>
                </pic:pic>
              </a:graphicData>
            </a:graphic>
          </wp:inline>
        </w:drawing>
      </w:r>
    </w:p>
    <w:p w14:paraId="1928E2AB" w14:textId="77777777" w:rsidR="00BA109F" w:rsidRPr="00727DE0" w:rsidRDefault="00BA109F" w:rsidP="00910012">
      <w:pPr>
        <w:pStyle w:val="Heading3"/>
        <w:rPr>
          <w:rFonts w:asciiTheme="minorHAnsi" w:hAnsiTheme="minorHAnsi" w:cstheme="minorHAnsi"/>
        </w:rPr>
      </w:pPr>
      <w:r w:rsidRPr="00727DE0">
        <w:rPr>
          <w:rStyle w:val="Strong"/>
          <w:rFonts w:asciiTheme="minorHAnsi" w:hAnsiTheme="minorHAnsi" w:cstheme="minorHAnsi"/>
          <w:b w:val="0"/>
          <w:bCs w:val="0"/>
          <w:color w:val="0D0D0D" w:themeColor="text1" w:themeTint="F2"/>
        </w:rPr>
        <w:t>Figure 4</w:t>
      </w:r>
    </w:p>
    <w:p w14:paraId="37E7C626" w14:textId="77777777" w:rsidR="00BA109F" w:rsidRPr="00727DE0" w:rsidRDefault="00BA109F" w:rsidP="00910012">
      <w:pPr>
        <w:rPr>
          <w:rFonts w:cstheme="minorHAnsi"/>
        </w:rPr>
      </w:pPr>
      <w:r w:rsidRPr="00727DE0">
        <w:rPr>
          <w:rFonts w:cstheme="minorHAnsi"/>
        </w:rPr>
        <w:t>Effect of density of trees on the growth of seedlings in simulation model based on data from </w:t>
      </w:r>
      <w:hyperlink r:id="rId73" w:anchor="f1%20#f2%20#f3" w:history="1">
        <w:r w:rsidRPr="00727DE0">
          <w:rPr>
            <w:rStyle w:val="Hyperlink"/>
            <w:rFonts w:eastAsiaTheme="majorEastAsia" w:cstheme="minorHAnsi"/>
            <w:b/>
            <w:bCs/>
            <w:color w:val="005274"/>
          </w:rPr>
          <w:t>Figs 1, 2a and 3</w:t>
        </w:r>
      </w:hyperlink>
      <w:r w:rsidRPr="00727DE0">
        <w:rPr>
          <w:rFonts w:cstheme="minorHAnsi"/>
        </w:rPr>
        <w:t>, showing average effects on seedlings (a) via mycorrhiza (thin line), shading (dashed line), and the net effect (heavy line) coand spatial distribution of positive and negative effects on a simulated landscape with randomly distributed trees (b). Lines follow actual output of model and are not averaged or smoothed (i.e. variance was very low). (b) The landscape with seedling growth from high (red) to low (orange) with trees indicated by black points for model run with 50</w:t>
      </w:r>
      <w:r w:rsidRPr="00727DE0">
        <w:rPr>
          <w:rFonts w:cstheme="minorHAnsi"/>
        </w:rPr>
        <w:t> </w:t>
      </w:r>
      <w:r w:rsidRPr="00727DE0">
        <w:rPr>
          <w:rFonts w:cstheme="minorHAnsi"/>
        </w:rPr>
        <w:t>trees</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There are large areas of favourable conditions (red) with frequent denser clusters of trees causing minor growth reductions (shading from red to dark blue), and infrequent large openings where seedlings are severely growth limited by a lack of mycorrhiza (shading to orange). Relative tree diameters indicated by diameter of points, not drawn to same scale as axes.</w:t>
      </w:r>
    </w:p>
    <w:p w14:paraId="51A977B2" w14:textId="77777777" w:rsidR="00BA109F" w:rsidRPr="00727DE0" w:rsidRDefault="00BA109F" w:rsidP="00B27337">
      <w:pPr>
        <w:pStyle w:val="Heading2"/>
        <w:rPr>
          <w:rFonts w:asciiTheme="minorHAnsi" w:hAnsiTheme="minorHAnsi" w:cstheme="minorHAnsi"/>
        </w:rPr>
      </w:pPr>
      <w:r w:rsidRPr="00727DE0">
        <w:rPr>
          <w:rFonts w:asciiTheme="minorHAnsi" w:hAnsiTheme="minorHAnsi" w:cstheme="minorHAnsi"/>
        </w:rPr>
        <w:lastRenderedPageBreak/>
        <w:t>Spatially explicit model of competition and facilitation vs. density</w:t>
      </w:r>
    </w:p>
    <w:p w14:paraId="6D61C3F9" w14:textId="77777777" w:rsidR="00BA109F" w:rsidRPr="00727DE0" w:rsidRDefault="00BA109F" w:rsidP="00B27337">
      <w:pPr>
        <w:rPr>
          <w:rFonts w:cstheme="minorHAnsi"/>
        </w:rPr>
      </w:pPr>
      <w:r w:rsidRPr="00727DE0">
        <w:rPr>
          <w:rFonts w:cstheme="minorHAnsi"/>
        </w:rPr>
        <w:t>We used a spatially explicit model parameterized with field data to assess how tree–seedling interactions might change as a function of tree density, ranging from open fields to closed canopy forest. In order to combine data from both fields we first scaled growth as a proportion of the growth of the largest seedling in each field, after which there was no longer a significant field effect. To model facilitation, we derived equations for growth as a function of first year mycorrhiza (proportion of maximum growth</w:t>
      </w:r>
      <w:r w:rsidRPr="00727DE0">
        <w:rPr>
          <w:rFonts w:cstheme="minorHAnsi"/>
        </w:rPr>
        <w:t> </w:t>
      </w:r>
      <w:r w:rsidRPr="00727DE0">
        <w:rPr>
          <w:rFonts w:cstheme="minorHAnsi"/>
        </w:rPr>
        <w:t>=0.27</w:t>
      </w:r>
      <w:r w:rsidRPr="00727DE0">
        <w:rPr>
          <w:rFonts w:cstheme="minorHAnsi"/>
        </w:rPr>
        <w:t> </w:t>
      </w:r>
      <w:r w:rsidRPr="00727DE0">
        <w:rPr>
          <w:rFonts w:cstheme="minorHAnsi"/>
        </w:rPr>
        <w:t>+</w:t>
      </w:r>
      <w:r w:rsidRPr="00727DE0">
        <w:rPr>
          <w:rFonts w:cstheme="minorHAnsi"/>
        </w:rPr>
        <w:t> </w:t>
      </w:r>
      <w:r w:rsidRPr="00727DE0">
        <w:rPr>
          <w:rFonts w:cstheme="minorHAnsi"/>
        </w:rPr>
        <w:t>0.74(ECM), where ECM is first year mycorrhizal infection, see </w:t>
      </w:r>
      <w:hyperlink r:id="rId74" w:anchor="f3" w:history="1">
        <w:r w:rsidRPr="00727DE0">
          <w:rPr>
            <w:rStyle w:val="Hyperlink"/>
            <w:rFonts w:eastAsiaTheme="majorEastAsia" w:cstheme="minorHAnsi"/>
            <w:b/>
            <w:bCs/>
            <w:color w:val="005274"/>
          </w:rPr>
          <w:t>Fig. 3b,d</w:t>
        </w:r>
      </w:hyperlink>
      <w:r w:rsidRPr="00727DE0">
        <w:rPr>
          <w:rFonts w:cstheme="minorHAnsi"/>
        </w:rPr>
        <w:t>); and mycorrhizal infection as a function of proximity to trees (see </w:t>
      </w:r>
      <w:hyperlink r:id="rId75" w:anchor="m1" w:history="1">
        <w:r w:rsidRPr="00727DE0">
          <w:rPr>
            <w:rStyle w:val="Hyperlink"/>
            <w:rFonts w:eastAsiaTheme="majorEastAsia" w:cstheme="minorHAnsi"/>
            <w:b/>
            <w:bCs/>
            <w:color w:val="005274"/>
          </w:rPr>
          <w:t>eqn  1</w:t>
        </w:r>
      </w:hyperlink>
      <w:r w:rsidRPr="00727DE0">
        <w:rPr>
          <w:rFonts w:cstheme="minorHAnsi"/>
        </w:rPr>
        <w:t>, above). To model competition, we took proportion of maximum growth as a function of canopy openness measured as DIFN (proportion of maximum growth</w:t>
      </w:r>
      <w:r w:rsidRPr="00727DE0">
        <w:rPr>
          <w:rFonts w:cstheme="minorHAnsi"/>
        </w:rPr>
        <w:t> </w:t>
      </w:r>
      <w:r w:rsidRPr="00727DE0">
        <w:rPr>
          <w:rFonts w:cstheme="minorHAnsi"/>
        </w:rPr>
        <w:t>=</w:t>
      </w:r>
      <w:r w:rsidRPr="00727DE0">
        <w:rPr>
          <w:rFonts w:cstheme="minorHAnsi"/>
        </w:rPr>
        <w:t> </w:t>
      </w:r>
      <w:r w:rsidRPr="00727DE0">
        <w:rPr>
          <w:rFonts w:cstheme="minorHAnsi"/>
        </w:rPr>
        <w:t>0.25</w:t>
      </w:r>
      <w:r w:rsidRPr="00727DE0">
        <w:rPr>
          <w:rFonts w:cstheme="minorHAnsi"/>
        </w:rPr>
        <w:t> </w:t>
      </w:r>
      <w:r w:rsidRPr="00727DE0">
        <w:rPr>
          <w:rFonts w:cstheme="minorHAnsi"/>
        </w:rPr>
        <w:t>+</w:t>
      </w:r>
      <w:r w:rsidRPr="00727DE0">
        <w:rPr>
          <w:rFonts w:cstheme="minorHAnsi"/>
        </w:rPr>
        <w:t> </w:t>
      </w:r>
      <w:r w:rsidRPr="00727DE0">
        <w:rPr>
          <w:rFonts w:cstheme="minorHAnsi"/>
        </w:rPr>
        <w:t>0.47(DIFN); see </w:t>
      </w:r>
      <w:hyperlink r:id="rId76" w:anchor="f3" w:history="1">
        <w:r w:rsidRPr="00727DE0">
          <w:rPr>
            <w:rStyle w:val="Hyperlink"/>
            <w:rFonts w:eastAsiaTheme="majorEastAsia" w:cstheme="minorHAnsi"/>
            <w:b/>
            <w:bCs/>
            <w:color w:val="005274"/>
          </w:rPr>
          <w:t>Fig. 3a,c</w:t>
        </w:r>
      </w:hyperlink>
      <w:r w:rsidRPr="00727DE0">
        <w:rPr>
          <w:rFonts w:cstheme="minorHAnsi"/>
        </w:rPr>
        <w:t>), and reanalysed data from a prior study in the same research area (</w:t>
      </w:r>
      <w:hyperlink r:id="rId77" w:anchor="b37" w:history="1">
        <w:r w:rsidRPr="00727DE0">
          <w:rPr>
            <w:rStyle w:val="Hyperlink"/>
            <w:rFonts w:eastAsiaTheme="majorEastAsia" w:cstheme="minorHAnsi"/>
            <w:b/>
            <w:bCs/>
            <w:color w:val="000000"/>
          </w:rPr>
          <w:t>Peterson 1998</w:t>
        </w:r>
      </w:hyperlink>
      <w:r w:rsidRPr="00727DE0">
        <w:rPr>
          <w:rFonts w:cstheme="minorHAnsi"/>
        </w:rPr>
        <w:t>) on canopy openness (DIFN) as a function of tree BA in oak savanna (DIFN</w:t>
      </w:r>
      <w:r w:rsidRPr="00727DE0">
        <w:rPr>
          <w:rFonts w:cstheme="minorHAnsi"/>
        </w:rPr>
        <w:t> </w:t>
      </w:r>
      <w:r w:rsidRPr="00727DE0">
        <w:rPr>
          <w:rFonts w:cstheme="minorHAnsi"/>
        </w:rPr>
        <w:t>=0.92–0.045(BA)</w:t>
      </w:r>
      <w:r w:rsidRPr="00727DE0">
        <w:rPr>
          <w:rFonts w:cstheme="minorHAnsi"/>
        </w:rPr>
        <w:t> </w:t>
      </w:r>
      <w:r w:rsidRPr="00727DE0">
        <w:rPr>
          <w:rFonts w:cstheme="minorHAnsi"/>
        </w:rPr>
        <w:t>+</w:t>
      </w:r>
      <w:r w:rsidRPr="00727DE0">
        <w:rPr>
          <w:rFonts w:cstheme="minorHAnsi"/>
        </w:rPr>
        <w:t> </w:t>
      </w:r>
      <w:r w:rsidRPr="00727DE0">
        <w:rPr>
          <w:rFonts w:cstheme="minorHAnsi"/>
        </w:rPr>
        <w:t>0.00053(BA)</w:t>
      </w:r>
      <w:r w:rsidRPr="00727DE0">
        <w:rPr>
          <w:rFonts w:cstheme="minorHAnsi"/>
          <w:vertAlign w:val="superscript"/>
        </w:rPr>
        <w:t>2</w:t>
      </w:r>
      <w:r w:rsidRPr="00727DE0">
        <w:rPr>
          <w:rFonts w:cstheme="minorHAnsi"/>
        </w:rPr>
        <w:t>; </w:t>
      </w:r>
      <w:r w:rsidRPr="00727DE0">
        <w:rPr>
          <w:rFonts w:cstheme="minorHAnsi"/>
          <w:i/>
          <w:iCs/>
        </w:rPr>
        <w:t>P</w:t>
      </w:r>
      <w:r w:rsidRPr="00727DE0">
        <w:rPr>
          <w:rFonts w:cstheme="minorHAnsi"/>
        </w:rPr>
        <w:t> </w:t>
      </w:r>
      <w:r w:rsidRPr="00727DE0">
        <w:rPr>
          <w:rFonts w:cstheme="minorHAnsi"/>
        </w:rPr>
        <w:t>&lt;</w:t>
      </w:r>
      <w:r w:rsidRPr="00727DE0">
        <w:rPr>
          <w:rFonts w:cstheme="minorHAnsi"/>
        </w:rPr>
        <w:t> </w:t>
      </w:r>
      <w:r w:rsidRPr="00727DE0">
        <w:rPr>
          <w:rFonts w:cstheme="minorHAnsi"/>
        </w:rPr>
        <w:t>0.001, </w:t>
      </w:r>
      <w:r w:rsidRPr="00727DE0">
        <w:rPr>
          <w:rFonts w:cstheme="minorHAnsi"/>
          <w:i/>
          <w:iCs/>
        </w:rPr>
        <w:t>r</w:t>
      </w:r>
      <w:r w:rsidRPr="00727DE0">
        <w:rPr>
          <w:rFonts w:cstheme="minorHAnsi"/>
          <w:vertAlign w:val="superscript"/>
        </w:rPr>
        <w:t>2</w:t>
      </w:r>
      <w:r w:rsidRPr="00727DE0">
        <w:rPr>
          <w:rFonts w:cstheme="minorHAnsi"/>
        </w:rPr>
        <w:t> </w:t>
      </w:r>
      <w:r w:rsidRPr="00727DE0">
        <w:rPr>
          <w:rFonts w:cstheme="minorHAnsi"/>
        </w:rPr>
        <w:t>=</w:t>
      </w:r>
      <w:r w:rsidRPr="00727DE0">
        <w:rPr>
          <w:rFonts w:cstheme="minorHAnsi"/>
        </w:rPr>
        <w:t> </w:t>
      </w:r>
      <w:r w:rsidRPr="00727DE0">
        <w:rPr>
          <w:rFonts w:cstheme="minorHAnsi"/>
        </w:rPr>
        <w:t>0.78). The resulting seedling growth potential is calculated as the product of the two functions. We then generated a spatially explicit model with varying densities of trees on a 250</w:t>
      </w:r>
      <w:r w:rsidRPr="00727DE0">
        <w:rPr>
          <w:rFonts w:cstheme="minorHAnsi"/>
        </w:rPr>
        <w:t> </w:t>
      </w:r>
      <w:r w:rsidRPr="00727DE0">
        <w:rPr>
          <w:rFonts w:cstheme="minorHAnsi"/>
        </w:rPr>
        <w:t>×</w:t>
      </w:r>
      <w:r w:rsidRPr="00727DE0">
        <w:rPr>
          <w:rFonts w:cstheme="minorHAnsi"/>
        </w:rPr>
        <w:t> </w:t>
      </w:r>
      <w:r w:rsidRPr="00727DE0">
        <w:rPr>
          <w:rFonts w:cstheme="minorHAnsi"/>
        </w:rPr>
        <w:t>250</w:t>
      </w:r>
      <w:r w:rsidRPr="00727DE0">
        <w:rPr>
          <w:rFonts w:cstheme="minorHAnsi"/>
        </w:rPr>
        <w:t> </w:t>
      </w:r>
      <w:r w:rsidRPr="00727DE0">
        <w:rPr>
          <w:rFonts w:cstheme="minorHAnsi"/>
        </w:rPr>
        <w:t>m landscape and ran the model at 26 densities ranging from 0.1 to 600</w:t>
      </w:r>
      <w:r w:rsidRPr="00727DE0">
        <w:rPr>
          <w:rFonts w:cstheme="minorHAnsi"/>
        </w:rPr>
        <w:t> </w:t>
      </w:r>
      <w:r w:rsidRPr="00727DE0">
        <w:rPr>
          <w:rFonts w:cstheme="minorHAnsi"/>
        </w:rPr>
        <w:t>trees</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to determine the effect of tree density on facilitation and competition of seedling establishment by trees.</w:t>
      </w:r>
    </w:p>
    <w:p w14:paraId="5AA81F44" w14:textId="73FE854C" w:rsidR="00BA109F" w:rsidRPr="00727DE0" w:rsidRDefault="00BA109F" w:rsidP="00BA109F">
      <w:pPr>
        <w:rPr>
          <w:rFonts w:cstheme="minorHAnsi"/>
        </w:rPr>
      </w:pPr>
      <w:r w:rsidRPr="00727DE0">
        <w:rPr>
          <w:rFonts w:cstheme="minorHAnsi"/>
          <w:noProof/>
          <w:color w:val="005274"/>
        </w:rPr>
        <w:drawing>
          <wp:inline distT="0" distB="0" distL="0" distR="0" wp14:anchorId="2C526DFF" wp14:editId="4B9D7E2E">
            <wp:extent cx="4762500" cy="4191000"/>
            <wp:effectExtent l="0" t="0" r="0" b="0"/>
            <wp:docPr id="1" name="Picture 1" descr="image">
              <a:hlinkClick xmlns:a="http://schemas.openxmlformats.org/drawingml/2006/main" r:id="rId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78" tgtFrame="&quot;_blank&quot;"/>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762500" cy="4191000"/>
                    </a:xfrm>
                    <a:prstGeom prst="rect">
                      <a:avLst/>
                    </a:prstGeom>
                    <a:noFill/>
                    <a:ln>
                      <a:noFill/>
                    </a:ln>
                  </pic:spPr>
                </pic:pic>
              </a:graphicData>
            </a:graphic>
          </wp:inline>
        </w:drawing>
      </w:r>
    </w:p>
    <w:p w14:paraId="7EC45E9F" w14:textId="77777777" w:rsidR="00BA109F" w:rsidRPr="00727DE0" w:rsidRDefault="00BA109F" w:rsidP="00B27337">
      <w:pPr>
        <w:pStyle w:val="Heading3"/>
        <w:rPr>
          <w:rFonts w:asciiTheme="minorHAnsi" w:hAnsiTheme="minorHAnsi" w:cstheme="minorHAnsi"/>
        </w:rPr>
      </w:pPr>
      <w:r w:rsidRPr="00727DE0">
        <w:rPr>
          <w:rStyle w:val="Strong"/>
          <w:rFonts w:asciiTheme="minorHAnsi" w:hAnsiTheme="minorHAnsi" w:cstheme="minorHAnsi"/>
          <w:b w:val="0"/>
          <w:bCs w:val="0"/>
          <w:color w:val="0D0D0D" w:themeColor="text1" w:themeTint="F2"/>
        </w:rPr>
        <w:t>Figure 3</w:t>
      </w:r>
    </w:p>
    <w:p w14:paraId="13A05D3C" w14:textId="77777777" w:rsidR="00BA109F" w:rsidRPr="00727DE0" w:rsidRDefault="00BA109F" w:rsidP="00B27337">
      <w:pPr>
        <w:rPr>
          <w:rFonts w:cstheme="minorHAnsi"/>
        </w:rPr>
      </w:pPr>
      <w:r w:rsidRPr="00727DE0">
        <w:rPr>
          <w:rFonts w:cstheme="minorHAnsi"/>
        </w:rPr>
        <w:t>Correlations between final (third year) aboveground biomass and canopy openness near trees (a, c) and between biomass and mycorrhizal infection distant from trees (b, d) for field 56 (a, b) and field 57 (c, d). Correlations were significant (</w:t>
      </w:r>
      <w:r w:rsidRPr="00727DE0">
        <w:rPr>
          <w:rFonts w:cstheme="minorHAnsi"/>
          <w:i/>
          <w:iCs/>
        </w:rPr>
        <w:t>P</w:t>
      </w:r>
      <w:r w:rsidRPr="00727DE0">
        <w:rPr>
          <w:rFonts w:cstheme="minorHAnsi"/>
        </w:rPr>
        <w:t> </w:t>
      </w:r>
      <w:r w:rsidRPr="00727DE0">
        <w:rPr>
          <w:rFonts w:cstheme="minorHAnsi"/>
        </w:rPr>
        <w:t>&lt;</w:t>
      </w:r>
      <w:r w:rsidRPr="00727DE0">
        <w:rPr>
          <w:rFonts w:cstheme="minorHAnsi"/>
        </w:rPr>
        <w:t> </w:t>
      </w:r>
      <w:r w:rsidRPr="00727DE0">
        <w:rPr>
          <w:rFonts w:cstheme="minorHAnsi"/>
        </w:rPr>
        <w:t>0.05) for all except the correlation of DIFN and biomass in field 56 (a), for which </w:t>
      </w:r>
      <w:r w:rsidRPr="00727DE0">
        <w:rPr>
          <w:rFonts w:cstheme="minorHAnsi"/>
          <w:i/>
          <w:iCs/>
        </w:rPr>
        <w:t>P</w:t>
      </w:r>
      <w:r w:rsidRPr="00727DE0">
        <w:rPr>
          <w:rFonts w:cstheme="minorHAnsi"/>
        </w:rPr>
        <w:t> </w:t>
      </w:r>
      <w:r w:rsidRPr="00727DE0">
        <w:rPr>
          <w:rFonts w:cstheme="minorHAnsi"/>
        </w:rPr>
        <w:t>=</w:t>
      </w:r>
      <w:r w:rsidRPr="00727DE0">
        <w:rPr>
          <w:rFonts w:cstheme="minorHAnsi"/>
        </w:rPr>
        <w:t> </w:t>
      </w:r>
      <w:r w:rsidRPr="00727DE0">
        <w:rPr>
          <w:rFonts w:cstheme="minorHAnsi"/>
        </w:rPr>
        <w:t>0.053.</w:t>
      </w:r>
    </w:p>
    <w:p w14:paraId="0A25854A" w14:textId="77777777" w:rsidR="00BA109F" w:rsidRPr="00727DE0" w:rsidRDefault="00BA109F" w:rsidP="00B27337">
      <w:pPr>
        <w:rPr>
          <w:rFonts w:cstheme="minorHAnsi"/>
        </w:rPr>
      </w:pPr>
      <w:r w:rsidRPr="00727DE0">
        <w:rPr>
          <w:rFonts w:cstheme="minorHAnsi"/>
        </w:rPr>
        <w:t>With increasing density of trees there is a benefit to seedlings because of increased ectomycorrhizal infection (thin solid line in </w:t>
      </w:r>
      <w:hyperlink r:id="rId80" w:anchor="f4" w:history="1">
        <w:r w:rsidRPr="00727DE0">
          <w:rPr>
            <w:rStyle w:val="Hyperlink"/>
            <w:rFonts w:eastAsiaTheme="majorEastAsia" w:cstheme="minorHAnsi"/>
            <w:b/>
            <w:bCs/>
            <w:color w:val="005274"/>
          </w:rPr>
          <w:t>Fig. 4a</w:t>
        </w:r>
      </w:hyperlink>
      <w:r w:rsidRPr="00727DE0">
        <w:rPr>
          <w:rFonts w:cstheme="minorHAnsi"/>
        </w:rPr>
        <w:t xml:space="preserve">) which rapidly asymptotes. Increasing density of trees has concomitant negative </w:t>
      </w:r>
      <w:r w:rsidRPr="00727DE0">
        <w:rPr>
          <w:rFonts w:cstheme="minorHAnsi"/>
        </w:rPr>
        <w:lastRenderedPageBreak/>
        <w:t>influences on seedlings because of increased canopy closure, which scale as a near‐linear function of local BA (dashed line). Combining both influences (thicker solid line) there is a ‘zone of net facilitation’ up to a relatively low density of trees, followed by a ‘zone of net inhibition’ of seedling growth with further increases in tree density.</w:t>
      </w:r>
    </w:p>
    <w:p w14:paraId="5C772E17" w14:textId="77777777" w:rsidR="00BA109F" w:rsidRPr="00727DE0" w:rsidRDefault="00BA109F" w:rsidP="00B27337">
      <w:pPr>
        <w:rPr>
          <w:rFonts w:cstheme="minorHAnsi"/>
        </w:rPr>
      </w:pPr>
      <w:r w:rsidRPr="00727DE0">
        <w:rPr>
          <w:rFonts w:cstheme="minorHAnsi"/>
        </w:rPr>
        <w:t>Although discussion of average effects is informative, it is important to look at how positive and negative effects co‐occurred on the landscape (</w:t>
      </w:r>
      <w:hyperlink r:id="rId81" w:anchor="f4" w:history="1">
        <w:r w:rsidRPr="00727DE0">
          <w:rPr>
            <w:rStyle w:val="Hyperlink"/>
            <w:rFonts w:eastAsiaTheme="majorEastAsia" w:cstheme="minorHAnsi"/>
            <w:b/>
            <w:bCs/>
            <w:color w:val="005274"/>
          </w:rPr>
          <w:t>Fig. 4b</w:t>
        </w:r>
      </w:hyperlink>
      <w:r w:rsidRPr="00727DE0">
        <w:rPr>
          <w:rFonts w:cstheme="minorHAnsi"/>
        </w:rPr>
        <w:t>). At densities of trees of </w:t>
      </w:r>
      <w:r w:rsidRPr="00727DE0">
        <w:rPr>
          <w:rFonts w:cstheme="minorHAnsi"/>
          <w:i/>
          <w:iCs/>
        </w:rPr>
        <w:t>c.</w:t>
      </w:r>
      <w:r w:rsidRPr="00727DE0">
        <w:rPr>
          <w:rFonts w:cstheme="minorHAnsi"/>
        </w:rPr>
        <w:t> 50</w:t>
      </w:r>
      <w:r w:rsidRPr="00727DE0">
        <w:rPr>
          <w:rFonts w:cstheme="minorHAnsi"/>
        </w:rPr>
        <w:t> </w:t>
      </w:r>
      <w:r w:rsidRPr="00727DE0">
        <w:rPr>
          <w:rFonts w:cstheme="minorHAnsi"/>
        </w:rPr>
        <w:t>trees</w:t>
      </w:r>
      <w:r w:rsidRPr="00727DE0">
        <w:rPr>
          <w:rFonts w:cstheme="minorHAnsi"/>
        </w:rPr>
        <w:t> </w:t>
      </w:r>
      <w:r w:rsidRPr="00727DE0">
        <w:rPr>
          <w:rFonts w:cstheme="minorHAnsi"/>
        </w:rPr>
        <w:t>ha</w:t>
      </w:r>
      <w:r w:rsidRPr="00727DE0">
        <w:rPr>
          <w:rFonts w:cstheme="minorHAnsi"/>
          <w:vertAlign w:val="superscript"/>
        </w:rPr>
        <w:t>−1</w:t>
      </w:r>
      <w:r w:rsidRPr="00727DE0">
        <w:rPr>
          <w:rFonts w:cstheme="minorHAnsi"/>
        </w:rPr>
        <w:t> (e.g. an open oak savanna with an average 14.1</w:t>
      </w:r>
      <w:r w:rsidRPr="00727DE0">
        <w:rPr>
          <w:rFonts w:cstheme="minorHAnsi"/>
        </w:rPr>
        <w:t> </w:t>
      </w:r>
      <w:r w:rsidRPr="00727DE0">
        <w:rPr>
          <w:rFonts w:cstheme="minorHAnsi"/>
        </w:rPr>
        <w:t>m distance between trees), where average seedling growth was the greatest, our model landscape showed generally high levels of growth with a few pockets of severe growth limitation. Relatively frequent randomly occurring denser patches of trees on the landscape were associated with small reductions in seedling growth. Much more dramatic declines in seedling growth were observed in the more infrequent ‘openings’ where seedlings would be limited by very low levels of mycorrhizal infection.</w:t>
      </w:r>
    </w:p>
    <w:p w14:paraId="633009C3" w14:textId="77777777" w:rsidR="00BA109F" w:rsidRPr="00727DE0" w:rsidRDefault="00BA109F" w:rsidP="00B27337">
      <w:pPr>
        <w:pStyle w:val="Heading1"/>
        <w:rPr>
          <w:rFonts w:asciiTheme="minorHAnsi" w:hAnsiTheme="minorHAnsi" w:cstheme="minorHAnsi"/>
        </w:rPr>
      </w:pPr>
      <w:r w:rsidRPr="00727DE0">
        <w:rPr>
          <w:rFonts w:asciiTheme="minorHAnsi" w:hAnsiTheme="minorHAnsi" w:cstheme="minorHAnsi"/>
        </w:rPr>
        <w:t>Discussion</w:t>
      </w:r>
    </w:p>
    <w:p w14:paraId="44F35CC6" w14:textId="77777777" w:rsidR="00BA109F" w:rsidRPr="00727DE0" w:rsidRDefault="00BA109F" w:rsidP="00B27337">
      <w:pPr>
        <w:rPr>
          <w:rFonts w:cstheme="minorHAnsi"/>
        </w:rPr>
      </w:pPr>
      <w:r w:rsidRPr="00727DE0">
        <w:rPr>
          <w:rFonts w:cstheme="minorHAnsi"/>
        </w:rPr>
        <w:t>Trees both facilitated and inhibited the establishment of seedlings at forest edges. Seedlings germinating within </w:t>
      </w:r>
      <w:r w:rsidRPr="00727DE0">
        <w:rPr>
          <w:rFonts w:cstheme="minorHAnsi"/>
          <w:i/>
          <w:iCs/>
        </w:rPr>
        <w:t>c.</w:t>
      </w:r>
      <w:r w:rsidRPr="00727DE0">
        <w:rPr>
          <w:rFonts w:cstheme="minorHAnsi"/>
        </w:rPr>
        <w:t> 15.7</w:t>
      </w:r>
      <w:r w:rsidRPr="00727DE0">
        <w:rPr>
          <w:rFonts w:cstheme="minorHAnsi"/>
        </w:rPr>
        <w:t> </w:t>
      </w:r>
      <w:r w:rsidRPr="00727DE0">
        <w:rPr>
          <w:rFonts w:cstheme="minorHAnsi"/>
        </w:rPr>
        <w:t>m of trees had increased mycorrhizal infection, resulting in increased nitrogen uptake and ultimately increased growth. These distances are consistent with the known root distributions of mature oak trees (</w:t>
      </w:r>
      <w:hyperlink r:id="rId82" w:anchor="b48" w:history="1">
        <w:r w:rsidRPr="00727DE0">
          <w:rPr>
            <w:rStyle w:val="Hyperlink"/>
            <w:rFonts w:eastAsiaTheme="majorEastAsia" w:cstheme="minorHAnsi"/>
            <w:b/>
            <w:bCs/>
            <w:color w:val="000000"/>
          </w:rPr>
          <w:t>Weaver &amp; Kramer 1932</w:t>
        </w:r>
      </w:hyperlink>
      <w:r w:rsidRPr="00727DE0">
        <w:rPr>
          <w:rFonts w:cstheme="minorHAnsi"/>
        </w:rPr>
        <w:t>; </w:t>
      </w:r>
      <w:hyperlink r:id="rId83" w:anchor="b30" w:history="1">
        <w:r w:rsidRPr="00727DE0">
          <w:rPr>
            <w:rStyle w:val="Hyperlink"/>
            <w:rFonts w:eastAsiaTheme="majorEastAsia" w:cstheme="minorHAnsi"/>
            <w:b/>
            <w:bCs/>
            <w:color w:val="000000"/>
          </w:rPr>
          <w:t>Lyford 1980</w:t>
        </w:r>
      </w:hyperlink>
      <w:r w:rsidRPr="00727DE0">
        <w:rPr>
          <w:rFonts w:cstheme="minorHAnsi"/>
        </w:rPr>
        <w:t>), suggesting that being in the root zone of established trees was responsible for the sharp increase in seedling mycorrhizal infection. In contrast, the negative effects of proximity to trees appeared to be strongly correlated with canopy openness and the horizontal spread of the canopy of </w:t>
      </w:r>
      <w:r w:rsidRPr="00727DE0">
        <w:rPr>
          <w:rFonts w:cstheme="minorHAnsi"/>
          <w:i/>
          <w:iCs/>
        </w:rPr>
        <w:t>c</w:t>
      </w:r>
      <w:r w:rsidRPr="00727DE0">
        <w:rPr>
          <w:rFonts w:cstheme="minorHAnsi"/>
        </w:rPr>
        <w:t>. 8</w:t>
      </w:r>
      <w:r w:rsidRPr="00727DE0">
        <w:rPr>
          <w:rFonts w:cstheme="minorHAnsi"/>
        </w:rPr>
        <w:t> </w:t>
      </w:r>
      <w:r w:rsidRPr="00727DE0">
        <w:rPr>
          <w:rFonts w:cstheme="minorHAnsi"/>
        </w:rPr>
        <w:t>m. As competition and facilitation had disjunct spatial patterns of occurrence, they did not simply cancel each other. Instead, net positive and negative interactions co‐occurred at forest edges, with maximal seedling growth at intermediate distances in field 57. In field 56 the growth response was not observed, however the same underlying processes were apparent. A related although opposite pattern has been observed in dry habitats where positive shoot effects via shading are counterbalanced by negative influences of root competition (</w:t>
      </w:r>
      <w:hyperlink r:id="rId84" w:anchor="b14" w:history="1">
        <w:r w:rsidRPr="00727DE0">
          <w:rPr>
            <w:rStyle w:val="Hyperlink"/>
            <w:rFonts w:eastAsiaTheme="majorEastAsia" w:cstheme="minorHAnsi"/>
            <w:b/>
            <w:bCs/>
            <w:color w:val="000000"/>
          </w:rPr>
          <w:t>Callaway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1991</w:t>
        </w:r>
      </w:hyperlink>
      <w:r w:rsidRPr="00727DE0">
        <w:rPr>
          <w:rFonts w:cstheme="minorHAnsi"/>
        </w:rPr>
        <w:t>); whether differential root and shoot effects led to spatially disjunct competition and facilitation has not been explicitly investigated in previous studies.</w:t>
      </w:r>
    </w:p>
    <w:p w14:paraId="473AF717" w14:textId="77777777" w:rsidR="00BA109F" w:rsidRPr="00727DE0" w:rsidRDefault="00BA109F" w:rsidP="00B27337">
      <w:pPr>
        <w:rPr>
          <w:rFonts w:cstheme="minorHAnsi"/>
        </w:rPr>
      </w:pPr>
      <w:r w:rsidRPr="00727DE0">
        <w:rPr>
          <w:rFonts w:cstheme="minorHAnsi"/>
        </w:rPr>
        <w:t>The positive effect of being near trees for mycorrhizal infection is a nonlinear and non‐additive function (being within a critical distance of a single tree provides most or all of the benefit, with no further benefit because of increased proximity or density of trees), while competition is a largely linear process with increasing shading resulting in continued decreases in seedling growth. The increase in ectomycorrhizal infection of first‐year seedlings close to established trees was so large (from 9% to 77% of root tips) that any further linear increase would be mathematically impossible. Similarly large effects of proximity to a single tree on mycorrhizal infection of seedlings have been observed in other studies (</w:t>
      </w:r>
      <w:hyperlink r:id="rId85" w:anchor="b6" w:history="1">
        <w:r w:rsidRPr="00727DE0">
          <w:rPr>
            <w:rStyle w:val="Hyperlink"/>
            <w:rFonts w:eastAsiaTheme="majorEastAsia" w:cstheme="minorHAnsi"/>
            <w:b/>
            <w:bCs/>
            <w:color w:val="000000"/>
          </w:rPr>
          <w:t>Borchers &amp; Perry 1990</w:t>
        </w:r>
      </w:hyperlink>
      <w:r w:rsidRPr="00727DE0">
        <w:rPr>
          <w:rFonts w:cstheme="minorHAnsi"/>
        </w:rPr>
        <w:t>; </w:t>
      </w:r>
      <w:hyperlink r:id="rId86" w:anchor="b28" w:history="1">
        <w:r w:rsidRPr="00727DE0">
          <w:rPr>
            <w:rStyle w:val="Hyperlink"/>
            <w:rFonts w:eastAsiaTheme="majorEastAsia" w:cstheme="minorHAnsi"/>
            <w:b/>
            <w:bCs/>
            <w:color w:val="000000"/>
          </w:rPr>
          <w:t>Kranabetter 1999</w:t>
        </w:r>
      </w:hyperlink>
      <w:r w:rsidRPr="00727DE0">
        <w:rPr>
          <w:rFonts w:cstheme="minorHAnsi"/>
        </w:rPr>
        <w:t>; </w:t>
      </w:r>
      <w:hyperlink r:id="rId87" w:anchor="b21" w:history="1">
        <w:r w:rsidRPr="00727DE0">
          <w:rPr>
            <w:rStyle w:val="Hyperlink"/>
            <w:rFonts w:eastAsiaTheme="majorEastAsia" w:cstheme="minorHAnsi"/>
            <w:b/>
            <w:bCs/>
            <w:color w:val="000000"/>
          </w:rPr>
          <w:t>Dickie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2002</w:t>
        </w:r>
      </w:hyperlink>
      <w:r w:rsidRPr="00727DE0">
        <w:rPr>
          <w:rFonts w:cstheme="minorHAnsi"/>
        </w:rPr>
        <w:t>), suggesting that non‐additive facilitation may be common.</w:t>
      </w:r>
    </w:p>
    <w:p w14:paraId="3C25FB0F" w14:textId="77777777" w:rsidR="00BA109F" w:rsidRPr="00727DE0" w:rsidRDefault="00BA109F" w:rsidP="00B27337">
      <w:pPr>
        <w:rPr>
          <w:rFonts w:cstheme="minorHAnsi"/>
        </w:rPr>
      </w:pPr>
      <w:r w:rsidRPr="00727DE0">
        <w:rPr>
          <w:rFonts w:cstheme="minorHAnsi"/>
        </w:rPr>
        <w:t>Positive feedback may reduce plant community diversity (</w:t>
      </w:r>
      <w:hyperlink r:id="rId88" w:anchor="b4" w:history="1">
        <w:r w:rsidRPr="00727DE0">
          <w:rPr>
            <w:rStyle w:val="Hyperlink"/>
            <w:rFonts w:eastAsiaTheme="majorEastAsia" w:cstheme="minorHAnsi"/>
            <w:b/>
            <w:bCs/>
            <w:color w:val="000000"/>
          </w:rPr>
          <w:t>Bever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1997</w:t>
        </w:r>
      </w:hyperlink>
      <w:r w:rsidRPr="00727DE0">
        <w:rPr>
          <w:rFonts w:cstheme="minorHAnsi"/>
        </w:rPr>
        <w:t>; </w:t>
      </w:r>
      <w:hyperlink r:id="rId89" w:anchor="b43" w:history="1">
        <w:r w:rsidRPr="00727DE0">
          <w:rPr>
            <w:rStyle w:val="Hyperlink"/>
            <w:rFonts w:eastAsiaTheme="majorEastAsia" w:cstheme="minorHAnsi"/>
            <w:b/>
            <w:bCs/>
            <w:color w:val="000000"/>
          </w:rPr>
          <w:t>Reynolds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2003</w:t>
        </w:r>
      </w:hyperlink>
      <w:r w:rsidRPr="00727DE0">
        <w:rPr>
          <w:rFonts w:cstheme="minorHAnsi"/>
        </w:rPr>
        <w:t>; but see </w:t>
      </w:r>
      <w:hyperlink r:id="rId90" w:anchor="b34" w:history="1">
        <w:r w:rsidRPr="00727DE0">
          <w:rPr>
            <w:rStyle w:val="Hyperlink"/>
            <w:rFonts w:eastAsiaTheme="majorEastAsia" w:cstheme="minorHAnsi"/>
            <w:b/>
            <w:bCs/>
            <w:color w:val="000000"/>
          </w:rPr>
          <w:t>Molofsky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2001</w:t>
        </w:r>
      </w:hyperlink>
      <w:r w:rsidRPr="00727DE0">
        <w:rPr>
          <w:rFonts w:cstheme="minorHAnsi"/>
        </w:rPr>
        <w:t>) and potentially contribute to monodominance in ectomycorrhizal trees (</w:t>
      </w:r>
      <w:hyperlink r:id="rId91" w:anchor="b33" w:history="1">
        <w:r w:rsidRPr="00727DE0">
          <w:rPr>
            <w:rStyle w:val="Hyperlink"/>
            <w:rFonts w:eastAsiaTheme="majorEastAsia" w:cstheme="minorHAnsi"/>
            <w:b/>
            <w:bCs/>
            <w:color w:val="000000"/>
          </w:rPr>
          <w:t>Molofsky &amp; Bever 2002</w:t>
        </w:r>
      </w:hyperlink>
      <w:r w:rsidRPr="00727DE0">
        <w:rPr>
          <w:rFonts w:cstheme="minorHAnsi"/>
        </w:rPr>
        <w:t>). However, current models of positive feedback have generally implicitly or explicitly assumed an additive process (</w:t>
      </w:r>
      <w:hyperlink r:id="rId92" w:anchor="b4" w:history="1">
        <w:r w:rsidRPr="00727DE0">
          <w:rPr>
            <w:rStyle w:val="Hyperlink"/>
            <w:rFonts w:eastAsiaTheme="majorEastAsia" w:cstheme="minorHAnsi"/>
            <w:b/>
            <w:bCs/>
            <w:color w:val="000000"/>
          </w:rPr>
          <w:t>Bever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1997</w:t>
        </w:r>
      </w:hyperlink>
      <w:r w:rsidRPr="00727DE0">
        <w:rPr>
          <w:rFonts w:cstheme="minorHAnsi"/>
        </w:rPr>
        <w:t>; </w:t>
      </w:r>
      <w:hyperlink r:id="rId93" w:anchor="b8" w:history="1">
        <w:r w:rsidRPr="00727DE0">
          <w:rPr>
            <w:rStyle w:val="Hyperlink"/>
            <w:rFonts w:eastAsiaTheme="majorEastAsia" w:cstheme="minorHAnsi"/>
            <w:b/>
            <w:bCs/>
            <w:color w:val="000000"/>
          </w:rPr>
          <w:t>Brooker &amp; Callaghan 1998</w:t>
        </w:r>
      </w:hyperlink>
      <w:r w:rsidRPr="00727DE0">
        <w:rPr>
          <w:rFonts w:cstheme="minorHAnsi"/>
        </w:rPr>
        <w:t>; </w:t>
      </w:r>
      <w:hyperlink r:id="rId94" w:anchor="b33" w:history="1">
        <w:r w:rsidRPr="00727DE0">
          <w:rPr>
            <w:rStyle w:val="Hyperlink"/>
            <w:rFonts w:eastAsiaTheme="majorEastAsia" w:cstheme="minorHAnsi"/>
            <w:b/>
            <w:bCs/>
            <w:color w:val="000000"/>
          </w:rPr>
          <w:t>Molofsky &amp; Bever 2002</w:t>
        </w:r>
      </w:hyperlink>
      <w:r w:rsidRPr="00727DE0">
        <w:rPr>
          <w:rFonts w:cstheme="minorHAnsi"/>
        </w:rPr>
        <w:t xml:space="preserve">). Our model suggests that non‐additive facilitation, as observed in our data, may result in net facilitation at relatively low densities of plants, which would tend to increase populations, and net competitive interactions at higher densities, which would tend to reduce populations. This trade‐off between facilitation and competition may therefore result in a degree of homeostasis and the moderation of dominance, potentially increasing plant diversity by preventing monodominance. Although our model is directly derived from field observations, it is limited in several respects; particularly the extension of one‐dimensional transect data to a two‐dimensional landscape, the assumption of random plant distributions and the lack of a dynamic component to account for temporal processes. </w:t>
      </w:r>
      <w:r w:rsidRPr="00727DE0">
        <w:rPr>
          <w:rFonts w:cstheme="minorHAnsi"/>
        </w:rPr>
        <w:lastRenderedPageBreak/>
        <w:t>Nonetheless, given the difficulty of experimentally manipulating the density of mature trees on landscapes, we believe modelling is a tractable way of approaching these questions.</w:t>
      </w:r>
    </w:p>
    <w:p w14:paraId="181D2FCA" w14:textId="77777777" w:rsidR="00BA109F" w:rsidRPr="00727DE0" w:rsidRDefault="00BA109F" w:rsidP="00B27337">
      <w:pPr>
        <w:rPr>
          <w:rFonts w:cstheme="minorHAnsi"/>
        </w:rPr>
      </w:pPr>
      <w:r w:rsidRPr="00727DE0">
        <w:rPr>
          <w:rFonts w:cstheme="minorHAnsi"/>
        </w:rPr>
        <w:t>Our model also shows that spatial co‐occurrence of competition and facilitation may create a complex spatial mosaic of patches where a species is either favoured or disfavoured in competitive interactions with other species. In the case of oak savanna, our model suggests that there may be pockets in the landscape where tree seedlings compete poorly because of a lack of mycorrhiza, and that areas of high density of adult trees are also associated with reduced growth of oak seedlings. This finding is similar to observations of persistent openings in oak savannas largely devoid of tree regeneration (</w:t>
      </w:r>
      <w:hyperlink r:id="rId95" w:anchor="b7" w:history="1">
        <w:r w:rsidRPr="00727DE0">
          <w:rPr>
            <w:rStyle w:val="Hyperlink"/>
            <w:rFonts w:eastAsiaTheme="majorEastAsia" w:cstheme="minorHAnsi"/>
            <w:b/>
            <w:bCs/>
            <w:color w:val="000000"/>
          </w:rPr>
          <w:t>Bray 1955</w:t>
        </w:r>
      </w:hyperlink>
      <w:r w:rsidRPr="00727DE0">
        <w:rPr>
          <w:rFonts w:cstheme="minorHAnsi"/>
        </w:rPr>
        <w:t>), and a succession to more shade tolerant species in higher density closed‐canopy oak woodlands (</w:t>
      </w:r>
      <w:hyperlink r:id="rId96" w:anchor="b38" w:history="1">
        <w:r w:rsidRPr="00727DE0">
          <w:rPr>
            <w:rStyle w:val="Hyperlink"/>
            <w:rFonts w:eastAsiaTheme="majorEastAsia" w:cstheme="minorHAnsi"/>
            <w:b/>
            <w:bCs/>
            <w:color w:val="000000"/>
          </w:rPr>
          <w:t>Peterson &amp; Reich 2001</w:t>
        </w:r>
      </w:hyperlink>
      <w:r w:rsidRPr="00727DE0">
        <w:rPr>
          <w:rFonts w:cstheme="minorHAnsi"/>
        </w:rPr>
        <w:t>). Whether savanna openings arise from random processes (as in our model) or other causes such as herbivory (</w:t>
      </w:r>
      <w:hyperlink r:id="rId97" w:anchor="b45" w:history="1">
        <w:r w:rsidRPr="00727DE0">
          <w:rPr>
            <w:rStyle w:val="Hyperlink"/>
            <w:rFonts w:eastAsiaTheme="majorEastAsia" w:cstheme="minorHAnsi"/>
            <w:b/>
            <w:bCs/>
            <w:color w:val="000000"/>
          </w:rPr>
          <w:t>Rietkerk &amp; van der Koppel 1997</w:t>
        </w:r>
      </w:hyperlink>
      <w:r w:rsidRPr="00727DE0">
        <w:rPr>
          <w:rFonts w:cstheme="minorHAnsi"/>
        </w:rPr>
        <w:t>), dispersal limitation (</w:t>
      </w:r>
      <w:hyperlink r:id="rId98" w:anchor="b9" w:history="1">
        <w:r w:rsidRPr="00727DE0">
          <w:rPr>
            <w:rStyle w:val="Hyperlink"/>
            <w:rFonts w:eastAsiaTheme="majorEastAsia" w:cstheme="minorHAnsi"/>
            <w:b/>
            <w:bCs/>
            <w:color w:val="000000"/>
          </w:rPr>
          <w:t>Brown &amp; Archer 1987</w:t>
        </w:r>
      </w:hyperlink>
      <w:r w:rsidRPr="00727DE0">
        <w:rPr>
          <w:rFonts w:cstheme="minorHAnsi"/>
        </w:rPr>
        <w:t>) or fire (</w:t>
      </w:r>
      <w:hyperlink r:id="rId99" w:anchor="b38" w:history="1">
        <w:r w:rsidRPr="00727DE0">
          <w:rPr>
            <w:rStyle w:val="Hyperlink"/>
            <w:rFonts w:eastAsiaTheme="majorEastAsia" w:cstheme="minorHAnsi"/>
            <w:b/>
            <w:bCs/>
            <w:color w:val="000000"/>
          </w:rPr>
          <w:t>Peterson &amp; Reich 2001</w:t>
        </w:r>
      </w:hyperlink>
      <w:r w:rsidRPr="00727DE0">
        <w:rPr>
          <w:rFonts w:cstheme="minorHAnsi"/>
        </w:rPr>
        <w:t>), a lack of mycorrhizal infection of tree seedlings may combine with other factors, such as herbivory (</w:t>
      </w:r>
      <w:hyperlink r:id="rId100" w:anchor="b26" w:history="1">
        <w:r w:rsidRPr="00727DE0">
          <w:rPr>
            <w:rStyle w:val="Hyperlink"/>
            <w:rFonts w:eastAsiaTheme="majorEastAsia" w:cstheme="minorHAnsi"/>
            <w:b/>
            <w:bCs/>
            <w:color w:val="000000"/>
          </w:rPr>
          <w:t>Inouye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1994</w:t>
        </w:r>
      </w:hyperlink>
      <w:r w:rsidRPr="00727DE0">
        <w:rPr>
          <w:rFonts w:cstheme="minorHAnsi"/>
        </w:rPr>
        <w:t>; </w:t>
      </w:r>
      <w:hyperlink r:id="rId101" w:anchor="b29" w:history="1">
        <w:r w:rsidRPr="00727DE0">
          <w:rPr>
            <w:rStyle w:val="Hyperlink"/>
            <w:rFonts w:eastAsiaTheme="majorEastAsia" w:cstheme="minorHAnsi"/>
            <w:b/>
            <w:bCs/>
            <w:color w:val="000000"/>
          </w:rPr>
          <w:t>Lawson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1999</w:t>
        </w:r>
      </w:hyperlink>
      <w:r w:rsidRPr="00727DE0">
        <w:rPr>
          <w:rFonts w:cstheme="minorHAnsi"/>
        </w:rPr>
        <w:t>) and low nitrogen supply in grass‐dominated patches (</w:t>
      </w:r>
      <w:hyperlink r:id="rId102" w:anchor="b41" w:history="1">
        <w:r w:rsidRPr="00727DE0">
          <w:rPr>
            <w:rStyle w:val="Hyperlink"/>
            <w:rFonts w:eastAsiaTheme="majorEastAsia" w:cstheme="minorHAnsi"/>
            <w:b/>
            <w:bCs/>
            <w:color w:val="000000"/>
          </w:rPr>
          <w:t>Reich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2001</w:t>
        </w:r>
      </w:hyperlink>
      <w:r w:rsidRPr="00727DE0">
        <w:rPr>
          <w:rFonts w:cstheme="minorHAnsi"/>
        </w:rPr>
        <w:t>; </w:t>
      </w:r>
      <w:hyperlink r:id="rId103" w:anchor="b22" w:history="1">
        <w:r w:rsidRPr="00727DE0">
          <w:rPr>
            <w:rStyle w:val="Hyperlink"/>
            <w:rFonts w:eastAsiaTheme="majorEastAsia" w:cstheme="minorHAnsi"/>
            <w:b/>
            <w:bCs/>
            <w:color w:val="000000"/>
          </w:rPr>
          <w:t>Dijkstra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2005</w:t>
        </w:r>
      </w:hyperlink>
      <w:r w:rsidRPr="00727DE0">
        <w:rPr>
          <w:rFonts w:cstheme="minorHAnsi"/>
        </w:rPr>
        <w:t>), to delay the colonization of openings by trees, resulting in fine‐grain interspersed alternative steady‐state patches of grass or tree domination and an increase in total plant diversity.</w:t>
      </w:r>
    </w:p>
    <w:p w14:paraId="32BF1AD8" w14:textId="77777777" w:rsidR="00BA109F" w:rsidRPr="00727DE0" w:rsidRDefault="00BA109F" w:rsidP="00B27337">
      <w:pPr>
        <w:rPr>
          <w:rFonts w:cstheme="minorHAnsi"/>
        </w:rPr>
      </w:pPr>
      <w:r w:rsidRPr="00727DE0">
        <w:rPr>
          <w:rFonts w:cstheme="minorHAnsi"/>
        </w:rPr>
        <w:t>The positive effect of trees on the mycorrhizal infection of seedlings was a somewhat transient effect: by the third year only four seedlings (all 12–20</w:t>
      </w:r>
      <w:r w:rsidRPr="00727DE0">
        <w:rPr>
          <w:rFonts w:cstheme="minorHAnsi"/>
        </w:rPr>
        <w:t> </w:t>
      </w:r>
      <w:r w:rsidRPr="00727DE0">
        <w:rPr>
          <w:rFonts w:cstheme="minorHAnsi"/>
        </w:rPr>
        <w:t>m from the edge) had &lt;</w:t>
      </w:r>
      <w:r w:rsidRPr="00727DE0">
        <w:rPr>
          <w:rFonts w:cstheme="minorHAnsi"/>
        </w:rPr>
        <w:t> </w:t>
      </w:r>
      <w:r w:rsidRPr="00727DE0">
        <w:rPr>
          <w:rFonts w:cstheme="minorHAnsi"/>
        </w:rPr>
        <w:t>20% of root tips infected. Despite the transient effect on mycorrhizal infection, there were persistent correlations of first year mycorrhizal infection with seedling growth at least through the end of the third growing season. This may reflect a lag‐time between the presence of mycorrhiza increasing nutrient uptake and the expression of plant growth responses to increased nutrients. It is possible that seedlings germinating distant from trees would eventually overcome an initial delay in mycorrhizal infection; however, it is also possible that these seedlings may be at a persistent disadvantage in having utilized a greater proportion of seed reserves for prolonged maintenance rather than growth. Transient benefits to seedlings may be of great importance to plant community dynamics, as early establishment is a period of very high mortality for tree seedlings, and mortality can be strongly affected by plant size (</w:t>
      </w:r>
      <w:hyperlink r:id="rId104" w:anchor="b29" w:history="1">
        <w:r w:rsidRPr="00727DE0">
          <w:rPr>
            <w:rStyle w:val="Hyperlink"/>
            <w:rFonts w:eastAsiaTheme="majorEastAsia" w:cstheme="minorHAnsi"/>
            <w:b/>
            <w:bCs/>
            <w:color w:val="000000"/>
          </w:rPr>
          <w:t>Lawson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1999</w:t>
        </w:r>
      </w:hyperlink>
      <w:r w:rsidRPr="00727DE0">
        <w:rPr>
          <w:rFonts w:cstheme="minorHAnsi"/>
        </w:rPr>
        <w:t>).</w:t>
      </w:r>
    </w:p>
    <w:p w14:paraId="6875AEBA" w14:textId="77777777" w:rsidR="00BA109F" w:rsidRPr="00727DE0" w:rsidRDefault="00BA109F" w:rsidP="00B27337">
      <w:pPr>
        <w:rPr>
          <w:rFonts w:cstheme="minorHAnsi"/>
        </w:rPr>
      </w:pPr>
      <w:r w:rsidRPr="00727DE0">
        <w:rPr>
          <w:rFonts w:cstheme="minorHAnsi"/>
        </w:rPr>
        <w:t>Our focus on shade and mycorrhiza as the two driving factors is largely based on correlations (mycorrhizal infection with N uptake and aboveground biomass; canopy closure with biomass and height</w:t>
      </w:r>
      <w:r w:rsidRPr="00727DE0">
        <w:rPr>
          <w:rFonts w:cstheme="minorHAnsi"/>
        </w:rPr>
        <w:t> </w:t>
      </w:r>
      <w:r w:rsidRPr="00727DE0">
        <w:rPr>
          <w:rFonts w:cstheme="minorHAnsi"/>
        </w:rPr>
        <w:t>:</w:t>
      </w:r>
      <w:r w:rsidRPr="00727DE0">
        <w:rPr>
          <w:rFonts w:cstheme="minorHAnsi"/>
        </w:rPr>
        <w:t> </w:t>
      </w:r>
      <w:r w:rsidRPr="00727DE0">
        <w:rPr>
          <w:rFonts w:cstheme="minorHAnsi"/>
        </w:rPr>
        <w:t>biomass ratios) and does not prove causation. There are numerous other factors that may have contributed to the observed growth patterns, including altered soil moisture through shading (</w:t>
      </w:r>
      <w:hyperlink r:id="rId105" w:anchor="b19" w:history="1">
        <w:r w:rsidRPr="00727DE0">
          <w:rPr>
            <w:rStyle w:val="Hyperlink"/>
            <w:rFonts w:eastAsiaTheme="majorEastAsia" w:cstheme="minorHAnsi"/>
            <w:b/>
            <w:bCs/>
            <w:color w:val="000000"/>
          </w:rPr>
          <w:t>Davis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1999</w:t>
        </w:r>
      </w:hyperlink>
      <w:r w:rsidRPr="00727DE0">
        <w:rPr>
          <w:rFonts w:cstheme="minorHAnsi"/>
        </w:rPr>
        <w:t>; </w:t>
      </w:r>
      <w:hyperlink r:id="rId106" w:anchor="b18" w:history="1">
        <w:r w:rsidRPr="00727DE0">
          <w:rPr>
            <w:rStyle w:val="Hyperlink"/>
            <w:rFonts w:eastAsiaTheme="majorEastAsia" w:cstheme="minorHAnsi"/>
            <w:b/>
            <w:bCs/>
            <w:color w:val="000000"/>
          </w:rPr>
          <w:t>Danner &amp; Knapp 2003</w:t>
        </w:r>
      </w:hyperlink>
      <w:r w:rsidRPr="00727DE0">
        <w:rPr>
          <w:rFonts w:cstheme="minorHAnsi"/>
        </w:rPr>
        <w:t>), root competition (</w:t>
      </w:r>
      <w:hyperlink r:id="rId107" w:anchor="b1" w:history="1">
        <w:r w:rsidRPr="00727DE0">
          <w:rPr>
            <w:rStyle w:val="Hyperlink"/>
            <w:rFonts w:eastAsiaTheme="majorEastAsia" w:cstheme="minorHAnsi"/>
            <w:b/>
            <w:bCs/>
            <w:color w:val="000000"/>
          </w:rPr>
          <w:t>Anderson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2001</w:t>
        </w:r>
      </w:hyperlink>
      <w:r w:rsidRPr="00727DE0">
        <w:rPr>
          <w:rFonts w:cstheme="minorHAnsi"/>
        </w:rPr>
        <w:t>) or hydraulic lift (</w:t>
      </w:r>
      <w:hyperlink r:id="rId108" w:anchor="b11" w:history="1">
        <w:r w:rsidRPr="00727DE0">
          <w:rPr>
            <w:rStyle w:val="Hyperlink"/>
            <w:rFonts w:eastAsiaTheme="majorEastAsia" w:cstheme="minorHAnsi"/>
            <w:b/>
            <w:bCs/>
            <w:color w:val="000000"/>
          </w:rPr>
          <w:t>Caldwell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1998</w:t>
        </w:r>
      </w:hyperlink>
      <w:r w:rsidRPr="00727DE0">
        <w:rPr>
          <w:rFonts w:cstheme="minorHAnsi"/>
        </w:rPr>
        <w:t>); increased pathogen load (</w:t>
      </w:r>
      <w:hyperlink r:id="rId109" w:anchor="b35" w:history="1">
        <w:r w:rsidRPr="00727DE0">
          <w:rPr>
            <w:rStyle w:val="Hyperlink"/>
            <w:rFonts w:eastAsiaTheme="majorEastAsia" w:cstheme="minorHAnsi"/>
            <w:b/>
            <w:bCs/>
            <w:color w:val="000000"/>
          </w:rPr>
          <w:t>Packer &amp; Clay 2003</w:t>
        </w:r>
      </w:hyperlink>
      <w:r w:rsidRPr="00727DE0">
        <w:rPr>
          <w:rFonts w:cstheme="minorHAnsi"/>
        </w:rPr>
        <w:t>), although no obvious evidence of pathogens was observed; interspecific competition for nutrients; or increased organic N near trees that may have been available to ectomycorrhizal plants but not to grasses and forbs (which showed no increase in foliar N content near the forest edge). There were also substantial changes in the community of ectomycorrhizal fungi infecting seedlings as a function of distance which have been previously described (</w:t>
      </w:r>
      <w:hyperlink r:id="rId110" w:anchor="b20" w:history="1">
        <w:r w:rsidRPr="00727DE0">
          <w:rPr>
            <w:rStyle w:val="Hyperlink"/>
            <w:rFonts w:eastAsiaTheme="majorEastAsia" w:cstheme="minorHAnsi"/>
            <w:b/>
            <w:bCs/>
            <w:color w:val="000000"/>
          </w:rPr>
          <w:t>Dickie &amp; Reich 2005</w:t>
        </w:r>
      </w:hyperlink>
      <w:r w:rsidRPr="00727DE0">
        <w:rPr>
          <w:rFonts w:cstheme="minorHAnsi"/>
        </w:rPr>
        <w:t>). At present we are not able to link these shifts in community with any effect on seedling growth; nonetheless, shifts in ectomycorrhizal communities are likely to influence seedlings. We have also assumed that facilitation will lead to positive feedback, which is only true if the net positive effect of trees on seedlings is greater than any positive effects of trees on potential competitors, which we did not measure.</w:t>
      </w:r>
    </w:p>
    <w:p w14:paraId="05BD02BF" w14:textId="77777777" w:rsidR="00BA109F" w:rsidRPr="00727DE0" w:rsidRDefault="00BA109F" w:rsidP="00B27337">
      <w:pPr>
        <w:rPr>
          <w:rFonts w:cstheme="minorHAnsi"/>
        </w:rPr>
      </w:pPr>
      <w:r w:rsidRPr="00727DE0">
        <w:rPr>
          <w:rFonts w:cstheme="minorHAnsi"/>
        </w:rPr>
        <w:t>The extent to which our results can be generalized beyond oak–ectomycorrhiza interactions may depend not only on what symbiont is considered but also the host species. For example, a lack of ectomycorrhiza appears to be a significant limitation for </w:t>
      </w:r>
      <w:r w:rsidRPr="00727DE0">
        <w:rPr>
          <w:rFonts w:cstheme="minorHAnsi"/>
          <w:i/>
          <w:iCs/>
        </w:rPr>
        <w:t>Quercus</w:t>
      </w:r>
      <w:r w:rsidRPr="00727DE0">
        <w:rPr>
          <w:rFonts w:cstheme="minorHAnsi"/>
        </w:rPr>
        <w:t> (</w:t>
      </w:r>
      <w:hyperlink r:id="rId111" w:anchor="b21" w:history="1">
        <w:r w:rsidRPr="00727DE0">
          <w:rPr>
            <w:rStyle w:val="Hyperlink"/>
            <w:rFonts w:eastAsiaTheme="majorEastAsia" w:cstheme="minorHAnsi"/>
            <w:b/>
            <w:bCs/>
            <w:color w:val="000000"/>
          </w:rPr>
          <w:t>Dickie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2002</w:t>
        </w:r>
      </w:hyperlink>
      <w:r w:rsidRPr="00727DE0">
        <w:rPr>
          <w:rFonts w:cstheme="minorHAnsi"/>
        </w:rPr>
        <w:t>) and </w:t>
      </w:r>
      <w:r w:rsidRPr="00727DE0">
        <w:rPr>
          <w:rFonts w:cstheme="minorHAnsi"/>
          <w:i/>
          <w:iCs/>
        </w:rPr>
        <w:t>Nothofagus</w:t>
      </w:r>
      <w:r w:rsidRPr="00727DE0">
        <w:rPr>
          <w:rFonts w:cstheme="minorHAnsi"/>
        </w:rPr>
        <w:t> seedlings (</w:t>
      </w:r>
      <w:hyperlink r:id="rId112" w:anchor="b2" w:history="1">
        <w:r w:rsidRPr="00727DE0">
          <w:rPr>
            <w:rStyle w:val="Hyperlink"/>
            <w:rFonts w:eastAsiaTheme="majorEastAsia" w:cstheme="minorHAnsi"/>
            <w:b/>
            <w:bCs/>
            <w:color w:val="000000"/>
          </w:rPr>
          <w:t>Baylis 1980</w:t>
        </w:r>
      </w:hyperlink>
      <w:r w:rsidRPr="00727DE0">
        <w:rPr>
          <w:rFonts w:cstheme="minorHAnsi"/>
        </w:rPr>
        <w:t>) and in some Pinaceae (</w:t>
      </w:r>
      <w:hyperlink r:id="rId113" w:anchor="b6" w:history="1">
        <w:r w:rsidRPr="00727DE0">
          <w:rPr>
            <w:rStyle w:val="Hyperlink"/>
            <w:rFonts w:eastAsiaTheme="majorEastAsia" w:cstheme="minorHAnsi"/>
            <w:b/>
            <w:bCs/>
            <w:color w:val="000000"/>
          </w:rPr>
          <w:t>Borchers &amp; Perry 1990</w:t>
        </w:r>
      </w:hyperlink>
      <w:r w:rsidRPr="00727DE0">
        <w:rPr>
          <w:rFonts w:cstheme="minorHAnsi"/>
        </w:rPr>
        <w:t>). Nonetheless, some Pinaceae appear to be quite capable of regenerating distant from established trees (</w:t>
      </w:r>
      <w:hyperlink r:id="rId114" w:anchor="b23" w:history="1">
        <w:r w:rsidRPr="00727DE0">
          <w:rPr>
            <w:rStyle w:val="Hyperlink"/>
            <w:rFonts w:eastAsiaTheme="majorEastAsia" w:cstheme="minorHAnsi"/>
            <w:b/>
            <w:bCs/>
            <w:color w:val="000000"/>
          </w:rPr>
          <w:t>Dovciak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2005</w:t>
        </w:r>
      </w:hyperlink>
      <w:r w:rsidRPr="00727DE0">
        <w:rPr>
          <w:rFonts w:cstheme="minorHAnsi"/>
        </w:rPr>
        <w:t xml:space="preserve">), perhaps because of the apparent great longevity and </w:t>
      </w:r>
      <w:r w:rsidRPr="00727DE0">
        <w:rPr>
          <w:rFonts w:cstheme="minorHAnsi"/>
        </w:rPr>
        <w:lastRenderedPageBreak/>
        <w:t>dispersal ability of </w:t>
      </w:r>
      <w:r w:rsidRPr="00727DE0">
        <w:rPr>
          <w:rFonts w:cstheme="minorHAnsi"/>
          <w:i/>
          <w:iCs/>
        </w:rPr>
        <w:t>Rhizopogon</w:t>
      </w:r>
      <w:r w:rsidRPr="00727DE0">
        <w:rPr>
          <w:rFonts w:cstheme="minorHAnsi"/>
        </w:rPr>
        <w:t> propagules ( T.R. Horton, personal communication), an ectomycorrhizal fungus host‐specific to the Pinaceae. Symbiont specificity may also play a role in other symbioses (</w:t>
      </w:r>
      <w:hyperlink r:id="rId115" w:anchor="b44" w:history="1">
        <w:r w:rsidRPr="00727DE0">
          <w:rPr>
            <w:rStyle w:val="Hyperlink"/>
            <w:rFonts w:eastAsiaTheme="majorEastAsia" w:cstheme="minorHAnsi"/>
            <w:b/>
            <w:bCs/>
            <w:color w:val="000000"/>
          </w:rPr>
          <w:t>Richardson </w:t>
        </w:r>
        <w:r w:rsidRPr="00727DE0">
          <w:rPr>
            <w:rStyle w:val="Hyperlink"/>
            <w:rFonts w:eastAsiaTheme="majorEastAsia" w:cstheme="minorHAnsi"/>
            <w:b/>
            <w:bCs/>
            <w:i/>
            <w:iCs/>
            <w:color w:val="000000"/>
          </w:rPr>
          <w:t>et al.</w:t>
        </w:r>
        <w:r w:rsidRPr="00727DE0">
          <w:rPr>
            <w:rStyle w:val="Hyperlink"/>
            <w:rFonts w:eastAsiaTheme="majorEastAsia" w:cstheme="minorHAnsi"/>
            <w:b/>
            <w:bCs/>
            <w:color w:val="000000"/>
          </w:rPr>
          <w:t> 2000</w:t>
        </w:r>
      </w:hyperlink>
      <w:r w:rsidRPr="00727DE0">
        <w:rPr>
          <w:rFonts w:cstheme="minorHAnsi"/>
        </w:rPr>
        <w:t>).</w:t>
      </w:r>
    </w:p>
    <w:p w14:paraId="3F1EFF73" w14:textId="77777777" w:rsidR="00BA109F" w:rsidRPr="00727DE0" w:rsidRDefault="002871B1" w:rsidP="00B27337">
      <w:pPr>
        <w:rPr>
          <w:rFonts w:cstheme="minorHAnsi"/>
        </w:rPr>
      </w:pPr>
      <w:hyperlink r:id="rId116" w:anchor="b10" w:history="1">
        <w:r w:rsidR="00BA109F" w:rsidRPr="00727DE0">
          <w:rPr>
            <w:rStyle w:val="Hyperlink"/>
            <w:rFonts w:eastAsiaTheme="majorEastAsia" w:cstheme="minorHAnsi"/>
            <w:b/>
            <w:bCs/>
            <w:color w:val="000000"/>
          </w:rPr>
          <w:t>Bruno </w:t>
        </w:r>
        <w:r w:rsidR="00BA109F" w:rsidRPr="00727DE0">
          <w:rPr>
            <w:rStyle w:val="Hyperlink"/>
            <w:rFonts w:eastAsiaTheme="majorEastAsia" w:cstheme="minorHAnsi"/>
            <w:b/>
            <w:bCs/>
            <w:i/>
            <w:iCs/>
            <w:color w:val="000000"/>
          </w:rPr>
          <w:t>et al.</w:t>
        </w:r>
        <w:r w:rsidR="00BA109F" w:rsidRPr="00727DE0">
          <w:rPr>
            <w:rStyle w:val="Hyperlink"/>
            <w:rFonts w:eastAsiaTheme="majorEastAsia" w:cstheme="minorHAnsi"/>
            <w:b/>
            <w:bCs/>
            <w:color w:val="000000"/>
          </w:rPr>
          <w:t> (2003)</w:t>
        </w:r>
      </w:hyperlink>
      <w:r w:rsidR="00BA109F" w:rsidRPr="00727DE0">
        <w:rPr>
          <w:rFonts w:cstheme="minorHAnsi"/>
        </w:rPr>
        <w:t> suggest that the integration of facilitation into ecological theory should be a priority for ecologists. We concur. Further, we suggest that this integration requires an understanding of the spatial mosaic of positive and negative interactions in communities, including those involving the same pairs of organisms, and an understanding and appreciation of additive and non‐additive processes.</w:t>
      </w:r>
    </w:p>
    <w:p w14:paraId="233AC31C" w14:textId="77777777" w:rsidR="00BA109F" w:rsidRPr="00727DE0" w:rsidRDefault="00BA109F" w:rsidP="00B27337">
      <w:pPr>
        <w:pStyle w:val="Heading1"/>
        <w:rPr>
          <w:rFonts w:asciiTheme="minorHAnsi" w:hAnsiTheme="minorHAnsi" w:cstheme="minorHAnsi"/>
        </w:rPr>
      </w:pPr>
      <w:r w:rsidRPr="00727DE0">
        <w:rPr>
          <w:rFonts w:asciiTheme="minorHAnsi" w:hAnsiTheme="minorHAnsi" w:cstheme="minorHAnsi"/>
        </w:rPr>
        <w:t>Acknowledgements</w:t>
      </w:r>
    </w:p>
    <w:p w14:paraId="205BC4F8" w14:textId="77777777" w:rsidR="00BA109F" w:rsidRPr="00727DE0" w:rsidRDefault="00BA109F" w:rsidP="00B27337">
      <w:pPr>
        <w:rPr>
          <w:rFonts w:cstheme="minorHAnsi"/>
        </w:rPr>
      </w:pPr>
      <w:r w:rsidRPr="00727DE0">
        <w:rPr>
          <w:rFonts w:cstheme="minorHAnsi"/>
        </w:rPr>
        <w:t>D. Peterson provided data on canopy openness as a function of tree density for oak savannas and woodlands. Field work and laboratory analyses were greatly assisted by many research interns, but particularly R. Guza and A. Gunderson and Cedar Creek staff members J. Trost and S. Barrott. J. Hille Ris Lambers gave much helpful advice on R. We are particularly grateful to I. Charvat and D. McLaughlin for loaning the use of laboratory space and equipment and providing helpful discussion. The US National Science Foundation Long Term Ecological Research program funded this research (NSF/DEB 0080382). IAD was also supported by funds from the Foundation for Research Science and Technology (FRST, NSOF) of New Zealand during the analysis and writing stage of this research.</w:t>
      </w:r>
    </w:p>
    <w:p w14:paraId="6FAE0FEF" w14:textId="77777777" w:rsidR="00F84941" w:rsidRPr="00727DE0" w:rsidRDefault="00BA109F" w:rsidP="00F84941">
      <w:pPr>
        <w:pStyle w:val="Heading1"/>
        <w:rPr>
          <w:rStyle w:val="sectiontitle"/>
          <w:rFonts w:asciiTheme="minorHAnsi" w:hAnsiTheme="minorHAnsi" w:cstheme="minorHAnsi"/>
        </w:rPr>
      </w:pPr>
      <w:r w:rsidRPr="00727DE0">
        <w:rPr>
          <w:rStyle w:val="sectiontitle"/>
          <w:rFonts w:asciiTheme="minorHAnsi" w:hAnsiTheme="minorHAnsi" w:cstheme="minorHAnsi"/>
        </w:rPr>
        <w:t>References</w:t>
      </w:r>
    </w:p>
    <w:p w14:paraId="68F88166" w14:textId="1A454D2A" w:rsidR="00BA109F" w:rsidRPr="00727DE0" w:rsidRDefault="00BA109F" w:rsidP="0063098F">
      <w:pPr>
        <w:spacing w:after="0"/>
        <w:ind w:left="720" w:hanging="720"/>
        <w:rPr>
          <w:rFonts w:cstheme="minorHAnsi"/>
          <w:color w:val="262626" w:themeColor="text1" w:themeTint="D9"/>
        </w:rPr>
      </w:pPr>
      <w:r w:rsidRPr="00727DE0">
        <w:rPr>
          <w:rStyle w:val="author"/>
          <w:rFonts w:cstheme="minorHAnsi"/>
          <w:color w:val="1C1D1E"/>
        </w:rPr>
        <w:t>Anderson, L.J.</w:t>
      </w:r>
      <w:r w:rsidRPr="00727DE0">
        <w:rPr>
          <w:rFonts w:cstheme="minorHAnsi"/>
        </w:rPr>
        <w:t>, </w:t>
      </w:r>
      <w:r w:rsidRPr="00727DE0">
        <w:rPr>
          <w:rStyle w:val="author"/>
          <w:rFonts w:cstheme="minorHAnsi"/>
          <w:color w:val="1C1D1E"/>
        </w:rPr>
        <w:t>Brumbaugh, M.S.</w:t>
      </w:r>
      <w:r w:rsidRPr="00727DE0">
        <w:rPr>
          <w:rFonts w:cstheme="minorHAnsi"/>
        </w:rPr>
        <w:t>, </w:t>
      </w:r>
      <w:r w:rsidRPr="00727DE0">
        <w:rPr>
          <w:rStyle w:val="author"/>
          <w:rFonts w:cstheme="minorHAnsi"/>
          <w:color w:val="1C1D1E"/>
        </w:rPr>
        <w:t>Jackson, R.B.</w:t>
      </w:r>
      <w:r w:rsidRPr="00727DE0">
        <w:rPr>
          <w:rFonts w:cstheme="minorHAnsi"/>
        </w:rPr>
        <w:t> (</w:t>
      </w:r>
      <w:r w:rsidRPr="00727DE0">
        <w:rPr>
          <w:rStyle w:val="pubyear"/>
          <w:rFonts w:cstheme="minorHAnsi"/>
          <w:color w:val="1C1D1E"/>
        </w:rPr>
        <w:t>2001</w:t>
      </w:r>
      <w:r w:rsidRPr="00727DE0">
        <w:rPr>
          <w:rFonts w:cstheme="minorHAnsi"/>
        </w:rPr>
        <w:t>). </w:t>
      </w:r>
      <w:r w:rsidRPr="00727DE0">
        <w:rPr>
          <w:rStyle w:val="articletitle"/>
          <w:rFonts w:cstheme="minorHAnsi"/>
          <w:color w:val="1C1D1E"/>
        </w:rPr>
        <w:t>Water and tree‐understory interactions: a natural experiment in a savanna with oak wilt</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82</w:t>
      </w:r>
      <w:r w:rsidRPr="00727DE0">
        <w:rPr>
          <w:rFonts w:cstheme="minorHAnsi"/>
        </w:rPr>
        <w:t>, </w:t>
      </w:r>
      <w:r w:rsidRPr="00727DE0">
        <w:rPr>
          <w:rStyle w:val="pagefirst"/>
          <w:rFonts w:cstheme="minorHAnsi"/>
          <w:color w:val="1C1D1E"/>
        </w:rPr>
        <w:t>33</w:t>
      </w:r>
      <w:r w:rsidRPr="00727DE0">
        <w:rPr>
          <w:rFonts w:cstheme="minorHAnsi"/>
        </w:rPr>
        <w:t>– </w:t>
      </w:r>
      <w:r w:rsidRPr="00727DE0">
        <w:rPr>
          <w:rStyle w:val="pagelast"/>
          <w:rFonts w:cstheme="minorHAnsi"/>
          <w:color w:val="1C1D1E"/>
        </w:rPr>
        <w:t>49</w:t>
      </w:r>
      <w:r w:rsidRPr="00727DE0">
        <w:rPr>
          <w:rFonts w:cstheme="minorHAnsi"/>
        </w:rPr>
        <w:t>.</w:t>
      </w:r>
    </w:p>
    <w:p w14:paraId="44CD6ED8" w14:textId="77777777" w:rsidR="00BA109F" w:rsidRPr="00727DE0" w:rsidRDefault="00BA109F" w:rsidP="0063098F">
      <w:pPr>
        <w:spacing w:after="0"/>
        <w:ind w:left="720" w:hanging="720"/>
        <w:rPr>
          <w:rFonts w:cstheme="minorHAnsi"/>
        </w:rPr>
      </w:pPr>
      <w:r w:rsidRPr="00727DE0">
        <w:rPr>
          <w:rStyle w:val="author"/>
          <w:rFonts w:cstheme="minorHAnsi"/>
          <w:color w:val="1C1D1E"/>
        </w:rPr>
        <w:t>Baylis, G.T.S.</w:t>
      </w:r>
      <w:r w:rsidRPr="00727DE0">
        <w:rPr>
          <w:rFonts w:cstheme="minorHAnsi"/>
        </w:rPr>
        <w:t> (</w:t>
      </w:r>
      <w:r w:rsidRPr="00727DE0">
        <w:rPr>
          <w:rStyle w:val="pubyear"/>
          <w:rFonts w:cstheme="minorHAnsi"/>
          <w:color w:val="1C1D1E"/>
        </w:rPr>
        <w:t>1980</w:t>
      </w:r>
      <w:r w:rsidRPr="00727DE0">
        <w:rPr>
          <w:rFonts w:cstheme="minorHAnsi"/>
        </w:rPr>
        <w:t>). </w:t>
      </w:r>
      <w:r w:rsidRPr="00727DE0">
        <w:rPr>
          <w:rStyle w:val="articletitle"/>
          <w:rFonts w:cstheme="minorHAnsi"/>
          <w:color w:val="1C1D1E"/>
        </w:rPr>
        <w:t>Mycorrhizas and the spread of beech</w:t>
      </w:r>
      <w:r w:rsidRPr="00727DE0">
        <w:rPr>
          <w:rFonts w:cstheme="minorHAnsi"/>
        </w:rPr>
        <w:t>. </w:t>
      </w:r>
      <w:r w:rsidRPr="00727DE0">
        <w:rPr>
          <w:rFonts w:cstheme="minorHAnsi"/>
          <w:i/>
          <w:iCs/>
        </w:rPr>
        <w:t>NZ J. Ecol.</w:t>
      </w:r>
      <w:r w:rsidRPr="00727DE0">
        <w:rPr>
          <w:rFonts w:cstheme="minorHAnsi"/>
        </w:rPr>
        <w:t>, </w:t>
      </w:r>
      <w:r w:rsidRPr="00727DE0">
        <w:rPr>
          <w:rStyle w:val="vol"/>
          <w:rFonts w:cstheme="minorHAnsi"/>
          <w:b/>
          <w:bCs/>
          <w:color w:val="1C1D1E"/>
        </w:rPr>
        <w:t>3</w:t>
      </w:r>
      <w:r w:rsidRPr="00727DE0">
        <w:rPr>
          <w:rFonts w:cstheme="minorHAnsi"/>
        </w:rPr>
        <w:t>, </w:t>
      </w:r>
      <w:r w:rsidRPr="00727DE0">
        <w:rPr>
          <w:rStyle w:val="pagefirst"/>
          <w:rFonts w:cstheme="minorHAnsi"/>
          <w:color w:val="1C1D1E"/>
        </w:rPr>
        <w:t>151</w:t>
      </w:r>
      <w:r w:rsidRPr="00727DE0">
        <w:rPr>
          <w:rFonts w:cstheme="minorHAnsi"/>
        </w:rPr>
        <w:t>– </w:t>
      </w:r>
      <w:r w:rsidRPr="00727DE0">
        <w:rPr>
          <w:rStyle w:val="pagelast"/>
          <w:rFonts w:cstheme="minorHAnsi"/>
          <w:color w:val="1C1D1E"/>
        </w:rPr>
        <w:t>153</w:t>
      </w:r>
      <w:r w:rsidRPr="00727DE0">
        <w:rPr>
          <w:rFonts w:cstheme="minorHAnsi"/>
        </w:rPr>
        <w:t>.</w:t>
      </w:r>
    </w:p>
    <w:p w14:paraId="7193E72A" w14:textId="77777777" w:rsidR="00BA109F" w:rsidRPr="00727DE0" w:rsidRDefault="00BA109F" w:rsidP="0063098F">
      <w:pPr>
        <w:spacing w:after="0"/>
        <w:ind w:left="720" w:hanging="720"/>
        <w:rPr>
          <w:rFonts w:cstheme="minorHAnsi"/>
        </w:rPr>
      </w:pPr>
      <w:r w:rsidRPr="00727DE0">
        <w:rPr>
          <w:rStyle w:val="author"/>
          <w:rFonts w:cstheme="minorHAnsi"/>
          <w:color w:val="1C1D1E"/>
        </w:rPr>
        <w:t>Berkowitz, A.R.</w:t>
      </w:r>
      <w:r w:rsidRPr="00727DE0">
        <w:rPr>
          <w:rFonts w:cstheme="minorHAnsi"/>
        </w:rPr>
        <w:t>, </w:t>
      </w:r>
      <w:r w:rsidRPr="00727DE0">
        <w:rPr>
          <w:rStyle w:val="author"/>
          <w:rFonts w:cstheme="minorHAnsi"/>
          <w:color w:val="1C1D1E"/>
        </w:rPr>
        <w:t>Canham, C.D.</w:t>
      </w:r>
      <w:r w:rsidRPr="00727DE0">
        <w:rPr>
          <w:rFonts w:cstheme="minorHAnsi"/>
        </w:rPr>
        <w:t> &amp; </w:t>
      </w:r>
      <w:r w:rsidRPr="00727DE0">
        <w:rPr>
          <w:rStyle w:val="author"/>
          <w:rFonts w:cstheme="minorHAnsi"/>
          <w:color w:val="1C1D1E"/>
        </w:rPr>
        <w:t>Kelly, V.R.</w:t>
      </w:r>
      <w:r w:rsidRPr="00727DE0">
        <w:rPr>
          <w:rFonts w:cstheme="minorHAnsi"/>
        </w:rPr>
        <w:t> (</w:t>
      </w:r>
      <w:r w:rsidRPr="00727DE0">
        <w:rPr>
          <w:rStyle w:val="pubyear"/>
          <w:rFonts w:cstheme="minorHAnsi"/>
          <w:color w:val="1C1D1E"/>
        </w:rPr>
        <w:t>1995</w:t>
      </w:r>
      <w:r w:rsidRPr="00727DE0">
        <w:rPr>
          <w:rFonts w:cstheme="minorHAnsi"/>
        </w:rPr>
        <w:t>). </w:t>
      </w:r>
      <w:r w:rsidRPr="00727DE0">
        <w:rPr>
          <w:rStyle w:val="articletitle"/>
          <w:rFonts w:cstheme="minorHAnsi"/>
          <w:color w:val="1C1D1E"/>
        </w:rPr>
        <w:t>Competition vs. facilitation of tree seedling growth and survival in early successional communities</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76</w:t>
      </w:r>
      <w:r w:rsidRPr="00727DE0">
        <w:rPr>
          <w:rFonts w:cstheme="minorHAnsi"/>
        </w:rPr>
        <w:t>, </w:t>
      </w:r>
      <w:r w:rsidRPr="00727DE0">
        <w:rPr>
          <w:rStyle w:val="pagefirst"/>
          <w:rFonts w:cstheme="minorHAnsi"/>
          <w:color w:val="1C1D1E"/>
        </w:rPr>
        <w:t>1156</w:t>
      </w:r>
      <w:r w:rsidRPr="00727DE0">
        <w:rPr>
          <w:rFonts w:cstheme="minorHAnsi"/>
        </w:rPr>
        <w:t>– </w:t>
      </w:r>
      <w:r w:rsidRPr="00727DE0">
        <w:rPr>
          <w:rStyle w:val="pagelast"/>
          <w:rFonts w:cstheme="minorHAnsi"/>
          <w:color w:val="1C1D1E"/>
        </w:rPr>
        <w:t>1168</w:t>
      </w:r>
      <w:r w:rsidRPr="00727DE0">
        <w:rPr>
          <w:rFonts w:cstheme="minorHAnsi"/>
        </w:rPr>
        <w:t>.</w:t>
      </w:r>
    </w:p>
    <w:p w14:paraId="01DD8D6F" w14:textId="77777777" w:rsidR="00BA109F" w:rsidRPr="00727DE0" w:rsidRDefault="00BA109F" w:rsidP="0063098F">
      <w:pPr>
        <w:spacing w:after="0"/>
        <w:ind w:left="720" w:hanging="720"/>
        <w:rPr>
          <w:rFonts w:cstheme="minorHAnsi"/>
        </w:rPr>
      </w:pPr>
      <w:r w:rsidRPr="00727DE0">
        <w:rPr>
          <w:rStyle w:val="author"/>
          <w:rFonts w:cstheme="minorHAnsi"/>
          <w:color w:val="1C1D1E"/>
        </w:rPr>
        <w:t>Bever, J.D.</w:t>
      </w:r>
      <w:r w:rsidRPr="00727DE0">
        <w:rPr>
          <w:rFonts w:cstheme="minorHAnsi"/>
        </w:rPr>
        <w:t>, </w:t>
      </w:r>
      <w:r w:rsidRPr="00727DE0">
        <w:rPr>
          <w:rStyle w:val="author"/>
          <w:rFonts w:cstheme="minorHAnsi"/>
          <w:color w:val="1C1D1E"/>
        </w:rPr>
        <w:t>Westover, K.M.</w:t>
      </w:r>
      <w:r w:rsidRPr="00727DE0">
        <w:rPr>
          <w:rFonts w:cstheme="minorHAnsi"/>
        </w:rPr>
        <w:t> &amp; </w:t>
      </w:r>
      <w:r w:rsidRPr="00727DE0">
        <w:rPr>
          <w:rStyle w:val="author"/>
          <w:rFonts w:cstheme="minorHAnsi"/>
          <w:color w:val="1C1D1E"/>
        </w:rPr>
        <w:t>Antonovics, J.</w:t>
      </w:r>
      <w:r w:rsidRPr="00727DE0">
        <w:rPr>
          <w:rFonts w:cstheme="minorHAnsi"/>
        </w:rPr>
        <w:t> (</w:t>
      </w:r>
      <w:r w:rsidRPr="00727DE0">
        <w:rPr>
          <w:rStyle w:val="pubyear"/>
          <w:rFonts w:cstheme="minorHAnsi"/>
          <w:color w:val="1C1D1E"/>
        </w:rPr>
        <w:t>1997</w:t>
      </w:r>
      <w:r w:rsidRPr="00727DE0">
        <w:rPr>
          <w:rFonts w:cstheme="minorHAnsi"/>
        </w:rPr>
        <w:t>). </w:t>
      </w:r>
      <w:r w:rsidRPr="00727DE0">
        <w:rPr>
          <w:rStyle w:val="articletitle"/>
          <w:rFonts w:cstheme="minorHAnsi"/>
          <w:color w:val="1C1D1E"/>
        </w:rPr>
        <w:t>Incorporating the soil community into plant population dynamics: the utility of the feedback approach</w:t>
      </w:r>
      <w:r w:rsidRPr="00727DE0">
        <w:rPr>
          <w:rFonts w:cstheme="minorHAnsi"/>
        </w:rPr>
        <w:t>. </w:t>
      </w:r>
      <w:r w:rsidRPr="00727DE0">
        <w:rPr>
          <w:rFonts w:cstheme="minorHAnsi"/>
          <w:i/>
          <w:iCs/>
        </w:rPr>
        <w:t>J. Ecol.</w:t>
      </w:r>
      <w:r w:rsidRPr="00727DE0">
        <w:rPr>
          <w:rFonts w:cstheme="minorHAnsi"/>
        </w:rPr>
        <w:t>, </w:t>
      </w:r>
      <w:r w:rsidRPr="00727DE0">
        <w:rPr>
          <w:rStyle w:val="vol"/>
          <w:rFonts w:cstheme="minorHAnsi"/>
          <w:b/>
          <w:bCs/>
          <w:color w:val="1C1D1E"/>
        </w:rPr>
        <w:t>85</w:t>
      </w:r>
      <w:r w:rsidRPr="00727DE0">
        <w:rPr>
          <w:rFonts w:cstheme="minorHAnsi"/>
        </w:rPr>
        <w:t>, </w:t>
      </w:r>
      <w:r w:rsidRPr="00727DE0">
        <w:rPr>
          <w:rStyle w:val="pagefirst"/>
          <w:rFonts w:cstheme="minorHAnsi"/>
          <w:color w:val="1C1D1E"/>
        </w:rPr>
        <w:t>561</w:t>
      </w:r>
      <w:r w:rsidRPr="00727DE0">
        <w:rPr>
          <w:rFonts w:cstheme="minorHAnsi"/>
        </w:rPr>
        <w:t>– </w:t>
      </w:r>
      <w:r w:rsidRPr="00727DE0">
        <w:rPr>
          <w:rStyle w:val="pagelast"/>
          <w:rFonts w:cstheme="minorHAnsi"/>
          <w:color w:val="1C1D1E"/>
        </w:rPr>
        <w:t>573</w:t>
      </w:r>
      <w:r w:rsidRPr="00727DE0">
        <w:rPr>
          <w:rFonts w:cstheme="minorHAnsi"/>
        </w:rPr>
        <w:t>.</w:t>
      </w:r>
    </w:p>
    <w:p w14:paraId="0AD17C66" w14:textId="77777777" w:rsidR="00BA109F" w:rsidRPr="00727DE0" w:rsidRDefault="00BA109F" w:rsidP="0063098F">
      <w:pPr>
        <w:spacing w:after="0"/>
        <w:ind w:left="720" w:hanging="720"/>
        <w:rPr>
          <w:rFonts w:cstheme="minorHAnsi"/>
        </w:rPr>
      </w:pPr>
      <w:r w:rsidRPr="00727DE0">
        <w:rPr>
          <w:rStyle w:val="author"/>
          <w:rFonts w:cstheme="minorHAnsi"/>
          <w:color w:val="1C1D1E"/>
        </w:rPr>
        <w:t>Booth, M.G.</w:t>
      </w:r>
      <w:r w:rsidRPr="00727DE0">
        <w:rPr>
          <w:rFonts w:cstheme="minorHAnsi"/>
        </w:rPr>
        <w:t> (</w:t>
      </w:r>
      <w:r w:rsidRPr="00727DE0">
        <w:rPr>
          <w:rStyle w:val="pubyear"/>
          <w:rFonts w:cstheme="minorHAnsi"/>
          <w:color w:val="1C1D1E"/>
        </w:rPr>
        <w:t>2004</w:t>
      </w:r>
      <w:r w:rsidRPr="00727DE0">
        <w:rPr>
          <w:rFonts w:cstheme="minorHAnsi"/>
        </w:rPr>
        <w:t>). </w:t>
      </w:r>
      <w:r w:rsidRPr="00727DE0">
        <w:rPr>
          <w:rStyle w:val="articletitle"/>
          <w:rFonts w:cstheme="minorHAnsi"/>
          <w:color w:val="1C1D1E"/>
        </w:rPr>
        <w:t>Mycorrhizal networks mediate overstorey‐understorey competition in a temperate forest</w:t>
      </w:r>
      <w:r w:rsidRPr="00727DE0">
        <w:rPr>
          <w:rFonts w:cstheme="minorHAnsi"/>
        </w:rPr>
        <w:t>. </w:t>
      </w:r>
      <w:r w:rsidRPr="00727DE0">
        <w:rPr>
          <w:rFonts w:cstheme="minorHAnsi"/>
          <w:i/>
          <w:iCs/>
        </w:rPr>
        <w:t>Ecol. Lett.</w:t>
      </w:r>
      <w:r w:rsidRPr="00727DE0">
        <w:rPr>
          <w:rFonts w:cstheme="minorHAnsi"/>
        </w:rPr>
        <w:t>, </w:t>
      </w:r>
      <w:r w:rsidRPr="00727DE0">
        <w:rPr>
          <w:rStyle w:val="vol"/>
          <w:rFonts w:cstheme="minorHAnsi"/>
          <w:b/>
          <w:bCs/>
          <w:color w:val="1C1D1E"/>
        </w:rPr>
        <w:t>7</w:t>
      </w:r>
      <w:r w:rsidRPr="00727DE0">
        <w:rPr>
          <w:rFonts w:cstheme="minorHAnsi"/>
        </w:rPr>
        <w:t>, </w:t>
      </w:r>
      <w:r w:rsidRPr="00727DE0">
        <w:rPr>
          <w:rStyle w:val="pagefirst"/>
          <w:rFonts w:cstheme="minorHAnsi"/>
          <w:color w:val="1C1D1E"/>
        </w:rPr>
        <w:t>538</w:t>
      </w:r>
      <w:r w:rsidRPr="00727DE0">
        <w:rPr>
          <w:rFonts w:cstheme="minorHAnsi"/>
        </w:rPr>
        <w:t>– </w:t>
      </w:r>
      <w:r w:rsidRPr="00727DE0">
        <w:rPr>
          <w:rStyle w:val="pagelast"/>
          <w:rFonts w:cstheme="minorHAnsi"/>
          <w:color w:val="1C1D1E"/>
        </w:rPr>
        <w:t>546</w:t>
      </w:r>
      <w:r w:rsidRPr="00727DE0">
        <w:rPr>
          <w:rFonts w:cstheme="minorHAnsi"/>
        </w:rPr>
        <w:t>.</w:t>
      </w:r>
    </w:p>
    <w:p w14:paraId="4971BBC8" w14:textId="77777777" w:rsidR="00BA109F" w:rsidRPr="00727DE0" w:rsidRDefault="00BA109F" w:rsidP="0063098F">
      <w:pPr>
        <w:spacing w:after="0"/>
        <w:ind w:left="720" w:hanging="720"/>
        <w:rPr>
          <w:rFonts w:cstheme="minorHAnsi"/>
        </w:rPr>
      </w:pPr>
      <w:r w:rsidRPr="00727DE0">
        <w:rPr>
          <w:rStyle w:val="author"/>
          <w:rFonts w:cstheme="minorHAnsi"/>
          <w:color w:val="1C1D1E"/>
        </w:rPr>
        <w:t>Borchers, S.L.</w:t>
      </w:r>
      <w:r w:rsidRPr="00727DE0">
        <w:rPr>
          <w:rFonts w:cstheme="minorHAnsi"/>
        </w:rPr>
        <w:t> &amp; </w:t>
      </w:r>
      <w:r w:rsidRPr="00727DE0">
        <w:rPr>
          <w:rStyle w:val="author"/>
          <w:rFonts w:cstheme="minorHAnsi"/>
          <w:color w:val="1C1D1E"/>
        </w:rPr>
        <w:t>Perry, D.A.</w:t>
      </w:r>
      <w:r w:rsidRPr="00727DE0">
        <w:rPr>
          <w:rFonts w:cstheme="minorHAnsi"/>
        </w:rPr>
        <w:t> (</w:t>
      </w:r>
      <w:r w:rsidRPr="00727DE0">
        <w:rPr>
          <w:rStyle w:val="pubyear"/>
          <w:rFonts w:cstheme="minorHAnsi"/>
          <w:color w:val="1C1D1E"/>
        </w:rPr>
        <w:t>1990</w:t>
      </w:r>
      <w:r w:rsidRPr="00727DE0">
        <w:rPr>
          <w:rFonts w:cstheme="minorHAnsi"/>
        </w:rPr>
        <w:t>). </w:t>
      </w:r>
      <w:r w:rsidRPr="00727DE0">
        <w:rPr>
          <w:rStyle w:val="articletitle"/>
          <w:rFonts w:cstheme="minorHAnsi"/>
          <w:color w:val="1C1D1E"/>
        </w:rPr>
        <w:t>Growth and ectomycorrhiza formation of Douglas‐fir seedlings grown in soils collected at different distances from pioneering hardwoods in southwest Oregon clear‐cuts</w:t>
      </w:r>
      <w:r w:rsidRPr="00727DE0">
        <w:rPr>
          <w:rFonts w:cstheme="minorHAnsi"/>
        </w:rPr>
        <w:t>. </w:t>
      </w:r>
      <w:r w:rsidRPr="00727DE0">
        <w:rPr>
          <w:rFonts w:cstheme="minorHAnsi"/>
          <w:i/>
          <w:iCs/>
        </w:rPr>
        <w:t>Can. J. Forest Res.</w:t>
      </w:r>
      <w:r w:rsidRPr="00727DE0">
        <w:rPr>
          <w:rFonts w:cstheme="minorHAnsi"/>
        </w:rPr>
        <w:t>, </w:t>
      </w:r>
      <w:r w:rsidRPr="00727DE0">
        <w:rPr>
          <w:rStyle w:val="vol"/>
          <w:rFonts w:cstheme="minorHAnsi"/>
          <w:b/>
          <w:bCs/>
          <w:color w:val="1C1D1E"/>
        </w:rPr>
        <w:t>20</w:t>
      </w:r>
      <w:r w:rsidRPr="00727DE0">
        <w:rPr>
          <w:rFonts w:cstheme="minorHAnsi"/>
        </w:rPr>
        <w:t>, </w:t>
      </w:r>
      <w:r w:rsidRPr="00727DE0">
        <w:rPr>
          <w:rStyle w:val="pagefirst"/>
          <w:rFonts w:cstheme="minorHAnsi"/>
          <w:color w:val="1C1D1E"/>
        </w:rPr>
        <w:t>712</w:t>
      </w:r>
      <w:r w:rsidRPr="00727DE0">
        <w:rPr>
          <w:rFonts w:cstheme="minorHAnsi"/>
        </w:rPr>
        <w:t>– </w:t>
      </w:r>
      <w:r w:rsidRPr="00727DE0">
        <w:rPr>
          <w:rStyle w:val="pagelast"/>
          <w:rFonts w:cstheme="minorHAnsi"/>
          <w:color w:val="1C1D1E"/>
        </w:rPr>
        <w:t>721</w:t>
      </w:r>
      <w:r w:rsidRPr="00727DE0">
        <w:rPr>
          <w:rFonts w:cstheme="minorHAnsi"/>
        </w:rPr>
        <w:t>.</w:t>
      </w:r>
    </w:p>
    <w:p w14:paraId="7B297753" w14:textId="77777777" w:rsidR="00BA109F" w:rsidRPr="00727DE0" w:rsidRDefault="00BA109F" w:rsidP="0063098F">
      <w:pPr>
        <w:spacing w:after="0"/>
        <w:ind w:left="720" w:hanging="720"/>
        <w:rPr>
          <w:rFonts w:cstheme="minorHAnsi"/>
        </w:rPr>
      </w:pPr>
      <w:r w:rsidRPr="00727DE0">
        <w:rPr>
          <w:rStyle w:val="author"/>
          <w:rFonts w:cstheme="minorHAnsi"/>
          <w:color w:val="1C1D1E"/>
        </w:rPr>
        <w:t>Bray, J.R.</w:t>
      </w:r>
      <w:r w:rsidRPr="00727DE0">
        <w:rPr>
          <w:rFonts w:cstheme="minorHAnsi"/>
        </w:rPr>
        <w:t> (</w:t>
      </w:r>
      <w:r w:rsidRPr="00727DE0">
        <w:rPr>
          <w:rStyle w:val="pubyear"/>
          <w:rFonts w:cstheme="minorHAnsi"/>
          <w:color w:val="1C1D1E"/>
        </w:rPr>
        <w:t>1955</w:t>
      </w:r>
      <w:r w:rsidRPr="00727DE0">
        <w:rPr>
          <w:rFonts w:cstheme="minorHAnsi"/>
        </w:rPr>
        <w:t>). </w:t>
      </w:r>
      <w:r w:rsidRPr="00727DE0">
        <w:rPr>
          <w:rStyle w:val="othertitle"/>
          <w:rFonts w:cstheme="minorHAnsi"/>
          <w:color w:val="1C1D1E"/>
        </w:rPr>
        <w:t>The savanna vegetation of Wisconsin and an application of the concepts order and complexity to the field of ecology</w:t>
      </w:r>
      <w:r w:rsidRPr="00727DE0">
        <w:rPr>
          <w:rFonts w:cstheme="minorHAnsi"/>
        </w:rPr>
        <w:t>. </w:t>
      </w:r>
      <w:r w:rsidRPr="00727DE0">
        <w:rPr>
          <w:rStyle w:val="othertitle"/>
          <w:rFonts w:cstheme="minorHAnsi"/>
          <w:color w:val="1C1D1E"/>
        </w:rPr>
        <w:t>Thesis</w:t>
      </w:r>
      <w:r w:rsidRPr="00727DE0">
        <w:rPr>
          <w:rFonts w:cstheme="minorHAnsi"/>
        </w:rPr>
        <w:t>, University of Wisconsin, Madison, WI.</w:t>
      </w:r>
    </w:p>
    <w:p w14:paraId="5008FA58" w14:textId="77777777" w:rsidR="00BA109F" w:rsidRPr="00727DE0" w:rsidRDefault="00BA109F" w:rsidP="0063098F">
      <w:pPr>
        <w:spacing w:after="0"/>
        <w:ind w:left="720" w:hanging="720"/>
        <w:rPr>
          <w:rFonts w:cstheme="minorHAnsi"/>
        </w:rPr>
      </w:pPr>
      <w:r w:rsidRPr="00727DE0">
        <w:rPr>
          <w:rStyle w:val="author"/>
          <w:rFonts w:cstheme="minorHAnsi"/>
          <w:color w:val="1C1D1E"/>
        </w:rPr>
        <w:t>Brooker, R.W.</w:t>
      </w:r>
      <w:r w:rsidRPr="00727DE0">
        <w:rPr>
          <w:rFonts w:cstheme="minorHAnsi"/>
        </w:rPr>
        <w:t> &amp; </w:t>
      </w:r>
      <w:r w:rsidRPr="00727DE0">
        <w:rPr>
          <w:rStyle w:val="author"/>
          <w:rFonts w:cstheme="minorHAnsi"/>
          <w:color w:val="1C1D1E"/>
        </w:rPr>
        <w:t>Callaghan, T.V.</w:t>
      </w:r>
      <w:r w:rsidRPr="00727DE0">
        <w:rPr>
          <w:rFonts w:cstheme="minorHAnsi"/>
        </w:rPr>
        <w:t> (</w:t>
      </w:r>
      <w:r w:rsidRPr="00727DE0">
        <w:rPr>
          <w:rStyle w:val="pubyear"/>
          <w:rFonts w:cstheme="minorHAnsi"/>
          <w:color w:val="1C1D1E"/>
        </w:rPr>
        <w:t>1998</w:t>
      </w:r>
      <w:r w:rsidRPr="00727DE0">
        <w:rPr>
          <w:rFonts w:cstheme="minorHAnsi"/>
        </w:rPr>
        <w:t>). </w:t>
      </w:r>
      <w:r w:rsidRPr="00727DE0">
        <w:rPr>
          <w:rStyle w:val="articletitle"/>
          <w:rFonts w:cstheme="minorHAnsi"/>
          <w:color w:val="1C1D1E"/>
        </w:rPr>
        <w:t>The balance between positive and negative plant interactions and its relationship to environmental gradients: a model</w:t>
      </w:r>
      <w:r w:rsidRPr="00727DE0">
        <w:rPr>
          <w:rFonts w:cstheme="minorHAnsi"/>
        </w:rPr>
        <w:t>. </w:t>
      </w:r>
      <w:r w:rsidRPr="00727DE0">
        <w:rPr>
          <w:rFonts w:cstheme="minorHAnsi"/>
          <w:i/>
          <w:iCs/>
        </w:rPr>
        <w:t>Oikos</w:t>
      </w:r>
      <w:r w:rsidRPr="00727DE0">
        <w:rPr>
          <w:rFonts w:cstheme="minorHAnsi"/>
        </w:rPr>
        <w:t>, </w:t>
      </w:r>
      <w:r w:rsidRPr="00727DE0">
        <w:rPr>
          <w:rStyle w:val="vol"/>
          <w:rFonts w:cstheme="minorHAnsi"/>
          <w:b/>
          <w:bCs/>
          <w:color w:val="1C1D1E"/>
        </w:rPr>
        <w:t>81</w:t>
      </w:r>
      <w:r w:rsidRPr="00727DE0">
        <w:rPr>
          <w:rFonts w:cstheme="minorHAnsi"/>
        </w:rPr>
        <w:t>, </w:t>
      </w:r>
      <w:r w:rsidRPr="00727DE0">
        <w:rPr>
          <w:rStyle w:val="pagefirst"/>
          <w:rFonts w:cstheme="minorHAnsi"/>
          <w:color w:val="1C1D1E"/>
        </w:rPr>
        <w:t>196</w:t>
      </w:r>
      <w:r w:rsidRPr="00727DE0">
        <w:rPr>
          <w:rFonts w:cstheme="minorHAnsi"/>
        </w:rPr>
        <w:t>– </w:t>
      </w:r>
      <w:r w:rsidRPr="00727DE0">
        <w:rPr>
          <w:rStyle w:val="pagelast"/>
          <w:rFonts w:cstheme="minorHAnsi"/>
          <w:color w:val="1C1D1E"/>
        </w:rPr>
        <w:t>207</w:t>
      </w:r>
      <w:r w:rsidRPr="00727DE0">
        <w:rPr>
          <w:rFonts w:cstheme="minorHAnsi"/>
        </w:rPr>
        <w:t>.</w:t>
      </w:r>
    </w:p>
    <w:p w14:paraId="4FA0C54F" w14:textId="77777777" w:rsidR="00BA109F" w:rsidRPr="00727DE0" w:rsidRDefault="00BA109F" w:rsidP="0063098F">
      <w:pPr>
        <w:spacing w:after="0"/>
        <w:ind w:left="720" w:hanging="720"/>
        <w:rPr>
          <w:rFonts w:cstheme="minorHAnsi"/>
        </w:rPr>
      </w:pPr>
      <w:r w:rsidRPr="00727DE0">
        <w:rPr>
          <w:rStyle w:val="author"/>
          <w:rFonts w:cstheme="minorHAnsi"/>
          <w:color w:val="1C1D1E"/>
        </w:rPr>
        <w:t>Brown, J.R.</w:t>
      </w:r>
      <w:r w:rsidRPr="00727DE0">
        <w:rPr>
          <w:rFonts w:cstheme="minorHAnsi"/>
        </w:rPr>
        <w:t> &amp; </w:t>
      </w:r>
      <w:r w:rsidRPr="00727DE0">
        <w:rPr>
          <w:rStyle w:val="author"/>
          <w:rFonts w:cstheme="minorHAnsi"/>
          <w:color w:val="1C1D1E"/>
        </w:rPr>
        <w:t>Archer, S.</w:t>
      </w:r>
      <w:r w:rsidRPr="00727DE0">
        <w:rPr>
          <w:rFonts w:cstheme="minorHAnsi"/>
        </w:rPr>
        <w:t> (</w:t>
      </w:r>
      <w:r w:rsidRPr="00727DE0">
        <w:rPr>
          <w:rStyle w:val="pubyear"/>
          <w:rFonts w:cstheme="minorHAnsi"/>
          <w:color w:val="1C1D1E"/>
        </w:rPr>
        <w:t>1987</w:t>
      </w:r>
      <w:r w:rsidRPr="00727DE0">
        <w:rPr>
          <w:rFonts w:cstheme="minorHAnsi"/>
        </w:rPr>
        <w:t>). </w:t>
      </w:r>
      <w:r w:rsidRPr="00727DE0">
        <w:rPr>
          <w:rStyle w:val="articletitle"/>
          <w:rFonts w:cstheme="minorHAnsi"/>
          <w:color w:val="1C1D1E"/>
        </w:rPr>
        <w:t>Woody plant seed dispersal and gap formation in a North American subtropical savanna woodland: the role of domestic herbivores</w:t>
      </w:r>
      <w:r w:rsidRPr="00727DE0">
        <w:rPr>
          <w:rFonts w:cstheme="minorHAnsi"/>
        </w:rPr>
        <w:t>. </w:t>
      </w:r>
      <w:r w:rsidRPr="00727DE0">
        <w:rPr>
          <w:rFonts w:cstheme="minorHAnsi"/>
          <w:i/>
          <w:iCs/>
        </w:rPr>
        <w:t>Vegetatio</w:t>
      </w:r>
      <w:r w:rsidRPr="00727DE0">
        <w:rPr>
          <w:rFonts w:cstheme="minorHAnsi"/>
        </w:rPr>
        <w:t>, </w:t>
      </w:r>
      <w:r w:rsidRPr="00727DE0">
        <w:rPr>
          <w:rStyle w:val="vol"/>
          <w:rFonts w:cstheme="minorHAnsi"/>
          <w:b/>
          <w:bCs/>
          <w:color w:val="1C1D1E"/>
        </w:rPr>
        <w:t>73</w:t>
      </w:r>
      <w:r w:rsidRPr="00727DE0">
        <w:rPr>
          <w:rFonts w:cstheme="minorHAnsi"/>
        </w:rPr>
        <w:t>, </w:t>
      </w:r>
      <w:r w:rsidRPr="00727DE0">
        <w:rPr>
          <w:rStyle w:val="pagefirst"/>
          <w:rFonts w:cstheme="minorHAnsi"/>
          <w:color w:val="1C1D1E"/>
        </w:rPr>
        <w:t>73</w:t>
      </w:r>
      <w:r w:rsidRPr="00727DE0">
        <w:rPr>
          <w:rFonts w:cstheme="minorHAnsi"/>
        </w:rPr>
        <w:t>– </w:t>
      </w:r>
      <w:r w:rsidRPr="00727DE0">
        <w:rPr>
          <w:rStyle w:val="pagelast"/>
          <w:rFonts w:cstheme="minorHAnsi"/>
          <w:color w:val="1C1D1E"/>
        </w:rPr>
        <w:t>80</w:t>
      </w:r>
      <w:r w:rsidRPr="00727DE0">
        <w:rPr>
          <w:rFonts w:cstheme="minorHAnsi"/>
        </w:rPr>
        <w:t>.</w:t>
      </w:r>
    </w:p>
    <w:p w14:paraId="4DAEAAC5" w14:textId="77777777" w:rsidR="00BA109F" w:rsidRPr="00727DE0" w:rsidRDefault="00BA109F" w:rsidP="0063098F">
      <w:pPr>
        <w:spacing w:after="0"/>
        <w:ind w:left="720" w:hanging="720"/>
        <w:rPr>
          <w:rFonts w:cstheme="minorHAnsi"/>
        </w:rPr>
      </w:pPr>
      <w:r w:rsidRPr="00727DE0">
        <w:rPr>
          <w:rStyle w:val="author"/>
          <w:rFonts w:cstheme="minorHAnsi"/>
          <w:color w:val="1C1D1E"/>
        </w:rPr>
        <w:t>Bruno, J.F.</w:t>
      </w:r>
      <w:r w:rsidRPr="00727DE0">
        <w:rPr>
          <w:rFonts w:cstheme="minorHAnsi"/>
        </w:rPr>
        <w:t>, </w:t>
      </w:r>
      <w:r w:rsidRPr="00727DE0">
        <w:rPr>
          <w:rStyle w:val="author"/>
          <w:rFonts w:cstheme="minorHAnsi"/>
          <w:color w:val="1C1D1E"/>
        </w:rPr>
        <w:t>Stachowicz, J.J.</w:t>
      </w:r>
      <w:r w:rsidRPr="00727DE0">
        <w:rPr>
          <w:rFonts w:cstheme="minorHAnsi"/>
        </w:rPr>
        <w:t> &amp; </w:t>
      </w:r>
      <w:r w:rsidRPr="00727DE0">
        <w:rPr>
          <w:rStyle w:val="author"/>
          <w:rFonts w:cstheme="minorHAnsi"/>
          <w:color w:val="1C1D1E"/>
        </w:rPr>
        <w:t>Bertness, M.D.</w:t>
      </w:r>
      <w:r w:rsidRPr="00727DE0">
        <w:rPr>
          <w:rFonts w:cstheme="minorHAnsi"/>
        </w:rPr>
        <w:t> (</w:t>
      </w:r>
      <w:r w:rsidRPr="00727DE0">
        <w:rPr>
          <w:rStyle w:val="pubyear"/>
          <w:rFonts w:cstheme="minorHAnsi"/>
          <w:color w:val="1C1D1E"/>
        </w:rPr>
        <w:t>2003</w:t>
      </w:r>
      <w:r w:rsidRPr="00727DE0">
        <w:rPr>
          <w:rFonts w:cstheme="minorHAnsi"/>
        </w:rPr>
        <w:t>). </w:t>
      </w:r>
      <w:r w:rsidRPr="00727DE0">
        <w:rPr>
          <w:rStyle w:val="articletitle"/>
          <w:rFonts w:cstheme="minorHAnsi"/>
          <w:color w:val="1C1D1E"/>
        </w:rPr>
        <w:t>Inclusion of facilitation into ecological theory</w:t>
      </w:r>
      <w:r w:rsidRPr="00727DE0">
        <w:rPr>
          <w:rFonts w:cstheme="minorHAnsi"/>
        </w:rPr>
        <w:t>. </w:t>
      </w:r>
      <w:r w:rsidRPr="00727DE0">
        <w:rPr>
          <w:rFonts w:cstheme="minorHAnsi"/>
          <w:i/>
          <w:iCs/>
        </w:rPr>
        <w:t>Trends Ecol. Evol.</w:t>
      </w:r>
      <w:r w:rsidRPr="00727DE0">
        <w:rPr>
          <w:rFonts w:cstheme="minorHAnsi"/>
        </w:rPr>
        <w:t>, </w:t>
      </w:r>
      <w:r w:rsidRPr="00727DE0">
        <w:rPr>
          <w:rStyle w:val="vol"/>
          <w:rFonts w:cstheme="minorHAnsi"/>
          <w:b/>
          <w:bCs/>
          <w:color w:val="1C1D1E"/>
        </w:rPr>
        <w:t>18</w:t>
      </w:r>
      <w:r w:rsidRPr="00727DE0">
        <w:rPr>
          <w:rFonts w:cstheme="minorHAnsi"/>
        </w:rPr>
        <w:t>, </w:t>
      </w:r>
      <w:r w:rsidRPr="00727DE0">
        <w:rPr>
          <w:rStyle w:val="pagefirst"/>
          <w:rFonts w:cstheme="minorHAnsi"/>
          <w:color w:val="1C1D1E"/>
        </w:rPr>
        <w:t>119</w:t>
      </w:r>
      <w:r w:rsidRPr="00727DE0">
        <w:rPr>
          <w:rFonts w:cstheme="minorHAnsi"/>
        </w:rPr>
        <w:t>– </w:t>
      </w:r>
      <w:r w:rsidRPr="00727DE0">
        <w:rPr>
          <w:rStyle w:val="pagelast"/>
          <w:rFonts w:cstheme="minorHAnsi"/>
          <w:color w:val="1C1D1E"/>
        </w:rPr>
        <w:t>125</w:t>
      </w:r>
      <w:r w:rsidRPr="00727DE0">
        <w:rPr>
          <w:rFonts w:cstheme="minorHAnsi"/>
        </w:rPr>
        <w:t>.</w:t>
      </w:r>
    </w:p>
    <w:p w14:paraId="0EA47D66" w14:textId="77777777" w:rsidR="00BA109F" w:rsidRPr="00727DE0" w:rsidRDefault="00BA109F" w:rsidP="0063098F">
      <w:pPr>
        <w:spacing w:after="0"/>
        <w:ind w:left="720" w:hanging="720"/>
        <w:rPr>
          <w:rFonts w:cstheme="minorHAnsi"/>
        </w:rPr>
      </w:pPr>
      <w:r w:rsidRPr="00727DE0">
        <w:rPr>
          <w:rStyle w:val="author"/>
          <w:rFonts w:cstheme="minorHAnsi"/>
          <w:color w:val="1C1D1E"/>
        </w:rPr>
        <w:t>Caldwell, M.M.</w:t>
      </w:r>
      <w:r w:rsidRPr="00727DE0">
        <w:rPr>
          <w:rFonts w:cstheme="minorHAnsi"/>
        </w:rPr>
        <w:t>, </w:t>
      </w:r>
      <w:r w:rsidRPr="00727DE0">
        <w:rPr>
          <w:rStyle w:val="author"/>
          <w:rFonts w:cstheme="minorHAnsi"/>
          <w:color w:val="1C1D1E"/>
        </w:rPr>
        <w:t>Dawson, T.E.</w:t>
      </w:r>
      <w:r w:rsidRPr="00727DE0">
        <w:rPr>
          <w:rFonts w:cstheme="minorHAnsi"/>
        </w:rPr>
        <w:t>, &amp; </w:t>
      </w:r>
      <w:r w:rsidRPr="00727DE0">
        <w:rPr>
          <w:rStyle w:val="author"/>
          <w:rFonts w:cstheme="minorHAnsi"/>
          <w:color w:val="1C1D1E"/>
        </w:rPr>
        <w:t>Richards, J.H.</w:t>
      </w:r>
      <w:r w:rsidRPr="00727DE0">
        <w:rPr>
          <w:rFonts w:cstheme="minorHAnsi"/>
        </w:rPr>
        <w:t> (</w:t>
      </w:r>
      <w:r w:rsidRPr="00727DE0">
        <w:rPr>
          <w:rStyle w:val="pubyear"/>
          <w:rFonts w:cstheme="minorHAnsi"/>
          <w:color w:val="1C1D1E"/>
        </w:rPr>
        <w:t>1998</w:t>
      </w:r>
      <w:r w:rsidRPr="00727DE0">
        <w:rPr>
          <w:rFonts w:cstheme="minorHAnsi"/>
        </w:rPr>
        <w:t>). </w:t>
      </w:r>
      <w:r w:rsidRPr="00727DE0">
        <w:rPr>
          <w:rStyle w:val="articletitle"/>
          <w:rFonts w:cstheme="minorHAnsi"/>
          <w:color w:val="1C1D1E"/>
        </w:rPr>
        <w:t>Hydraulic lift: consequences of water efflux from the roots of plants</w:t>
      </w:r>
      <w:r w:rsidRPr="00727DE0">
        <w:rPr>
          <w:rFonts w:cstheme="minorHAnsi"/>
        </w:rPr>
        <w:t>. </w:t>
      </w:r>
      <w:r w:rsidRPr="00727DE0">
        <w:rPr>
          <w:rFonts w:cstheme="minorHAnsi"/>
          <w:i/>
          <w:iCs/>
        </w:rPr>
        <w:t>Oecologia</w:t>
      </w:r>
      <w:r w:rsidRPr="00727DE0">
        <w:rPr>
          <w:rFonts w:cstheme="minorHAnsi"/>
        </w:rPr>
        <w:t>, </w:t>
      </w:r>
      <w:r w:rsidRPr="00727DE0">
        <w:rPr>
          <w:rStyle w:val="vol"/>
          <w:rFonts w:cstheme="minorHAnsi"/>
          <w:b/>
          <w:bCs/>
          <w:color w:val="1C1D1E"/>
        </w:rPr>
        <w:t>113</w:t>
      </w:r>
      <w:r w:rsidRPr="00727DE0">
        <w:rPr>
          <w:rFonts w:cstheme="minorHAnsi"/>
        </w:rPr>
        <w:t>, </w:t>
      </w:r>
      <w:r w:rsidRPr="00727DE0">
        <w:rPr>
          <w:rStyle w:val="pagefirst"/>
          <w:rFonts w:cstheme="minorHAnsi"/>
          <w:color w:val="1C1D1E"/>
        </w:rPr>
        <w:t>151</w:t>
      </w:r>
      <w:r w:rsidRPr="00727DE0">
        <w:rPr>
          <w:rFonts w:cstheme="minorHAnsi"/>
        </w:rPr>
        <w:t>– </w:t>
      </w:r>
      <w:r w:rsidRPr="00727DE0">
        <w:rPr>
          <w:rStyle w:val="pagelast"/>
          <w:rFonts w:cstheme="minorHAnsi"/>
          <w:color w:val="1C1D1E"/>
        </w:rPr>
        <w:t>161</w:t>
      </w:r>
      <w:r w:rsidRPr="00727DE0">
        <w:rPr>
          <w:rFonts w:cstheme="minorHAnsi"/>
        </w:rPr>
        <w:t>.</w:t>
      </w:r>
    </w:p>
    <w:p w14:paraId="5147BFDE" w14:textId="77777777" w:rsidR="00BA109F" w:rsidRPr="00727DE0" w:rsidRDefault="00BA109F" w:rsidP="0063098F">
      <w:pPr>
        <w:spacing w:after="0"/>
        <w:ind w:left="720" w:hanging="720"/>
        <w:rPr>
          <w:rFonts w:cstheme="minorHAnsi"/>
        </w:rPr>
      </w:pPr>
      <w:r w:rsidRPr="00727DE0">
        <w:rPr>
          <w:rStyle w:val="author"/>
          <w:rFonts w:cstheme="minorHAnsi"/>
          <w:color w:val="1C1D1E"/>
        </w:rPr>
        <w:t>Callaway, R.</w:t>
      </w:r>
      <w:r w:rsidRPr="00727DE0">
        <w:rPr>
          <w:rFonts w:cstheme="minorHAnsi"/>
        </w:rPr>
        <w:t> (</w:t>
      </w:r>
      <w:r w:rsidRPr="00727DE0">
        <w:rPr>
          <w:rStyle w:val="pubyear"/>
          <w:rFonts w:cstheme="minorHAnsi"/>
          <w:color w:val="1C1D1E"/>
        </w:rPr>
        <w:t>1995</w:t>
      </w:r>
      <w:r w:rsidRPr="00727DE0">
        <w:rPr>
          <w:rFonts w:cstheme="minorHAnsi"/>
        </w:rPr>
        <w:t>). </w:t>
      </w:r>
      <w:r w:rsidRPr="00727DE0">
        <w:rPr>
          <w:rStyle w:val="articletitle"/>
          <w:rFonts w:cstheme="minorHAnsi"/>
          <w:color w:val="1C1D1E"/>
        </w:rPr>
        <w:t>Positive interactions among plants</w:t>
      </w:r>
      <w:r w:rsidRPr="00727DE0">
        <w:rPr>
          <w:rFonts w:cstheme="minorHAnsi"/>
        </w:rPr>
        <w:t>. </w:t>
      </w:r>
      <w:r w:rsidRPr="00727DE0">
        <w:rPr>
          <w:rFonts w:cstheme="minorHAnsi"/>
          <w:i/>
          <w:iCs/>
        </w:rPr>
        <w:t>Bot. Rev.</w:t>
      </w:r>
      <w:r w:rsidRPr="00727DE0">
        <w:rPr>
          <w:rFonts w:cstheme="minorHAnsi"/>
        </w:rPr>
        <w:t>, </w:t>
      </w:r>
      <w:r w:rsidRPr="00727DE0">
        <w:rPr>
          <w:rStyle w:val="vol"/>
          <w:rFonts w:cstheme="minorHAnsi"/>
          <w:b/>
          <w:bCs/>
          <w:color w:val="1C1D1E"/>
        </w:rPr>
        <w:t>61</w:t>
      </w:r>
      <w:r w:rsidRPr="00727DE0">
        <w:rPr>
          <w:rFonts w:cstheme="minorHAnsi"/>
        </w:rPr>
        <w:t>, </w:t>
      </w:r>
      <w:r w:rsidRPr="00727DE0">
        <w:rPr>
          <w:rStyle w:val="pagefirst"/>
          <w:rFonts w:cstheme="minorHAnsi"/>
          <w:color w:val="1C1D1E"/>
        </w:rPr>
        <w:t>306</w:t>
      </w:r>
      <w:r w:rsidRPr="00727DE0">
        <w:rPr>
          <w:rFonts w:cstheme="minorHAnsi"/>
        </w:rPr>
        <w:t>– </w:t>
      </w:r>
      <w:r w:rsidRPr="00727DE0">
        <w:rPr>
          <w:rStyle w:val="pagelast"/>
          <w:rFonts w:cstheme="minorHAnsi"/>
          <w:color w:val="1C1D1E"/>
        </w:rPr>
        <w:t>349</w:t>
      </w:r>
      <w:r w:rsidRPr="00727DE0">
        <w:rPr>
          <w:rFonts w:cstheme="minorHAnsi"/>
        </w:rPr>
        <w:t>.</w:t>
      </w:r>
    </w:p>
    <w:p w14:paraId="1D283009" w14:textId="77777777" w:rsidR="00BA109F" w:rsidRPr="00727DE0" w:rsidRDefault="00BA109F" w:rsidP="0063098F">
      <w:pPr>
        <w:spacing w:after="0"/>
        <w:ind w:left="720" w:hanging="720"/>
        <w:rPr>
          <w:rFonts w:cstheme="minorHAnsi"/>
        </w:rPr>
      </w:pPr>
      <w:r w:rsidRPr="00727DE0">
        <w:rPr>
          <w:rStyle w:val="author"/>
          <w:rFonts w:cstheme="minorHAnsi"/>
          <w:color w:val="1C1D1E"/>
        </w:rPr>
        <w:t>Callaway, R.M.</w:t>
      </w:r>
      <w:r w:rsidRPr="00727DE0">
        <w:rPr>
          <w:rFonts w:cstheme="minorHAnsi"/>
        </w:rPr>
        <w:t> &amp; </w:t>
      </w:r>
      <w:r w:rsidRPr="00727DE0">
        <w:rPr>
          <w:rStyle w:val="author"/>
          <w:rFonts w:cstheme="minorHAnsi"/>
          <w:color w:val="1C1D1E"/>
        </w:rPr>
        <w:t>Walker, L.R.</w:t>
      </w:r>
      <w:r w:rsidRPr="00727DE0">
        <w:rPr>
          <w:rFonts w:cstheme="minorHAnsi"/>
        </w:rPr>
        <w:t> (</w:t>
      </w:r>
      <w:r w:rsidRPr="00727DE0">
        <w:rPr>
          <w:rStyle w:val="pubyear"/>
          <w:rFonts w:cstheme="minorHAnsi"/>
          <w:color w:val="1C1D1E"/>
        </w:rPr>
        <w:t>1997</w:t>
      </w:r>
      <w:r w:rsidRPr="00727DE0">
        <w:rPr>
          <w:rFonts w:cstheme="minorHAnsi"/>
        </w:rPr>
        <w:t>). </w:t>
      </w:r>
      <w:r w:rsidRPr="00727DE0">
        <w:rPr>
          <w:rStyle w:val="articletitle"/>
          <w:rFonts w:cstheme="minorHAnsi"/>
          <w:color w:val="1C1D1E"/>
        </w:rPr>
        <w:t>Competition and facilitation: a synthetic approach to interactions in plant communities</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78</w:t>
      </w:r>
      <w:r w:rsidRPr="00727DE0">
        <w:rPr>
          <w:rFonts w:cstheme="minorHAnsi"/>
        </w:rPr>
        <w:t>, </w:t>
      </w:r>
      <w:r w:rsidRPr="00727DE0">
        <w:rPr>
          <w:rStyle w:val="pagefirst"/>
          <w:rFonts w:cstheme="minorHAnsi"/>
          <w:color w:val="1C1D1E"/>
        </w:rPr>
        <w:t>1958</w:t>
      </w:r>
      <w:r w:rsidRPr="00727DE0">
        <w:rPr>
          <w:rFonts w:cstheme="minorHAnsi"/>
        </w:rPr>
        <w:t>– </w:t>
      </w:r>
      <w:r w:rsidRPr="00727DE0">
        <w:rPr>
          <w:rStyle w:val="pagelast"/>
          <w:rFonts w:cstheme="minorHAnsi"/>
          <w:color w:val="1C1D1E"/>
        </w:rPr>
        <w:t>1965</w:t>
      </w:r>
      <w:r w:rsidRPr="00727DE0">
        <w:rPr>
          <w:rFonts w:cstheme="minorHAnsi"/>
        </w:rPr>
        <w:t>.</w:t>
      </w:r>
    </w:p>
    <w:p w14:paraId="64A201B6" w14:textId="77777777" w:rsidR="00BA109F" w:rsidRPr="00727DE0" w:rsidRDefault="00BA109F" w:rsidP="0063098F">
      <w:pPr>
        <w:spacing w:after="0"/>
        <w:ind w:left="720" w:hanging="720"/>
        <w:rPr>
          <w:rFonts w:cstheme="minorHAnsi"/>
        </w:rPr>
      </w:pPr>
      <w:r w:rsidRPr="00727DE0">
        <w:rPr>
          <w:rStyle w:val="author"/>
          <w:rFonts w:cstheme="minorHAnsi"/>
          <w:color w:val="1C1D1E"/>
        </w:rPr>
        <w:t>Callaway, R.M.</w:t>
      </w:r>
      <w:r w:rsidRPr="00727DE0">
        <w:rPr>
          <w:rFonts w:cstheme="minorHAnsi"/>
        </w:rPr>
        <w:t>, </w:t>
      </w:r>
      <w:r w:rsidRPr="00727DE0">
        <w:rPr>
          <w:rStyle w:val="author"/>
          <w:rFonts w:cstheme="minorHAnsi"/>
          <w:color w:val="1C1D1E"/>
        </w:rPr>
        <w:t>Nadkarni, N.M.</w:t>
      </w:r>
      <w:r w:rsidRPr="00727DE0">
        <w:rPr>
          <w:rFonts w:cstheme="minorHAnsi"/>
        </w:rPr>
        <w:t> &amp; </w:t>
      </w:r>
      <w:r w:rsidRPr="00727DE0">
        <w:rPr>
          <w:rStyle w:val="author"/>
          <w:rFonts w:cstheme="minorHAnsi"/>
          <w:color w:val="1C1D1E"/>
        </w:rPr>
        <w:t>Mahall, B.E.</w:t>
      </w:r>
      <w:r w:rsidRPr="00727DE0">
        <w:rPr>
          <w:rFonts w:cstheme="minorHAnsi"/>
        </w:rPr>
        <w:t> (</w:t>
      </w:r>
      <w:r w:rsidRPr="00727DE0">
        <w:rPr>
          <w:rStyle w:val="pubyear"/>
          <w:rFonts w:cstheme="minorHAnsi"/>
          <w:color w:val="1C1D1E"/>
        </w:rPr>
        <w:t>1991</w:t>
      </w:r>
      <w:r w:rsidRPr="00727DE0">
        <w:rPr>
          <w:rFonts w:cstheme="minorHAnsi"/>
        </w:rPr>
        <w:t>). </w:t>
      </w:r>
      <w:r w:rsidRPr="00727DE0">
        <w:rPr>
          <w:rStyle w:val="articletitle"/>
          <w:rFonts w:cstheme="minorHAnsi"/>
          <w:color w:val="1C1D1E"/>
        </w:rPr>
        <w:t>Facilitation and interference of </w:t>
      </w:r>
      <w:r w:rsidRPr="00727DE0">
        <w:rPr>
          <w:rStyle w:val="articletitle"/>
          <w:rFonts w:cstheme="minorHAnsi"/>
          <w:i/>
          <w:iCs/>
          <w:color w:val="1C1D1E"/>
        </w:rPr>
        <w:t>Quercus douglasii</w:t>
      </w:r>
      <w:r w:rsidRPr="00727DE0">
        <w:rPr>
          <w:rStyle w:val="articletitle"/>
          <w:rFonts w:cstheme="minorHAnsi"/>
          <w:color w:val="1C1D1E"/>
        </w:rPr>
        <w:t> on understory productivity in central California</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72</w:t>
      </w:r>
      <w:r w:rsidRPr="00727DE0">
        <w:rPr>
          <w:rFonts w:cstheme="minorHAnsi"/>
        </w:rPr>
        <w:t>, </w:t>
      </w:r>
      <w:r w:rsidRPr="00727DE0">
        <w:rPr>
          <w:rStyle w:val="pagefirst"/>
          <w:rFonts w:cstheme="minorHAnsi"/>
          <w:color w:val="1C1D1E"/>
        </w:rPr>
        <w:t>1484</w:t>
      </w:r>
      <w:r w:rsidRPr="00727DE0">
        <w:rPr>
          <w:rFonts w:cstheme="minorHAnsi"/>
        </w:rPr>
        <w:t>– </w:t>
      </w:r>
      <w:r w:rsidRPr="00727DE0">
        <w:rPr>
          <w:rStyle w:val="pagelast"/>
          <w:rFonts w:cstheme="minorHAnsi"/>
          <w:color w:val="1C1D1E"/>
        </w:rPr>
        <w:t>1499</w:t>
      </w:r>
      <w:r w:rsidRPr="00727DE0">
        <w:rPr>
          <w:rFonts w:cstheme="minorHAnsi"/>
        </w:rPr>
        <w:t>.</w:t>
      </w:r>
    </w:p>
    <w:p w14:paraId="4F399C08" w14:textId="77777777" w:rsidR="00BA109F" w:rsidRPr="00727DE0" w:rsidRDefault="00BA109F" w:rsidP="0063098F">
      <w:pPr>
        <w:spacing w:after="0"/>
        <w:ind w:left="720" w:hanging="720"/>
        <w:rPr>
          <w:rFonts w:cstheme="minorHAnsi"/>
        </w:rPr>
      </w:pPr>
      <w:r w:rsidRPr="00727DE0">
        <w:rPr>
          <w:rStyle w:val="author"/>
          <w:rFonts w:cstheme="minorHAnsi"/>
          <w:color w:val="1C1D1E"/>
        </w:rPr>
        <w:lastRenderedPageBreak/>
        <w:t>Callaway, R.M.</w:t>
      </w:r>
      <w:r w:rsidRPr="00727DE0">
        <w:rPr>
          <w:rFonts w:cstheme="minorHAnsi"/>
        </w:rPr>
        <w:t>, </w:t>
      </w:r>
      <w:r w:rsidRPr="00727DE0">
        <w:rPr>
          <w:rStyle w:val="author"/>
          <w:rFonts w:cstheme="minorHAnsi"/>
          <w:color w:val="1C1D1E"/>
        </w:rPr>
        <w:t>Brooker, R.W.</w:t>
      </w:r>
      <w:r w:rsidRPr="00727DE0">
        <w:rPr>
          <w:rFonts w:cstheme="minorHAnsi"/>
        </w:rPr>
        <w:t>, </w:t>
      </w:r>
      <w:r w:rsidRPr="00727DE0">
        <w:rPr>
          <w:rStyle w:val="author"/>
          <w:rFonts w:cstheme="minorHAnsi"/>
          <w:color w:val="1C1D1E"/>
        </w:rPr>
        <w:t>Choler, P.</w:t>
      </w:r>
      <w:r w:rsidRPr="00727DE0">
        <w:rPr>
          <w:rFonts w:cstheme="minorHAnsi"/>
        </w:rPr>
        <w:t>, </w:t>
      </w:r>
      <w:r w:rsidRPr="00727DE0">
        <w:rPr>
          <w:rStyle w:val="author"/>
          <w:rFonts w:cstheme="minorHAnsi"/>
          <w:color w:val="1C1D1E"/>
        </w:rPr>
        <w:t>Kikvidze, Z.</w:t>
      </w:r>
      <w:r w:rsidRPr="00727DE0">
        <w:rPr>
          <w:rFonts w:cstheme="minorHAnsi"/>
        </w:rPr>
        <w:t>, </w:t>
      </w:r>
      <w:r w:rsidRPr="00727DE0">
        <w:rPr>
          <w:rStyle w:val="author"/>
          <w:rFonts w:cstheme="minorHAnsi"/>
          <w:color w:val="1C1D1E"/>
        </w:rPr>
        <w:t>Lortie, C.J.</w:t>
      </w:r>
      <w:r w:rsidRPr="00727DE0">
        <w:rPr>
          <w:rFonts w:cstheme="minorHAnsi"/>
        </w:rPr>
        <w:t>, </w:t>
      </w:r>
      <w:r w:rsidRPr="00727DE0">
        <w:rPr>
          <w:rStyle w:val="author"/>
          <w:rFonts w:cstheme="minorHAnsi"/>
          <w:color w:val="1C1D1E"/>
        </w:rPr>
        <w:t>Michalet, R.</w:t>
      </w:r>
      <w:r w:rsidRPr="00727DE0">
        <w:rPr>
          <w:rFonts w:cstheme="minorHAnsi"/>
        </w:rPr>
        <w:t> </w:t>
      </w:r>
      <w:r w:rsidRPr="00727DE0">
        <w:rPr>
          <w:rFonts w:cstheme="minorHAnsi"/>
          <w:i/>
          <w:iCs/>
        </w:rPr>
        <w:t>et al.</w:t>
      </w:r>
      <w:r w:rsidRPr="00727DE0">
        <w:rPr>
          <w:rFonts w:cstheme="minorHAnsi"/>
        </w:rPr>
        <w:t> (</w:t>
      </w:r>
      <w:r w:rsidRPr="00727DE0">
        <w:rPr>
          <w:rStyle w:val="pubyear"/>
          <w:rFonts w:cstheme="minorHAnsi"/>
          <w:color w:val="1C1D1E"/>
        </w:rPr>
        <w:t>2002</w:t>
      </w:r>
      <w:r w:rsidRPr="00727DE0">
        <w:rPr>
          <w:rFonts w:cstheme="minorHAnsi"/>
        </w:rPr>
        <w:t>). </w:t>
      </w:r>
      <w:r w:rsidRPr="00727DE0">
        <w:rPr>
          <w:rStyle w:val="articletitle"/>
          <w:rFonts w:cstheme="minorHAnsi"/>
          <w:color w:val="1C1D1E"/>
        </w:rPr>
        <w:t>Positive interactions among alpine plants increase with stress</w:t>
      </w:r>
      <w:r w:rsidRPr="00727DE0">
        <w:rPr>
          <w:rFonts w:cstheme="minorHAnsi"/>
        </w:rPr>
        <w:t>. </w:t>
      </w:r>
      <w:r w:rsidRPr="00727DE0">
        <w:rPr>
          <w:rFonts w:cstheme="minorHAnsi"/>
          <w:i/>
          <w:iCs/>
        </w:rPr>
        <w:t>Nature</w:t>
      </w:r>
      <w:r w:rsidRPr="00727DE0">
        <w:rPr>
          <w:rFonts w:cstheme="minorHAnsi"/>
        </w:rPr>
        <w:t>, </w:t>
      </w:r>
      <w:r w:rsidRPr="00727DE0">
        <w:rPr>
          <w:rStyle w:val="vol"/>
          <w:rFonts w:cstheme="minorHAnsi"/>
          <w:b/>
          <w:bCs/>
          <w:color w:val="1C1D1E"/>
        </w:rPr>
        <w:t>417</w:t>
      </w:r>
      <w:r w:rsidRPr="00727DE0">
        <w:rPr>
          <w:rFonts w:cstheme="minorHAnsi"/>
        </w:rPr>
        <w:t>, </w:t>
      </w:r>
      <w:r w:rsidRPr="00727DE0">
        <w:rPr>
          <w:rStyle w:val="pagefirst"/>
          <w:rFonts w:cstheme="minorHAnsi"/>
          <w:color w:val="1C1D1E"/>
        </w:rPr>
        <w:t>844</w:t>
      </w:r>
      <w:r w:rsidRPr="00727DE0">
        <w:rPr>
          <w:rFonts w:cstheme="minorHAnsi"/>
        </w:rPr>
        <w:t>– </w:t>
      </w:r>
      <w:r w:rsidRPr="00727DE0">
        <w:rPr>
          <w:rStyle w:val="pagelast"/>
          <w:rFonts w:cstheme="minorHAnsi"/>
          <w:color w:val="1C1D1E"/>
        </w:rPr>
        <w:t>848</w:t>
      </w:r>
      <w:r w:rsidRPr="00727DE0">
        <w:rPr>
          <w:rFonts w:cstheme="minorHAnsi"/>
        </w:rPr>
        <w:t>.</w:t>
      </w:r>
    </w:p>
    <w:p w14:paraId="25174D33" w14:textId="77777777" w:rsidR="00BA109F" w:rsidRPr="00727DE0" w:rsidRDefault="00BA109F" w:rsidP="0063098F">
      <w:pPr>
        <w:spacing w:after="0"/>
        <w:ind w:left="720" w:hanging="720"/>
        <w:rPr>
          <w:rFonts w:cstheme="minorHAnsi"/>
        </w:rPr>
      </w:pPr>
      <w:r w:rsidRPr="00727DE0">
        <w:rPr>
          <w:rStyle w:val="author"/>
          <w:rFonts w:cstheme="minorHAnsi"/>
          <w:color w:val="1C1D1E"/>
        </w:rPr>
        <w:t>Callaway, R.M.</w:t>
      </w:r>
      <w:r w:rsidRPr="00727DE0">
        <w:rPr>
          <w:rFonts w:cstheme="minorHAnsi"/>
        </w:rPr>
        <w:t>, </w:t>
      </w:r>
      <w:r w:rsidRPr="00727DE0">
        <w:rPr>
          <w:rStyle w:val="author"/>
          <w:rFonts w:cstheme="minorHAnsi"/>
          <w:color w:val="1C1D1E"/>
        </w:rPr>
        <w:t>Thelen, G.C.</w:t>
      </w:r>
      <w:r w:rsidRPr="00727DE0">
        <w:rPr>
          <w:rFonts w:cstheme="minorHAnsi"/>
        </w:rPr>
        <w:t>, </w:t>
      </w:r>
      <w:r w:rsidRPr="00727DE0">
        <w:rPr>
          <w:rStyle w:val="author"/>
          <w:rFonts w:cstheme="minorHAnsi"/>
          <w:color w:val="1C1D1E"/>
        </w:rPr>
        <w:t>Rodriguez, A.</w:t>
      </w:r>
      <w:r w:rsidRPr="00727DE0">
        <w:rPr>
          <w:rFonts w:cstheme="minorHAnsi"/>
        </w:rPr>
        <w:t> &amp; </w:t>
      </w:r>
      <w:r w:rsidRPr="00727DE0">
        <w:rPr>
          <w:rStyle w:val="author"/>
          <w:rFonts w:cstheme="minorHAnsi"/>
          <w:color w:val="1C1D1E"/>
        </w:rPr>
        <w:t>Holben, W.E.</w:t>
      </w:r>
      <w:r w:rsidRPr="00727DE0">
        <w:rPr>
          <w:rFonts w:cstheme="minorHAnsi"/>
        </w:rPr>
        <w:t> (</w:t>
      </w:r>
      <w:r w:rsidRPr="00727DE0">
        <w:rPr>
          <w:rStyle w:val="pubyear"/>
          <w:rFonts w:cstheme="minorHAnsi"/>
          <w:color w:val="1C1D1E"/>
        </w:rPr>
        <w:t>2004</w:t>
      </w:r>
      <w:r w:rsidRPr="00727DE0">
        <w:rPr>
          <w:rFonts w:cstheme="minorHAnsi"/>
        </w:rPr>
        <w:t>). </w:t>
      </w:r>
      <w:r w:rsidRPr="00727DE0">
        <w:rPr>
          <w:rStyle w:val="articletitle"/>
          <w:rFonts w:cstheme="minorHAnsi"/>
          <w:color w:val="1C1D1E"/>
        </w:rPr>
        <w:t>Soil biota and exotic plant invasion</w:t>
      </w:r>
      <w:r w:rsidRPr="00727DE0">
        <w:rPr>
          <w:rFonts w:cstheme="minorHAnsi"/>
        </w:rPr>
        <w:t>. </w:t>
      </w:r>
      <w:r w:rsidRPr="00727DE0">
        <w:rPr>
          <w:rFonts w:cstheme="minorHAnsi"/>
          <w:i/>
          <w:iCs/>
        </w:rPr>
        <w:t>Nature</w:t>
      </w:r>
      <w:r w:rsidRPr="00727DE0">
        <w:rPr>
          <w:rFonts w:cstheme="minorHAnsi"/>
        </w:rPr>
        <w:t>, </w:t>
      </w:r>
      <w:r w:rsidRPr="00727DE0">
        <w:rPr>
          <w:rStyle w:val="vol"/>
          <w:rFonts w:cstheme="minorHAnsi"/>
          <w:b/>
          <w:bCs/>
          <w:color w:val="1C1D1E"/>
        </w:rPr>
        <w:t>427</w:t>
      </w:r>
      <w:r w:rsidRPr="00727DE0">
        <w:rPr>
          <w:rFonts w:cstheme="minorHAnsi"/>
        </w:rPr>
        <w:t>, </w:t>
      </w:r>
      <w:r w:rsidRPr="00727DE0">
        <w:rPr>
          <w:rStyle w:val="pagefirst"/>
          <w:rFonts w:cstheme="minorHAnsi"/>
          <w:color w:val="1C1D1E"/>
        </w:rPr>
        <w:t>731</w:t>
      </w:r>
      <w:r w:rsidRPr="00727DE0">
        <w:rPr>
          <w:rFonts w:cstheme="minorHAnsi"/>
        </w:rPr>
        <w:t>– </w:t>
      </w:r>
      <w:r w:rsidRPr="00727DE0">
        <w:rPr>
          <w:rStyle w:val="pagelast"/>
          <w:rFonts w:cstheme="minorHAnsi"/>
          <w:color w:val="1C1D1E"/>
        </w:rPr>
        <w:t>733</w:t>
      </w:r>
      <w:r w:rsidRPr="00727DE0">
        <w:rPr>
          <w:rFonts w:cstheme="minorHAnsi"/>
        </w:rPr>
        <w:t>.</w:t>
      </w:r>
    </w:p>
    <w:p w14:paraId="3F1DC895" w14:textId="77777777" w:rsidR="00BA109F" w:rsidRPr="00727DE0" w:rsidRDefault="00BA109F" w:rsidP="0063098F">
      <w:pPr>
        <w:spacing w:after="0"/>
        <w:ind w:left="720" w:hanging="720"/>
        <w:rPr>
          <w:rFonts w:cstheme="minorHAnsi"/>
        </w:rPr>
      </w:pPr>
      <w:r w:rsidRPr="00727DE0">
        <w:rPr>
          <w:rStyle w:val="author"/>
          <w:rFonts w:cstheme="minorHAnsi"/>
          <w:color w:val="1C1D1E"/>
        </w:rPr>
        <w:t>Connell, J.H.</w:t>
      </w:r>
      <w:r w:rsidRPr="00727DE0">
        <w:rPr>
          <w:rFonts w:cstheme="minorHAnsi"/>
        </w:rPr>
        <w:t> &amp; </w:t>
      </w:r>
      <w:r w:rsidRPr="00727DE0">
        <w:rPr>
          <w:rStyle w:val="author"/>
          <w:rFonts w:cstheme="minorHAnsi"/>
          <w:color w:val="1C1D1E"/>
        </w:rPr>
        <w:t>Slatyer, R.O.</w:t>
      </w:r>
      <w:r w:rsidRPr="00727DE0">
        <w:rPr>
          <w:rFonts w:cstheme="minorHAnsi"/>
        </w:rPr>
        <w:t> (</w:t>
      </w:r>
      <w:r w:rsidRPr="00727DE0">
        <w:rPr>
          <w:rStyle w:val="pubyear"/>
          <w:rFonts w:cstheme="minorHAnsi"/>
          <w:color w:val="1C1D1E"/>
        </w:rPr>
        <w:t>1977</w:t>
      </w:r>
      <w:r w:rsidRPr="00727DE0">
        <w:rPr>
          <w:rFonts w:cstheme="minorHAnsi"/>
        </w:rPr>
        <w:t>). </w:t>
      </w:r>
      <w:r w:rsidRPr="00727DE0">
        <w:rPr>
          <w:rStyle w:val="articletitle"/>
          <w:rFonts w:cstheme="minorHAnsi"/>
          <w:color w:val="1C1D1E"/>
        </w:rPr>
        <w:t>Mechanisms of succession in natural communities and their role in community stability and organization</w:t>
      </w:r>
      <w:r w:rsidRPr="00727DE0">
        <w:rPr>
          <w:rFonts w:cstheme="minorHAnsi"/>
        </w:rPr>
        <w:t>. </w:t>
      </w:r>
      <w:r w:rsidRPr="00727DE0">
        <w:rPr>
          <w:rFonts w:cstheme="minorHAnsi"/>
          <w:i/>
          <w:iCs/>
        </w:rPr>
        <w:t>Am. Nat.</w:t>
      </w:r>
      <w:r w:rsidRPr="00727DE0">
        <w:rPr>
          <w:rFonts w:cstheme="minorHAnsi"/>
        </w:rPr>
        <w:t>, </w:t>
      </w:r>
      <w:r w:rsidRPr="00727DE0">
        <w:rPr>
          <w:rStyle w:val="vol"/>
          <w:rFonts w:cstheme="minorHAnsi"/>
          <w:b/>
          <w:bCs/>
          <w:color w:val="1C1D1E"/>
        </w:rPr>
        <w:t>111</w:t>
      </w:r>
      <w:r w:rsidRPr="00727DE0">
        <w:rPr>
          <w:rFonts w:cstheme="minorHAnsi"/>
        </w:rPr>
        <w:t>, </w:t>
      </w:r>
      <w:r w:rsidRPr="00727DE0">
        <w:rPr>
          <w:rStyle w:val="pagefirst"/>
          <w:rFonts w:cstheme="minorHAnsi"/>
          <w:color w:val="1C1D1E"/>
        </w:rPr>
        <w:t>1119</w:t>
      </w:r>
      <w:r w:rsidRPr="00727DE0">
        <w:rPr>
          <w:rFonts w:cstheme="minorHAnsi"/>
        </w:rPr>
        <w:t>– </w:t>
      </w:r>
      <w:r w:rsidRPr="00727DE0">
        <w:rPr>
          <w:rStyle w:val="pagelast"/>
          <w:rFonts w:cstheme="minorHAnsi"/>
          <w:color w:val="1C1D1E"/>
        </w:rPr>
        <w:t>1144</w:t>
      </w:r>
      <w:r w:rsidRPr="00727DE0">
        <w:rPr>
          <w:rFonts w:cstheme="minorHAnsi"/>
        </w:rPr>
        <w:t>.</w:t>
      </w:r>
    </w:p>
    <w:p w14:paraId="74BC853A" w14:textId="77777777" w:rsidR="00BA109F" w:rsidRPr="00727DE0" w:rsidRDefault="00BA109F" w:rsidP="0063098F">
      <w:pPr>
        <w:spacing w:after="0"/>
        <w:ind w:left="720" w:hanging="720"/>
        <w:rPr>
          <w:rFonts w:cstheme="minorHAnsi"/>
        </w:rPr>
      </w:pPr>
      <w:r w:rsidRPr="00727DE0">
        <w:rPr>
          <w:rStyle w:val="author"/>
          <w:rFonts w:cstheme="minorHAnsi"/>
          <w:color w:val="1C1D1E"/>
        </w:rPr>
        <w:t>Danner, B.T.</w:t>
      </w:r>
      <w:r w:rsidRPr="00727DE0">
        <w:rPr>
          <w:rFonts w:cstheme="minorHAnsi"/>
        </w:rPr>
        <w:t>, </w:t>
      </w:r>
      <w:r w:rsidRPr="00727DE0">
        <w:rPr>
          <w:rStyle w:val="author"/>
          <w:rFonts w:cstheme="minorHAnsi"/>
          <w:color w:val="1C1D1E"/>
        </w:rPr>
        <w:t>Knapp, A.K.</w:t>
      </w:r>
      <w:r w:rsidRPr="00727DE0">
        <w:rPr>
          <w:rFonts w:cstheme="minorHAnsi"/>
        </w:rPr>
        <w:t> (</w:t>
      </w:r>
      <w:r w:rsidRPr="00727DE0">
        <w:rPr>
          <w:rStyle w:val="pubyear"/>
          <w:rFonts w:cstheme="minorHAnsi"/>
          <w:color w:val="1C1D1E"/>
        </w:rPr>
        <w:t>2003</w:t>
      </w:r>
      <w:r w:rsidRPr="00727DE0">
        <w:rPr>
          <w:rFonts w:cstheme="minorHAnsi"/>
        </w:rPr>
        <w:t>). </w:t>
      </w:r>
      <w:r w:rsidRPr="00727DE0">
        <w:rPr>
          <w:rStyle w:val="articletitle"/>
          <w:rFonts w:cstheme="minorHAnsi"/>
          <w:color w:val="1C1D1E"/>
        </w:rPr>
        <w:t>Abiotic constraints on the establishment of Quercus seedlings in grasslands</w:t>
      </w:r>
      <w:r w:rsidRPr="00727DE0">
        <w:rPr>
          <w:rFonts w:cstheme="minorHAnsi"/>
        </w:rPr>
        <w:t>. </w:t>
      </w:r>
      <w:r w:rsidRPr="00727DE0">
        <w:rPr>
          <w:rFonts w:cstheme="minorHAnsi"/>
          <w:i/>
          <w:iCs/>
        </w:rPr>
        <w:t>Glob. Change Biol.</w:t>
      </w:r>
      <w:r w:rsidRPr="00727DE0">
        <w:rPr>
          <w:rFonts w:cstheme="minorHAnsi"/>
        </w:rPr>
        <w:t>, </w:t>
      </w:r>
      <w:r w:rsidRPr="00727DE0">
        <w:rPr>
          <w:rStyle w:val="vol"/>
          <w:rFonts w:cstheme="minorHAnsi"/>
          <w:b/>
          <w:bCs/>
          <w:color w:val="1C1D1E"/>
        </w:rPr>
        <w:t>9</w:t>
      </w:r>
      <w:r w:rsidRPr="00727DE0">
        <w:rPr>
          <w:rFonts w:cstheme="minorHAnsi"/>
        </w:rPr>
        <w:t>, </w:t>
      </w:r>
      <w:r w:rsidRPr="00727DE0">
        <w:rPr>
          <w:rStyle w:val="pagefirst"/>
          <w:rFonts w:cstheme="minorHAnsi"/>
          <w:color w:val="1C1D1E"/>
        </w:rPr>
        <w:t>266</w:t>
      </w:r>
      <w:r w:rsidRPr="00727DE0">
        <w:rPr>
          <w:rFonts w:cstheme="minorHAnsi"/>
        </w:rPr>
        <w:t>– </w:t>
      </w:r>
      <w:r w:rsidRPr="00727DE0">
        <w:rPr>
          <w:rStyle w:val="pagelast"/>
          <w:rFonts w:cstheme="minorHAnsi"/>
          <w:color w:val="1C1D1E"/>
        </w:rPr>
        <w:t>275</w:t>
      </w:r>
      <w:r w:rsidRPr="00727DE0">
        <w:rPr>
          <w:rFonts w:cstheme="minorHAnsi"/>
        </w:rPr>
        <w:t>.</w:t>
      </w:r>
    </w:p>
    <w:p w14:paraId="38382E6C" w14:textId="77777777" w:rsidR="00BA109F" w:rsidRPr="00727DE0" w:rsidRDefault="00BA109F" w:rsidP="0063098F">
      <w:pPr>
        <w:spacing w:after="0"/>
        <w:ind w:left="720" w:hanging="720"/>
        <w:rPr>
          <w:rFonts w:cstheme="minorHAnsi"/>
        </w:rPr>
      </w:pPr>
      <w:r w:rsidRPr="00727DE0">
        <w:rPr>
          <w:rStyle w:val="author"/>
          <w:rFonts w:cstheme="minorHAnsi"/>
          <w:color w:val="1C1D1E"/>
        </w:rPr>
        <w:t>Davis, M.A.</w:t>
      </w:r>
      <w:r w:rsidRPr="00727DE0">
        <w:rPr>
          <w:rFonts w:cstheme="minorHAnsi"/>
        </w:rPr>
        <w:t>, </w:t>
      </w:r>
      <w:r w:rsidRPr="00727DE0">
        <w:rPr>
          <w:rStyle w:val="author"/>
          <w:rFonts w:cstheme="minorHAnsi"/>
          <w:color w:val="1C1D1E"/>
        </w:rPr>
        <w:t>Wrage, K.J.</w:t>
      </w:r>
      <w:r w:rsidRPr="00727DE0">
        <w:rPr>
          <w:rFonts w:cstheme="minorHAnsi"/>
        </w:rPr>
        <w:t>, </w:t>
      </w:r>
      <w:r w:rsidRPr="00727DE0">
        <w:rPr>
          <w:rStyle w:val="author"/>
          <w:rFonts w:cstheme="minorHAnsi"/>
          <w:color w:val="1C1D1E"/>
        </w:rPr>
        <w:t>Reich, P.B.</w:t>
      </w:r>
      <w:r w:rsidRPr="00727DE0">
        <w:rPr>
          <w:rFonts w:cstheme="minorHAnsi"/>
        </w:rPr>
        <w:t>, </w:t>
      </w:r>
      <w:r w:rsidRPr="00727DE0">
        <w:rPr>
          <w:rStyle w:val="author"/>
          <w:rFonts w:cstheme="minorHAnsi"/>
          <w:color w:val="1C1D1E"/>
        </w:rPr>
        <w:t>Tjoelker, M. G.</w:t>
      </w:r>
      <w:r w:rsidRPr="00727DE0">
        <w:rPr>
          <w:rFonts w:cstheme="minorHAnsi"/>
        </w:rPr>
        <w:t>, </w:t>
      </w:r>
      <w:r w:rsidRPr="00727DE0">
        <w:rPr>
          <w:rStyle w:val="author"/>
          <w:rFonts w:cstheme="minorHAnsi"/>
          <w:color w:val="1C1D1E"/>
        </w:rPr>
        <w:t>Schaeffer, T.</w:t>
      </w:r>
      <w:r w:rsidRPr="00727DE0">
        <w:rPr>
          <w:rFonts w:cstheme="minorHAnsi"/>
        </w:rPr>
        <w:t> &amp; </w:t>
      </w:r>
      <w:r w:rsidRPr="00727DE0">
        <w:rPr>
          <w:rStyle w:val="author"/>
          <w:rFonts w:cstheme="minorHAnsi"/>
          <w:color w:val="1C1D1E"/>
        </w:rPr>
        <w:t>Muermann, C.</w:t>
      </w:r>
      <w:r w:rsidRPr="00727DE0">
        <w:rPr>
          <w:rFonts w:cstheme="minorHAnsi"/>
        </w:rPr>
        <w:t> (</w:t>
      </w:r>
      <w:r w:rsidRPr="00727DE0">
        <w:rPr>
          <w:rStyle w:val="pubyear"/>
          <w:rFonts w:cstheme="minorHAnsi"/>
          <w:color w:val="1C1D1E"/>
        </w:rPr>
        <w:t>1999</w:t>
      </w:r>
      <w:r w:rsidRPr="00727DE0">
        <w:rPr>
          <w:rFonts w:cstheme="minorHAnsi"/>
        </w:rPr>
        <w:t>). </w:t>
      </w:r>
      <w:r w:rsidRPr="00727DE0">
        <w:rPr>
          <w:rStyle w:val="articletitle"/>
          <w:rFonts w:cstheme="minorHAnsi"/>
          <w:color w:val="1C1D1E"/>
        </w:rPr>
        <w:t>Survival, growth, and photosynthesis of tree seedlings competing with herbaceous vegetation along a water‐light‐nitrogen gradient</w:t>
      </w:r>
      <w:r w:rsidRPr="00727DE0">
        <w:rPr>
          <w:rFonts w:cstheme="minorHAnsi"/>
        </w:rPr>
        <w:t>. </w:t>
      </w:r>
      <w:r w:rsidRPr="00727DE0">
        <w:rPr>
          <w:rFonts w:cstheme="minorHAnsi"/>
          <w:i/>
          <w:iCs/>
        </w:rPr>
        <w:t>Plant Ecol.</w:t>
      </w:r>
      <w:r w:rsidRPr="00727DE0">
        <w:rPr>
          <w:rFonts w:cstheme="minorHAnsi"/>
        </w:rPr>
        <w:t>, </w:t>
      </w:r>
      <w:r w:rsidRPr="00727DE0">
        <w:rPr>
          <w:rStyle w:val="vol"/>
          <w:rFonts w:cstheme="minorHAnsi"/>
          <w:b/>
          <w:bCs/>
          <w:color w:val="1C1D1E"/>
        </w:rPr>
        <w:t>145</w:t>
      </w:r>
      <w:r w:rsidRPr="00727DE0">
        <w:rPr>
          <w:rFonts w:cstheme="minorHAnsi"/>
        </w:rPr>
        <w:t>, </w:t>
      </w:r>
      <w:r w:rsidRPr="00727DE0">
        <w:rPr>
          <w:rStyle w:val="pagefirst"/>
          <w:rFonts w:cstheme="minorHAnsi"/>
          <w:color w:val="1C1D1E"/>
        </w:rPr>
        <w:t>341</w:t>
      </w:r>
      <w:r w:rsidRPr="00727DE0">
        <w:rPr>
          <w:rFonts w:cstheme="minorHAnsi"/>
        </w:rPr>
        <w:t>– </w:t>
      </w:r>
      <w:r w:rsidRPr="00727DE0">
        <w:rPr>
          <w:rStyle w:val="pagelast"/>
          <w:rFonts w:cstheme="minorHAnsi"/>
          <w:color w:val="1C1D1E"/>
        </w:rPr>
        <w:t>350</w:t>
      </w:r>
      <w:r w:rsidRPr="00727DE0">
        <w:rPr>
          <w:rFonts w:cstheme="minorHAnsi"/>
        </w:rPr>
        <w:t>.</w:t>
      </w:r>
    </w:p>
    <w:p w14:paraId="34A50655" w14:textId="77777777" w:rsidR="00BA109F" w:rsidRPr="00727DE0" w:rsidRDefault="00BA109F" w:rsidP="0063098F">
      <w:pPr>
        <w:spacing w:after="0"/>
        <w:ind w:left="720" w:hanging="720"/>
        <w:rPr>
          <w:rFonts w:cstheme="minorHAnsi"/>
        </w:rPr>
      </w:pPr>
      <w:r w:rsidRPr="00727DE0">
        <w:rPr>
          <w:rStyle w:val="author"/>
          <w:rFonts w:cstheme="minorHAnsi"/>
          <w:color w:val="1C1D1E"/>
        </w:rPr>
        <w:t>Dickie, I.A.</w:t>
      </w:r>
      <w:r w:rsidRPr="00727DE0">
        <w:rPr>
          <w:rFonts w:cstheme="minorHAnsi"/>
        </w:rPr>
        <w:t> &amp; </w:t>
      </w:r>
      <w:r w:rsidRPr="00727DE0">
        <w:rPr>
          <w:rStyle w:val="author"/>
          <w:rFonts w:cstheme="minorHAnsi"/>
          <w:color w:val="1C1D1E"/>
        </w:rPr>
        <w:t>Reich, P.B.</w:t>
      </w:r>
      <w:r w:rsidRPr="00727DE0">
        <w:rPr>
          <w:rFonts w:cstheme="minorHAnsi"/>
        </w:rPr>
        <w:t> (</w:t>
      </w:r>
      <w:r w:rsidRPr="00727DE0">
        <w:rPr>
          <w:rStyle w:val="pubyear"/>
          <w:rFonts w:cstheme="minorHAnsi"/>
          <w:color w:val="1C1D1E"/>
        </w:rPr>
        <w:t>2005</w:t>
      </w:r>
      <w:r w:rsidRPr="00727DE0">
        <w:rPr>
          <w:rFonts w:cstheme="minorHAnsi"/>
        </w:rPr>
        <w:t>). </w:t>
      </w:r>
      <w:r w:rsidRPr="00727DE0">
        <w:rPr>
          <w:rStyle w:val="articletitle"/>
          <w:rFonts w:cstheme="minorHAnsi"/>
          <w:color w:val="1C1D1E"/>
        </w:rPr>
        <w:t>Ectomycorrhizal fungal communities at forest edges</w:t>
      </w:r>
      <w:r w:rsidRPr="00727DE0">
        <w:rPr>
          <w:rFonts w:cstheme="minorHAnsi"/>
        </w:rPr>
        <w:t>. </w:t>
      </w:r>
      <w:r w:rsidRPr="00727DE0">
        <w:rPr>
          <w:rFonts w:cstheme="minorHAnsi"/>
          <w:i/>
          <w:iCs/>
        </w:rPr>
        <w:t>J. Ecol.</w:t>
      </w:r>
      <w:r w:rsidRPr="00727DE0">
        <w:rPr>
          <w:rFonts w:cstheme="minorHAnsi"/>
        </w:rPr>
        <w:t>, </w:t>
      </w:r>
      <w:r w:rsidRPr="00727DE0">
        <w:rPr>
          <w:rStyle w:val="vol"/>
          <w:rFonts w:cstheme="minorHAnsi"/>
          <w:b/>
          <w:bCs/>
          <w:color w:val="1C1D1E"/>
        </w:rPr>
        <w:t>93</w:t>
      </w:r>
      <w:r w:rsidRPr="00727DE0">
        <w:rPr>
          <w:rFonts w:cstheme="minorHAnsi"/>
        </w:rPr>
        <w:t>, </w:t>
      </w:r>
      <w:r w:rsidRPr="00727DE0">
        <w:rPr>
          <w:rStyle w:val="pagefirst"/>
          <w:rFonts w:cstheme="minorHAnsi"/>
          <w:color w:val="1C1D1E"/>
        </w:rPr>
        <w:t>244</w:t>
      </w:r>
      <w:r w:rsidRPr="00727DE0">
        <w:rPr>
          <w:rFonts w:cstheme="minorHAnsi"/>
        </w:rPr>
        <w:t>– </w:t>
      </w:r>
      <w:r w:rsidRPr="00727DE0">
        <w:rPr>
          <w:rStyle w:val="pagelast"/>
          <w:rFonts w:cstheme="minorHAnsi"/>
          <w:color w:val="1C1D1E"/>
        </w:rPr>
        <w:t>255</w:t>
      </w:r>
      <w:r w:rsidRPr="00727DE0">
        <w:rPr>
          <w:rFonts w:cstheme="minorHAnsi"/>
        </w:rPr>
        <w:t>.</w:t>
      </w:r>
    </w:p>
    <w:p w14:paraId="648F5A53" w14:textId="77777777" w:rsidR="00BA109F" w:rsidRPr="00727DE0" w:rsidRDefault="00BA109F" w:rsidP="0063098F">
      <w:pPr>
        <w:spacing w:after="0"/>
        <w:ind w:left="720" w:hanging="720"/>
        <w:rPr>
          <w:rFonts w:cstheme="minorHAnsi"/>
        </w:rPr>
      </w:pPr>
      <w:r w:rsidRPr="00727DE0">
        <w:rPr>
          <w:rStyle w:val="author"/>
          <w:rFonts w:cstheme="minorHAnsi"/>
          <w:color w:val="1C1D1E"/>
        </w:rPr>
        <w:t>Dickie, I.A.</w:t>
      </w:r>
      <w:r w:rsidRPr="00727DE0">
        <w:rPr>
          <w:rFonts w:cstheme="minorHAnsi"/>
        </w:rPr>
        <w:t>, </w:t>
      </w:r>
      <w:r w:rsidRPr="00727DE0">
        <w:rPr>
          <w:rStyle w:val="author"/>
          <w:rFonts w:cstheme="minorHAnsi"/>
          <w:color w:val="1C1D1E"/>
        </w:rPr>
        <w:t>Koide, R.T.</w:t>
      </w:r>
      <w:r w:rsidRPr="00727DE0">
        <w:rPr>
          <w:rFonts w:cstheme="minorHAnsi"/>
        </w:rPr>
        <w:t> &amp; </w:t>
      </w:r>
      <w:r w:rsidRPr="00727DE0">
        <w:rPr>
          <w:rStyle w:val="author"/>
          <w:rFonts w:cstheme="minorHAnsi"/>
          <w:color w:val="1C1D1E"/>
        </w:rPr>
        <w:t>Steiner, K.C.</w:t>
      </w:r>
      <w:r w:rsidRPr="00727DE0">
        <w:rPr>
          <w:rFonts w:cstheme="minorHAnsi"/>
        </w:rPr>
        <w:t> (</w:t>
      </w:r>
      <w:r w:rsidRPr="00727DE0">
        <w:rPr>
          <w:rStyle w:val="pubyear"/>
          <w:rFonts w:cstheme="minorHAnsi"/>
          <w:color w:val="1C1D1E"/>
        </w:rPr>
        <w:t>2002</w:t>
      </w:r>
      <w:r w:rsidRPr="00727DE0">
        <w:rPr>
          <w:rFonts w:cstheme="minorHAnsi"/>
        </w:rPr>
        <w:t>). </w:t>
      </w:r>
      <w:r w:rsidRPr="00727DE0">
        <w:rPr>
          <w:rStyle w:val="articletitle"/>
          <w:rFonts w:cstheme="minorHAnsi"/>
          <w:color w:val="1C1D1E"/>
        </w:rPr>
        <w:t>Influences of established trees on mycorrhizas, nutrition, and growth of </w:t>
      </w:r>
      <w:r w:rsidRPr="00727DE0">
        <w:rPr>
          <w:rStyle w:val="articletitle"/>
          <w:rFonts w:cstheme="minorHAnsi"/>
          <w:i/>
          <w:iCs/>
          <w:color w:val="1C1D1E"/>
        </w:rPr>
        <w:t>Quercus rubra</w:t>
      </w:r>
      <w:r w:rsidRPr="00727DE0">
        <w:rPr>
          <w:rStyle w:val="articletitle"/>
          <w:rFonts w:cstheme="minorHAnsi"/>
          <w:color w:val="1C1D1E"/>
        </w:rPr>
        <w:t> seedlings</w:t>
      </w:r>
      <w:r w:rsidRPr="00727DE0">
        <w:rPr>
          <w:rFonts w:cstheme="minorHAnsi"/>
        </w:rPr>
        <w:t>. </w:t>
      </w:r>
      <w:r w:rsidRPr="00727DE0">
        <w:rPr>
          <w:rFonts w:cstheme="minorHAnsi"/>
          <w:i/>
          <w:iCs/>
        </w:rPr>
        <w:t>Ecol. Monogr.</w:t>
      </w:r>
      <w:r w:rsidRPr="00727DE0">
        <w:rPr>
          <w:rFonts w:cstheme="minorHAnsi"/>
        </w:rPr>
        <w:t>, </w:t>
      </w:r>
      <w:r w:rsidRPr="00727DE0">
        <w:rPr>
          <w:rStyle w:val="vol"/>
          <w:rFonts w:cstheme="minorHAnsi"/>
          <w:b/>
          <w:bCs/>
          <w:color w:val="1C1D1E"/>
        </w:rPr>
        <w:t>72</w:t>
      </w:r>
      <w:r w:rsidRPr="00727DE0">
        <w:rPr>
          <w:rFonts w:cstheme="minorHAnsi"/>
        </w:rPr>
        <w:t>, </w:t>
      </w:r>
      <w:r w:rsidRPr="00727DE0">
        <w:rPr>
          <w:rStyle w:val="pagefirst"/>
          <w:rFonts w:cstheme="minorHAnsi"/>
          <w:color w:val="1C1D1E"/>
        </w:rPr>
        <w:t>505</w:t>
      </w:r>
      <w:r w:rsidRPr="00727DE0">
        <w:rPr>
          <w:rFonts w:cstheme="minorHAnsi"/>
        </w:rPr>
        <w:t>– </w:t>
      </w:r>
      <w:r w:rsidRPr="00727DE0">
        <w:rPr>
          <w:rStyle w:val="pagelast"/>
          <w:rFonts w:cstheme="minorHAnsi"/>
          <w:color w:val="1C1D1E"/>
        </w:rPr>
        <w:t>521</w:t>
      </w:r>
      <w:r w:rsidRPr="00727DE0">
        <w:rPr>
          <w:rFonts w:cstheme="minorHAnsi"/>
        </w:rPr>
        <w:t>.</w:t>
      </w:r>
    </w:p>
    <w:p w14:paraId="270C705B" w14:textId="77777777" w:rsidR="00BA109F" w:rsidRPr="00727DE0" w:rsidRDefault="00BA109F" w:rsidP="0063098F">
      <w:pPr>
        <w:spacing w:after="0"/>
        <w:ind w:left="720" w:hanging="720"/>
        <w:rPr>
          <w:rFonts w:cstheme="minorHAnsi"/>
        </w:rPr>
      </w:pPr>
      <w:r w:rsidRPr="00727DE0">
        <w:rPr>
          <w:rStyle w:val="author"/>
          <w:rFonts w:cstheme="minorHAnsi"/>
          <w:color w:val="1C1D1E"/>
        </w:rPr>
        <w:t>Dijkstra, F.S.</w:t>
      </w:r>
      <w:r w:rsidRPr="00727DE0">
        <w:rPr>
          <w:rFonts w:cstheme="minorHAnsi"/>
        </w:rPr>
        <w:t>, </w:t>
      </w:r>
      <w:r w:rsidRPr="00727DE0">
        <w:rPr>
          <w:rStyle w:val="author"/>
          <w:rFonts w:cstheme="minorHAnsi"/>
          <w:color w:val="1C1D1E"/>
        </w:rPr>
        <w:t>Wrage, K.</w:t>
      </w:r>
      <w:r w:rsidRPr="00727DE0">
        <w:rPr>
          <w:rFonts w:cstheme="minorHAnsi"/>
        </w:rPr>
        <w:t>, </w:t>
      </w:r>
      <w:r w:rsidRPr="00727DE0">
        <w:rPr>
          <w:rStyle w:val="author"/>
          <w:rFonts w:cstheme="minorHAnsi"/>
          <w:color w:val="1C1D1E"/>
        </w:rPr>
        <w:t>Hobbie, S.E.</w:t>
      </w:r>
      <w:r w:rsidRPr="00727DE0">
        <w:rPr>
          <w:rFonts w:cstheme="minorHAnsi"/>
        </w:rPr>
        <w:t> &amp; </w:t>
      </w:r>
      <w:r w:rsidRPr="00727DE0">
        <w:rPr>
          <w:rStyle w:val="author"/>
          <w:rFonts w:cstheme="minorHAnsi"/>
          <w:color w:val="1C1D1E"/>
        </w:rPr>
        <w:t>Reich, P.B.</w:t>
      </w:r>
      <w:r w:rsidRPr="00727DE0">
        <w:rPr>
          <w:rFonts w:cstheme="minorHAnsi"/>
        </w:rPr>
        <w:t> (</w:t>
      </w:r>
      <w:r w:rsidRPr="00727DE0">
        <w:rPr>
          <w:rStyle w:val="pubyear"/>
          <w:rFonts w:cstheme="minorHAnsi"/>
          <w:color w:val="1C1D1E"/>
        </w:rPr>
        <w:t>2005</w:t>
      </w:r>
      <w:r w:rsidRPr="00727DE0">
        <w:rPr>
          <w:rFonts w:cstheme="minorHAnsi"/>
        </w:rPr>
        <w:t>). </w:t>
      </w:r>
      <w:r w:rsidRPr="00727DE0">
        <w:rPr>
          <w:rStyle w:val="articletitle"/>
          <w:rFonts w:cstheme="minorHAnsi"/>
          <w:color w:val="1C1D1E"/>
        </w:rPr>
        <w:t>Tree patches show greater N losses but maintain higher soil N availability than grassland patches in a frequently burned oak savanna</w:t>
      </w:r>
      <w:r w:rsidRPr="00727DE0">
        <w:rPr>
          <w:rFonts w:cstheme="minorHAnsi"/>
        </w:rPr>
        <w:t>. </w:t>
      </w:r>
      <w:r w:rsidRPr="00727DE0">
        <w:rPr>
          <w:rFonts w:cstheme="minorHAnsi"/>
          <w:i/>
          <w:iCs/>
        </w:rPr>
        <w:t>Ecosystems</w:t>
      </w:r>
      <w:r w:rsidRPr="00727DE0">
        <w:rPr>
          <w:rFonts w:cstheme="minorHAnsi"/>
        </w:rPr>
        <w:t>, </w:t>
      </w:r>
      <w:r w:rsidRPr="00727DE0">
        <w:rPr>
          <w:rStyle w:val="vol"/>
          <w:rFonts w:cstheme="minorHAnsi"/>
          <w:b/>
          <w:bCs/>
          <w:color w:val="1C1D1E"/>
        </w:rPr>
        <w:t>5</w:t>
      </w:r>
      <w:r w:rsidRPr="00727DE0">
        <w:rPr>
          <w:rFonts w:cstheme="minorHAnsi"/>
        </w:rPr>
        <w:t>, </w:t>
      </w:r>
      <w:r w:rsidRPr="00727DE0">
        <w:rPr>
          <w:rStyle w:val="pagefirst"/>
          <w:rFonts w:cstheme="minorHAnsi"/>
          <w:color w:val="1C1D1E"/>
        </w:rPr>
        <w:t>385</w:t>
      </w:r>
      <w:r w:rsidRPr="00727DE0">
        <w:rPr>
          <w:rFonts w:cstheme="minorHAnsi"/>
        </w:rPr>
        <w:t>– </w:t>
      </w:r>
      <w:r w:rsidRPr="00727DE0">
        <w:rPr>
          <w:rStyle w:val="pagelast"/>
          <w:rFonts w:cstheme="minorHAnsi"/>
          <w:color w:val="1C1D1E"/>
        </w:rPr>
        <w:t>398</w:t>
      </w:r>
      <w:r w:rsidRPr="00727DE0">
        <w:rPr>
          <w:rFonts w:cstheme="minorHAnsi"/>
        </w:rPr>
        <w:t>.</w:t>
      </w:r>
    </w:p>
    <w:p w14:paraId="49318AA8" w14:textId="77777777" w:rsidR="00BA109F" w:rsidRPr="00727DE0" w:rsidRDefault="00BA109F" w:rsidP="0063098F">
      <w:pPr>
        <w:spacing w:after="0"/>
        <w:ind w:left="720" w:hanging="720"/>
        <w:rPr>
          <w:rFonts w:cstheme="minorHAnsi"/>
        </w:rPr>
      </w:pPr>
      <w:r w:rsidRPr="00727DE0">
        <w:rPr>
          <w:rStyle w:val="author"/>
          <w:rFonts w:cstheme="minorHAnsi"/>
          <w:color w:val="1C1D1E"/>
        </w:rPr>
        <w:t>Dovciak, M.</w:t>
      </w:r>
      <w:r w:rsidRPr="00727DE0">
        <w:rPr>
          <w:rFonts w:cstheme="minorHAnsi"/>
        </w:rPr>
        <w:t>, </w:t>
      </w:r>
      <w:r w:rsidRPr="00727DE0">
        <w:rPr>
          <w:rStyle w:val="author"/>
          <w:rFonts w:cstheme="minorHAnsi"/>
          <w:color w:val="1C1D1E"/>
        </w:rPr>
        <w:t>Frelich, L.E.</w:t>
      </w:r>
      <w:r w:rsidRPr="00727DE0">
        <w:rPr>
          <w:rFonts w:cstheme="minorHAnsi"/>
        </w:rPr>
        <w:t> &amp; </w:t>
      </w:r>
      <w:r w:rsidRPr="00727DE0">
        <w:rPr>
          <w:rStyle w:val="author"/>
          <w:rFonts w:cstheme="minorHAnsi"/>
          <w:color w:val="1C1D1E"/>
        </w:rPr>
        <w:t>Reich, P.B.</w:t>
      </w:r>
      <w:r w:rsidRPr="00727DE0">
        <w:rPr>
          <w:rFonts w:cstheme="minorHAnsi"/>
        </w:rPr>
        <w:t> (</w:t>
      </w:r>
      <w:r w:rsidRPr="00727DE0">
        <w:rPr>
          <w:rStyle w:val="pubyear"/>
          <w:rFonts w:cstheme="minorHAnsi"/>
          <w:color w:val="1C1D1E"/>
        </w:rPr>
        <w:t>2005</w:t>
      </w:r>
      <w:r w:rsidRPr="00727DE0">
        <w:rPr>
          <w:rFonts w:cstheme="minorHAnsi"/>
        </w:rPr>
        <w:t>). </w:t>
      </w:r>
      <w:r w:rsidRPr="00727DE0">
        <w:rPr>
          <w:rStyle w:val="articletitle"/>
          <w:rFonts w:cstheme="minorHAnsi"/>
          <w:color w:val="1C1D1E"/>
        </w:rPr>
        <w:t>Pathways in old‐field succession to white pine: seed rain, shade, and climate effects</w:t>
      </w:r>
      <w:r w:rsidRPr="00727DE0">
        <w:rPr>
          <w:rFonts w:cstheme="minorHAnsi"/>
        </w:rPr>
        <w:t>. </w:t>
      </w:r>
      <w:r w:rsidRPr="00727DE0">
        <w:rPr>
          <w:rFonts w:cstheme="minorHAnsi"/>
          <w:i/>
          <w:iCs/>
        </w:rPr>
        <w:t>Ecol. Monogr.</w:t>
      </w:r>
      <w:r w:rsidRPr="00727DE0">
        <w:rPr>
          <w:rFonts w:cstheme="minorHAnsi"/>
        </w:rPr>
        <w:t>, </w:t>
      </w:r>
      <w:r w:rsidRPr="00727DE0">
        <w:rPr>
          <w:rStyle w:val="vol"/>
          <w:rFonts w:cstheme="minorHAnsi"/>
          <w:b/>
          <w:bCs/>
          <w:color w:val="1C1D1E"/>
        </w:rPr>
        <w:t>75</w:t>
      </w:r>
      <w:r w:rsidRPr="00727DE0">
        <w:rPr>
          <w:rFonts w:cstheme="minorHAnsi"/>
        </w:rPr>
        <w:t>, </w:t>
      </w:r>
      <w:r w:rsidRPr="00727DE0">
        <w:rPr>
          <w:rStyle w:val="pagefirst"/>
          <w:rFonts w:cstheme="minorHAnsi"/>
          <w:color w:val="1C1D1E"/>
        </w:rPr>
        <w:t>363</w:t>
      </w:r>
      <w:r w:rsidRPr="00727DE0">
        <w:rPr>
          <w:rFonts w:cstheme="minorHAnsi"/>
        </w:rPr>
        <w:t>– </w:t>
      </w:r>
      <w:r w:rsidRPr="00727DE0">
        <w:rPr>
          <w:rStyle w:val="pagelast"/>
          <w:rFonts w:cstheme="minorHAnsi"/>
          <w:color w:val="1C1D1E"/>
        </w:rPr>
        <w:t>378</w:t>
      </w:r>
      <w:r w:rsidRPr="00727DE0">
        <w:rPr>
          <w:rFonts w:cstheme="minorHAnsi"/>
        </w:rPr>
        <w:t>.</w:t>
      </w:r>
    </w:p>
    <w:p w14:paraId="2089A394" w14:textId="77777777" w:rsidR="00BA109F" w:rsidRPr="00727DE0" w:rsidRDefault="00BA109F" w:rsidP="0063098F">
      <w:pPr>
        <w:spacing w:after="0"/>
        <w:ind w:left="720" w:hanging="720"/>
        <w:rPr>
          <w:rFonts w:cstheme="minorHAnsi"/>
        </w:rPr>
      </w:pPr>
      <w:r w:rsidRPr="00727DE0">
        <w:rPr>
          <w:rStyle w:val="author"/>
          <w:rFonts w:cstheme="minorHAnsi"/>
          <w:color w:val="1C1D1E"/>
        </w:rPr>
        <w:t>Hacker, S.D.</w:t>
      </w:r>
      <w:r w:rsidRPr="00727DE0">
        <w:rPr>
          <w:rFonts w:cstheme="minorHAnsi"/>
        </w:rPr>
        <w:t> &amp; </w:t>
      </w:r>
      <w:r w:rsidRPr="00727DE0">
        <w:rPr>
          <w:rStyle w:val="author"/>
          <w:rFonts w:cstheme="minorHAnsi"/>
          <w:color w:val="1C1D1E"/>
        </w:rPr>
        <w:t>Gaines, S.D.</w:t>
      </w:r>
      <w:r w:rsidRPr="00727DE0">
        <w:rPr>
          <w:rFonts w:cstheme="minorHAnsi"/>
        </w:rPr>
        <w:t> (</w:t>
      </w:r>
      <w:r w:rsidRPr="00727DE0">
        <w:rPr>
          <w:rStyle w:val="pubyear"/>
          <w:rFonts w:cstheme="minorHAnsi"/>
          <w:color w:val="1C1D1E"/>
        </w:rPr>
        <w:t>1997</w:t>
      </w:r>
      <w:r w:rsidRPr="00727DE0">
        <w:rPr>
          <w:rFonts w:cstheme="minorHAnsi"/>
        </w:rPr>
        <w:t>). </w:t>
      </w:r>
      <w:r w:rsidRPr="00727DE0">
        <w:rPr>
          <w:rStyle w:val="articletitle"/>
          <w:rFonts w:cstheme="minorHAnsi"/>
          <w:color w:val="1C1D1E"/>
        </w:rPr>
        <w:t>Some implications of direct positive interactions for community species diversity</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78</w:t>
      </w:r>
      <w:r w:rsidRPr="00727DE0">
        <w:rPr>
          <w:rFonts w:cstheme="minorHAnsi"/>
        </w:rPr>
        <w:t>, </w:t>
      </w:r>
      <w:r w:rsidRPr="00727DE0">
        <w:rPr>
          <w:rStyle w:val="pagefirst"/>
          <w:rFonts w:cstheme="minorHAnsi"/>
          <w:color w:val="1C1D1E"/>
        </w:rPr>
        <w:t>1990</w:t>
      </w:r>
      <w:r w:rsidRPr="00727DE0">
        <w:rPr>
          <w:rFonts w:cstheme="minorHAnsi"/>
        </w:rPr>
        <w:t>– </w:t>
      </w:r>
      <w:r w:rsidRPr="00727DE0">
        <w:rPr>
          <w:rStyle w:val="pagelast"/>
          <w:rFonts w:cstheme="minorHAnsi"/>
          <w:color w:val="1C1D1E"/>
        </w:rPr>
        <w:t>2003</w:t>
      </w:r>
      <w:r w:rsidRPr="00727DE0">
        <w:rPr>
          <w:rFonts w:cstheme="minorHAnsi"/>
        </w:rPr>
        <w:t>.</w:t>
      </w:r>
    </w:p>
    <w:p w14:paraId="6D5E73DD" w14:textId="77777777" w:rsidR="00BA109F" w:rsidRPr="00727DE0" w:rsidRDefault="00BA109F" w:rsidP="0063098F">
      <w:pPr>
        <w:spacing w:after="0"/>
        <w:ind w:left="720" w:hanging="720"/>
        <w:rPr>
          <w:rFonts w:cstheme="minorHAnsi"/>
        </w:rPr>
      </w:pPr>
      <w:r w:rsidRPr="00727DE0">
        <w:rPr>
          <w:rStyle w:val="author"/>
          <w:rFonts w:cstheme="minorHAnsi"/>
          <w:color w:val="1C1D1E"/>
        </w:rPr>
        <w:t>Holmgren, M.</w:t>
      </w:r>
      <w:r w:rsidRPr="00727DE0">
        <w:rPr>
          <w:rFonts w:cstheme="minorHAnsi"/>
        </w:rPr>
        <w:t>, </w:t>
      </w:r>
      <w:r w:rsidRPr="00727DE0">
        <w:rPr>
          <w:rStyle w:val="author"/>
          <w:rFonts w:cstheme="minorHAnsi"/>
          <w:color w:val="1C1D1E"/>
        </w:rPr>
        <w:t>Scheffer, M.</w:t>
      </w:r>
      <w:r w:rsidRPr="00727DE0">
        <w:rPr>
          <w:rFonts w:cstheme="minorHAnsi"/>
        </w:rPr>
        <w:t> &amp; </w:t>
      </w:r>
      <w:r w:rsidRPr="00727DE0">
        <w:rPr>
          <w:rStyle w:val="author"/>
          <w:rFonts w:cstheme="minorHAnsi"/>
          <w:color w:val="1C1D1E"/>
        </w:rPr>
        <w:t>Huston, M.A.</w:t>
      </w:r>
      <w:r w:rsidRPr="00727DE0">
        <w:rPr>
          <w:rFonts w:cstheme="minorHAnsi"/>
        </w:rPr>
        <w:t> (</w:t>
      </w:r>
      <w:r w:rsidRPr="00727DE0">
        <w:rPr>
          <w:rStyle w:val="pubyear"/>
          <w:rFonts w:cstheme="minorHAnsi"/>
          <w:color w:val="1C1D1E"/>
        </w:rPr>
        <w:t>1997</w:t>
      </w:r>
      <w:r w:rsidRPr="00727DE0">
        <w:rPr>
          <w:rFonts w:cstheme="minorHAnsi"/>
        </w:rPr>
        <w:t>). </w:t>
      </w:r>
      <w:r w:rsidRPr="00727DE0">
        <w:rPr>
          <w:rStyle w:val="articletitle"/>
          <w:rFonts w:cstheme="minorHAnsi"/>
          <w:color w:val="1C1D1E"/>
        </w:rPr>
        <w:t>The interplay of facilitation and competition in plant communities</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78</w:t>
      </w:r>
      <w:r w:rsidRPr="00727DE0">
        <w:rPr>
          <w:rFonts w:cstheme="minorHAnsi"/>
        </w:rPr>
        <w:t>, </w:t>
      </w:r>
      <w:r w:rsidRPr="00727DE0">
        <w:rPr>
          <w:rStyle w:val="pagefirst"/>
          <w:rFonts w:cstheme="minorHAnsi"/>
          <w:color w:val="1C1D1E"/>
        </w:rPr>
        <w:t>732</w:t>
      </w:r>
      <w:r w:rsidRPr="00727DE0">
        <w:rPr>
          <w:rFonts w:cstheme="minorHAnsi"/>
        </w:rPr>
        <w:t>– </w:t>
      </w:r>
      <w:r w:rsidRPr="00727DE0">
        <w:rPr>
          <w:rStyle w:val="pagelast"/>
          <w:rFonts w:cstheme="minorHAnsi"/>
          <w:color w:val="1C1D1E"/>
        </w:rPr>
        <w:t>735</w:t>
      </w:r>
      <w:r w:rsidRPr="00727DE0">
        <w:rPr>
          <w:rFonts w:cstheme="minorHAnsi"/>
        </w:rPr>
        <w:t>.</w:t>
      </w:r>
    </w:p>
    <w:p w14:paraId="5D633D6F" w14:textId="3E9E0E74" w:rsidR="00BA109F" w:rsidRPr="00727DE0" w:rsidRDefault="00BA109F" w:rsidP="0063098F">
      <w:pPr>
        <w:spacing w:after="0"/>
        <w:ind w:left="720" w:hanging="720"/>
        <w:rPr>
          <w:rFonts w:cstheme="minorHAnsi"/>
        </w:rPr>
      </w:pPr>
      <w:r w:rsidRPr="00727DE0">
        <w:rPr>
          <w:rStyle w:val="author"/>
          <w:rFonts w:cstheme="minorHAnsi"/>
          <w:color w:val="1C1D1E"/>
        </w:rPr>
        <w:t>Inouye, R.S.</w:t>
      </w:r>
      <w:r w:rsidRPr="00727DE0">
        <w:rPr>
          <w:rFonts w:cstheme="minorHAnsi"/>
        </w:rPr>
        <w:t>, </w:t>
      </w:r>
      <w:r w:rsidRPr="00727DE0">
        <w:rPr>
          <w:rStyle w:val="author"/>
          <w:rFonts w:cstheme="minorHAnsi"/>
          <w:color w:val="1C1D1E"/>
        </w:rPr>
        <w:t>Allison, T.D.</w:t>
      </w:r>
      <w:r w:rsidRPr="00727DE0">
        <w:rPr>
          <w:rFonts w:cstheme="minorHAnsi"/>
        </w:rPr>
        <w:t>, &amp; </w:t>
      </w:r>
      <w:r w:rsidRPr="00727DE0">
        <w:rPr>
          <w:rStyle w:val="author"/>
          <w:rFonts w:cstheme="minorHAnsi"/>
          <w:color w:val="1C1D1E"/>
        </w:rPr>
        <w:t>Johnson, N.C.</w:t>
      </w:r>
      <w:r w:rsidRPr="00727DE0">
        <w:rPr>
          <w:rFonts w:cstheme="minorHAnsi"/>
        </w:rPr>
        <w:t> </w:t>
      </w:r>
      <w:r w:rsidRPr="00727DE0">
        <w:rPr>
          <w:rStyle w:val="pubyear"/>
          <w:rFonts w:cstheme="minorHAnsi"/>
          <w:color w:val="1C1D1E"/>
        </w:rPr>
        <w:t>1994</w:t>
      </w:r>
      <w:r w:rsidRPr="00727DE0">
        <w:rPr>
          <w:rFonts w:cstheme="minorHAnsi"/>
        </w:rPr>
        <w:t>. </w:t>
      </w:r>
      <w:r w:rsidRPr="00727DE0">
        <w:rPr>
          <w:rStyle w:val="articletitle"/>
          <w:rFonts w:cstheme="minorHAnsi"/>
          <w:color w:val="1C1D1E"/>
        </w:rPr>
        <w:t>Old field succession on a Minnesota sand plain: effects of deer and other factors on invasion by trees</w:t>
      </w:r>
      <w:r w:rsidRPr="00727DE0">
        <w:rPr>
          <w:rFonts w:cstheme="minorHAnsi"/>
        </w:rPr>
        <w:t>. </w:t>
      </w:r>
      <w:r w:rsidRPr="00727DE0">
        <w:rPr>
          <w:rFonts w:cstheme="minorHAnsi"/>
          <w:i/>
          <w:iCs/>
        </w:rPr>
        <w:t>Bull. Torrey Bot. Club</w:t>
      </w:r>
      <w:r w:rsidRPr="00727DE0">
        <w:rPr>
          <w:rFonts w:cstheme="minorHAnsi"/>
        </w:rPr>
        <w:t>, </w:t>
      </w:r>
      <w:r w:rsidRPr="00727DE0">
        <w:rPr>
          <w:rStyle w:val="vol"/>
          <w:rFonts w:cstheme="minorHAnsi"/>
          <w:b/>
          <w:bCs/>
          <w:color w:val="1C1D1E"/>
        </w:rPr>
        <w:t>121</w:t>
      </w:r>
      <w:r w:rsidRPr="00727DE0">
        <w:rPr>
          <w:rFonts w:cstheme="minorHAnsi"/>
        </w:rPr>
        <w:t>, </w:t>
      </w:r>
      <w:r w:rsidRPr="00727DE0">
        <w:rPr>
          <w:rStyle w:val="pagefirst"/>
          <w:rFonts w:cstheme="minorHAnsi"/>
          <w:color w:val="1C1D1E"/>
        </w:rPr>
        <w:t>266</w:t>
      </w:r>
      <w:r w:rsidRPr="00727DE0">
        <w:rPr>
          <w:rFonts w:cstheme="minorHAnsi"/>
        </w:rPr>
        <w:t>– </w:t>
      </w:r>
      <w:r w:rsidRPr="00727DE0">
        <w:rPr>
          <w:rStyle w:val="pagelast"/>
          <w:rFonts w:cstheme="minorHAnsi"/>
          <w:color w:val="1C1D1E"/>
        </w:rPr>
        <w:t>276</w:t>
      </w:r>
      <w:r w:rsidRPr="00727DE0">
        <w:rPr>
          <w:rFonts w:cstheme="minorHAnsi"/>
        </w:rPr>
        <w:t>.</w:t>
      </w:r>
    </w:p>
    <w:p w14:paraId="4338AEE7" w14:textId="77777777" w:rsidR="00BA109F" w:rsidRPr="00727DE0" w:rsidRDefault="00BA109F" w:rsidP="0063098F">
      <w:pPr>
        <w:spacing w:after="0"/>
        <w:ind w:left="720" w:hanging="720"/>
        <w:rPr>
          <w:rFonts w:cstheme="minorHAnsi"/>
        </w:rPr>
      </w:pPr>
      <w:r w:rsidRPr="00727DE0">
        <w:rPr>
          <w:rStyle w:val="author"/>
          <w:rFonts w:cstheme="minorHAnsi"/>
          <w:color w:val="1C1D1E"/>
        </w:rPr>
        <w:t>Janzen, D.H.</w:t>
      </w:r>
      <w:r w:rsidRPr="00727DE0">
        <w:rPr>
          <w:rFonts w:cstheme="minorHAnsi"/>
        </w:rPr>
        <w:t> (</w:t>
      </w:r>
      <w:r w:rsidRPr="00727DE0">
        <w:rPr>
          <w:rStyle w:val="pubyear"/>
          <w:rFonts w:cstheme="minorHAnsi"/>
          <w:color w:val="1C1D1E"/>
        </w:rPr>
        <w:t>1970</w:t>
      </w:r>
      <w:r w:rsidRPr="00727DE0">
        <w:rPr>
          <w:rFonts w:cstheme="minorHAnsi"/>
        </w:rPr>
        <w:t>). </w:t>
      </w:r>
      <w:r w:rsidRPr="00727DE0">
        <w:rPr>
          <w:rStyle w:val="articletitle"/>
          <w:rFonts w:cstheme="minorHAnsi"/>
          <w:color w:val="1C1D1E"/>
        </w:rPr>
        <w:t>Herbivores and the number of tree species in tropical forests</w:t>
      </w:r>
      <w:r w:rsidRPr="00727DE0">
        <w:rPr>
          <w:rFonts w:cstheme="minorHAnsi"/>
        </w:rPr>
        <w:t>. </w:t>
      </w:r>
      <w:r w:rsidRPr="00727DE0">
        <w:rPr>
          <w:rFonts w:cstheme="minorHAnsi"/>
          <w:i/>
          <w:iCs/>
        </w:rPr>
        <w:t>Am. Nat.</w:t>
      </w:r>
      <w:r w:rsidRPr="00727DE0">
        <w:rPr>
          <w:rFonts w:cstheme="minorHAnsi"/>
        </w:rPr>
        <w:t>, </w:t>
      </w:r>
      <w:r w:rsidRPr="00727DE0">
        <w:rPr>
          <w:rStyle w:val="vol"/>
          <w:rFonts w:cstheme="minorHAnsi"/>
          <w:b/>
          <w:bCs/>
          <w:color w:val="1C1D1E"/>
        </w:rPr>
        <w:t>104</w:t>
      </w:r>
      <w:r w:rsidRPr="00727DE0">
        <w:rPr>
          <w:rFonts w:cstheme="minorHAnsi"/>
        </w:rPr>
        <w:t>, </w:t>
      </w:r>
      <w:r w:rsidRPr="00727DE0">
        <w:rPr>
          <w:rStyle w:val="pagefirst"/>
          <w:rFonts w:cstheme="minorHAnsi"/>
          <w:color w:val="1C1D1E"/>
        </w:rPr>
        <w:t>501</w:t>
      </w:r>
      <w:r w:rsidRPr="00727DE0">
        <w:rPr>
          <w:rFonts w:cstheme="minorHAnsi"/>
        </w:rPr>
        <w:t>– </w:t>
      </w:r>
      <w:r w:rsidRPr="00727DE0">
        <w:rPr>
          <w:rStyle w:val="pagelast"/>
          <w:rFonts w:cstheme="minorHAnsi"/>
          <w:color w:val="1C1D1E"/>
        </w:rPr>
        <w:t>528</w:t>
      </w:r>
      <w:r w:rsidRPr="00727DE0">
        <w:rPr>
          <w:rFonts w:cstheme="minorHAnsi"/>
        </w:rPr>
        <w:t>.</w:t>
      </w:r>
    </w:p>
    <w:p w14:paraId="2DAFFFDB" w14:textId="555E57E2" w:rsidR="00BA109F" w:rsidRPr="00727DE0" w:rsidRDefault="00BA109F" w:rsidP="0063098F">
      <w:pPr>
        <w:spacing w:after="0"/>
        <w:ind w:left="720" w:hanging="720"/>
        <w:rPr>
          <w:rFonts w:cstheme="minorHAnsi"/>
        </w:rPr>
      </w:pPr>
      <w:r w:rsidRPr="00727DE0">
        <w:rPr>
          <w:rStyle w:val="author"/>
          <w:rFonts w:cstheme="minorHAnsi"/>
          <w:color w:val="1C1D1E"/>
        </w:rPr>
        <w:t>Kranabetter, J.M.</w:t>
      </w:r>
      <w:r w:rsidRPr="00727DE0">
        <w:rPr>
          <w:rFonts w:cstheme="minorHAnsi"/>
        </w:rPr>
        <w:t> (</w:t>
      </w:r>
      <w:r w:rsidRPr="00727DE0">
        <w:rPr>
          <w:rStyle w:val="pubyear"/>
          <w:rFonts w:cstheme="minorHAnsi"/>
          <w:color w:val="1C1D1E"/>
        </w:rPr>
        <w:t>1999</w:t>
      </w:r>
      <w:r w:rsidRPr="00727DE0">
        <w:rPr>
          <w:rFonts w:cstheme="minorHAnsi"/>
        </w:rPr>
        <w:t>). </w:t>
      </w:r>
      <w:r w:rsidRPr="00727DE0">
        <w:rPr>
          <w:rStyle w:val="articletitle"/>
          <w:rFonts w:cstheme="minorHAnsi"/>
          <w:color w:val="1C1D1E"/>
        </w:rPr>
        <w:t>The effect of refuge trees on a paper birch ectomycorrhiza community</w:t>
      </w:r>
      <w:r w:rsidRPr="00727DE0">
        <w:rPr>
          <w:rFonts w:cstheme="minorHAnsi"/>
        </w:rPr>
        <w:t>. </w:t>
      </w:r>
      <w:r w:rsidRPr="00727DE0">
        <w:rPr>
          <w:rFonts w:cstheme="minorHAnsi"/>
          <w:i/>
          <w:iCs/>
        </w:rPr>
        <w:t>Can. J. Bot.</w:t>
      </w:r>
      <w:r w:rsidRPr="00727DE0">
        <w:rPr>
          <w:rFonts w:cstheme="minorHAnsi"/>
        </w:rPr>
        <w:t>, </w:t>
      </w:r>
      <w:r w:rsidRPr="00727DE0">
        <w:rPr>
          <w:rStyle w:val="vol"/>
          <w:rFonts w:cstheme="minorHAnsi"/>
          <w:b/>
          <w:bCs/>
          <w:color w:val="1C1D1E"/>
        </w:rPr>
        <w:t>77</w:t>
      </w:r>
      <w:r w:rsidRPr="00727DE0">
        <w:rPr>
          <w:rFonts w:cstheme="minorHAnsi"/>
        </w:rPr>
        <w:t>, </w:t>
      </w:r>
      <w:r w:rsidRPr="00727DE0">
        <w:rPr>
          <w:rStyle w:val="pagefirst"/>
          <w:rFonts w:cstheme="minorHAnsi"/>
          <w:color w:val="1C1D1E"/>
        </w:rPr>
        <w:t>1523</w:t>
      </w:r>
      <w:r w:rsidRPr="00727DE0">
        <w:rPr>
          <w:rFonts w:cstheme="minorHAnsi"/>
        </w:rPr>
        <w:t>– </w:t>
      </w:r>
      <w:r w:rsidRPr="00727DE0">
        <w:rPr>
          <w:rStyle w:val="pagelast"/>
          <w:rFonts w:cstheme="minorHAnsi"/>
          <w:color w:val="1C1D1E"/>
        </w:rPr>
        <w:t>1528</w:t>
      </w:r>
      <w:r w:rsidRPr="00727DE0">
        <w:rPr>
          <w:rFonts w:cstheme="minorHAnsi"/>
        </w:rPr>
        <w:t>.</w:t>
      </w:r>
    </w:p>
    <w:p w14:paraId="53F749E7" w14:textId="77777777" w:rsidR="00BA109F" w:rsidRPr="00727DE0" w:rsidRDefault="00BA109F" w:rsidP="0063098F">
      <w:pPr>
        <w:spacing w:after="0"/>
        <w:ind w:left="720" w:hanging="720"/>
        <w:rPr>
          <w:rFonts w:cstheme="minorHAnsi"/>
        </w:rPr>
      </w:pPr>
      <w:r w:rsidRPr="00727DE0">
        <w:rPr>
          <w:rStyle w:val="author"/>
          <w:rFonts w:cstheme="minorHAnsi"/>
          <w:color w:val="1C1D1E"/>
        </w:rPr>
        <w:t>Lawson, D.</w:t>
      </w:r>
      <w:r w:rsidRPr="00727DE0">
        <w:rPr>
          <w:rFonts w:cstheme="minorHAnsi"/>
        </w:rPr>
        <w:t>, </w:t>
      </w:r>
      <w:r w:rsidRPr="00727DE0">
        <w:rPr>
          <w:rStyle w:val="author"/>
          <w:rFonts w:cstheme="minorHAnsi"/>
          <w:color w:val="1C1D1E"/>
        </w:rPr>
        <w:t>Inouye, R.S.</w:t>
      </w:r>
      <w:r w:rsidRPr="00727DE0">
        <w:rPr>
          <w:rFonts w:cstheme="minorHAnsi"/>
        </w:rPr>
        <w:t>, </w:t>
      </w:r>
      <w:r w:rsidRPr="00727DE0">
        <w:rPr>
          <w:rStyle w:val="author"/>
          <w:rFonts w:cstheme="minorHAnsi"/>
          <w:color w:val="1C1D1E"/>
        </w:rPr>
        <w:t>Huntly, N.</w:t>
      </w:r>
      <w:r w:rsidRPr="00727DE0">
        <w:rPr>
          <w:rFonts w:cstheme="minorHAnsi"/>
        </w:rPr>
        <w:t> &amp; </w:t>
      </w:r>
      <w:r w:rsidRPr="00727DE0">
        <w:rPr>
          <w:rStyle w:val="author"/>
          <w:rFonts w:cstheme="minorHAnsi"/>
          <w:color w:val="1C1D1E"/>
        </w:rPr>
        <w:t>Carson, W.P.</w:t>
      </w:r>
      <w:r w:rsidRPr="00727DE0">
        <w:rPr>
          <w:rFonts w:cstheme="minorHAnsi"/>
        </w:rPr>
        <w:t> (</w:t>
      </w:r>
      <w:r w:rsidRPr="00727DE0">
        <w:rPr>
          <w:rStyle w:val="pubyear"/>
          <w:rFonts w:cstheme="minorHAnsi"/>
          <w:color w:val="1C1D1E"/>
        </w:rPr>
        <w:t>1999</w:t>
      </w:r>
      <w:r w:rsidRPr="00727DE0">
        <w:rPr>
          <w:rFonts w:cstheme="minorHAnsi"/>
        </w:rPr>
        <w:t>). </w:t>
      </w:r>
      <w:r w:rsidRPr="00727DE0">
        <w:rPr>
          <w:rStyle w:val="articletitle"/>
          <w:rFonts w:cstheme="minorHAnsi"/>
          <w:color w:val="1C1D1E"/>
        </w:rPr>
        <w:t>Patterns of woody plant abundance, recruitment, mortality, and growth in a 65</w:t>
      </w:r>
      <w:r w:rsidRPr="00727DE0">
        <w:rPr>
          <w:rStyle w:val="articletitle"/>
          <w:rFonts w:cstheme="minorHAnsi"/>
          <w:color w:val="1C1D1E"/>
        </w:rPr>
        <w:t> </w:t>
      </w:r>
      <w:r w:rsidRPr="00727DE0">
        <w:rPr>
          <w:rStyle w:val="articletitle"/>
          <w:rFonts w:cstheme="minorHAnsi"/>
          <w:color w:val="1C1D1E"/>
        </w:rPr>
        <w:t>year chronosequence of old‐fields</w:t>
      </w:r>
      <w:r w:rsidRPr="00727DE0">
        <w:rPr>
          <w:rFonts w:cstheme="minorHAnsi"/>
        </w:rPr>
        <w:t>. </w:t>
      </w:r>
      <w:r w:rsidRPr="00727DE0">
        <w:rPr>
          <w:rFonts w:cstheme="minorHAnsi"/>
          <w:i/>
          <w:iCs/>
        </w:rPr>
        <w:t>Plant Ecol.</w:t>
      </w:r>
      <w:r w:rsidRPr="00727DE0">
        <w:rPr>
          <w:rFonts w:cstheme="minorHAnsi"/>
        </w:rPr>
        <w:t>, </w:t>
      </w:r>
      <w:r w:rsidRPr="00727DE0">
        <w:rPr>
          <w:rStyle w:val="vol"/>
          <w:rFonts w:cstheme="minorHAnsi"/>
          <w:b/>
          <w:bCs/>
          <w:color w:val="1C1D1E"/>
        </w:rPr>
        <w:t>145</w:t>
      </w:r>
      <w:r w:rsidRPr="00727DE0">
        <w:rPr>
          <w:rFonts w:cstheme="minorHAnsi"/>
        </w:rPr>
        <w:t>, </w:t>
      </w:r>
      <w:r w:rsidRPr="00727DE0">
        <w:rPr>
          <w:rStyle w:val="pagefirst"/>
          <w:rFonts w:cstheme="minorHAnsi"/>
          <w:color w:val="1C1D1E"/>
        </w:rPr>
        <w:t>267</w:t>
      </w:r>
      <w:r w:rsidRPr="00727DE0">
        <w:rPr>
          <w:rFonts w:cstheme="minorHAnsi"/>
        </w:rPr>
        <w:t>– </w:t>
      </w:r>
      <w:r w:rsidRPr="00727DE0">
        <w:rPr>
          <w:rStyle w:val="pagelast"/>
          <w:rFonts w:cstheme="minorHAnsi"/>
          <w:color w:val="1C1D1E"/>
        </w:rPr>
        <w:t>279</w:t>
      </w:r>
      <w:r w:rsidRPr="00727DE0">
        <w:rPr>
          <w:rFonts w:cstheme="minorHAnsi"/>
        </w:rPr>
        <w:t>.</w:t>
      </w:r>
    </w:p>
    <w:p w14:paraId="7B7B9784" w14:textId="77777777" w:rsidR="00BA109F" w:rsidRPr="00727DE0" w:rsidRDefault="00BA109F" w:rsidP="0063098F">
      <w:pPr>
        <w:spacing w:after="0"/>
        <w:ind w:left="720" w:hanging="720"/>
        <w:rPr>
          <w:rFonts w:cstheme="minorHAnsi"/>
        </w:rPr>
      </w:pPr>
      <w:r w:rsidRPr="00727DE0">
        <w:rPr>
          <w:rStyle w:val="author"/>
          <w:rFonts w:cstheme="minorHAnsi"/>
          <w:color w:val="1C1D1E"/>
        </w:rPr>
        <w:t>Lyford, W.H.</w:t>
      </w:r>
      <w:r w:rsidRPr="00727DE0">
        <w:rPr>
          <w:rFonts w:cstheme="minorHAnsi"/>
        </w:rPr>
        <w:t> (</w:t>
      </w:r>
      <w:r w:rsidRPr="00727DE0">
        <w:rPr>
          <w:rStyle w:val="pubyear"/>
          <w:rFonts w:cstheme="minorHAnsi"/>
          <w:color w:val="1C1D1E"/>
        </w:rPr>
        <w:t>1980</w:t>
      </w:r>
      <w:r w:rsidRPr="00727DE0">
        <w:rPr>
          <w:rFonts w:cstheme="minorHAnsi"/>
        </w:rPr>
        <w:t>). </w:t>
      </w:r>
      <w:r w:rsidRPr="00727DE0">
        <w:rPr>
          <w:rStyle w:val="articletitle"/>
          <w:rFonts w:cstheme="minorHAnsi"/>
          <w:color w:val="1C1D1E"/>
        </w:rPr>
        <w:t>Development of the root system of Northern Red Oak (</w:t>
      </w:r>
      <w:r w:rsidRPr="00727DE0">
        <w:rPr>
          <w:rStyle w:val="articletitle"/>
          <w:rFonts w:cstheme="minorHAnsi"/>
          <w:i/>
          <w:iCs/>
          <w:color w:val="1C1D1E"/>
        </w:rPr>
        <w:t>Quercus rubra</w:t>
      </w:r>
      <w:r w:rsidRPr="00727DE0">
        <w:rPr>
          <w:rStyle w:val="articletitle"/>
          <w:rFonts w:cstheme="minorHAnsi"/>
          <w:color w:val="1C1D1E"/>
        </w:rPr>
        <w:t> L.)</w:t>
      </w:r>
      <w:r w:rsidRPr="00727DE0">
        <w:rPr>
          <w:rFonts w:cstheme="minorHAnsi"/>
        </w:rPr>
        <w:t>. </w:t>
      </w:r>
      <w:r w:rsidRPr="00727DE0">
        <w:rPr>
          <w:rFonts w:cstheme="minorHAnsi"/>
          <w:i/>
          <w:iCs/>
        </w:rPr>
        <w:t>Harv. Forest Pap.</w:t>
      </w:r>
      <w:r w:rsidRPr="00727DE0">
        <w:rPr>
          <w:rFonts w:cstheme="minorHAnsi"/>
        </w:rPr>
        <w:t>, </w:t>
      </w:r>
      <w:r w:rsidRPr="00727DE0">
        <w:rPr>
          <w:rStyle w:val="vol"/>
          <w:rFonts w:cstheme="minorHAnsi"/>
          <w:b/>
          <w:bCs/>
          <w:color w:val="1C1D1E"/>
        </w:rPr>
        <w:t>21</w:t>
      </w:r>
      <w:r w:rsidRPr="00727DE0">
        <w:rPr>
          <w:rFonts w:cstheme="minorHAnsi"/>
        </w:rPr>
        <w:t>, </w:t>
      </w:r>
      <w:r w:rsidRPr="00727DE0">
        <w:rPr>
          <w:rStyle w:val="pagefirst"/>
          <w:rFonts w:cstheme="minorHAnsi"/>
          <w:color w:val="1C1D1E"/>
        </w:rPr>
        <w:t>1</w:t>
      </w:r>
      <w:r w:rsidRPr="00727DE0">
        <w:rPr>
          <w:rFonts w:cstheme="minorHAnsi"/>
        </w:rPr>
        <w:t>– </w:t>
      </w:r>
      <w:r w:rsidRPr="00727DE0">
        <w:rPr>
          <w:rStyle w:val="pagelast"/>
          <w:rFonts w:cstheme="minorHAnsi"/>
          <w:color w:val="1C1D1E"/>
        </w:rPr>
        <w:t>30</w:t>
      </w:r>
      <w:r w:rsidRPr="00727DE0">
        <w:rPr>
          <w:rFonts w:cstheme="minorHAnsi"/>
        </w:rPr>
        <w:t>.</w:t>
      </w:r>
    </w:p>
    <w:p w14:paraId="2FD3DFD5" w14:textId="77777777" w:rsidR="00BA109F" w:rsidRPr="00727DE0" w:rsidRDefault="00BA109F" w:rsidP="0063098F">
      <w:pPr>
        <w:spacing w:after="0"/>
        <w:ind w:left="720" w:hanging="720"/>
        <w:rPr>
          <w:rFonts w:cstheme="minorHAnsi"/>
        </w:rPr>
      </w:pPr>
      <w:r w:rsidRPr="00727DE0">
        <w:rPr>
          <w:rStyle w:val="author"/>
          <w:rFonts w:cstheme="minorHAnsi"/>
          <w:color w:val="1C1D1E"/>
        </w:rPr>
        <w:t>Maestre, F.T.</w:t>
      </w:r>
      <w:r w:rsidRPr="00727DE0">
        <w:rPr>
          <w:rFonts w:cstheme="minorHAnsi"/>
        </w:rPr>
        <w:t>, </w:t>
      </w:r>
      <w:r w:rsidRPr="00727DE0">
        <w:rPr>
          <w:rStyle w:val="author"/>
          <w:rFonts w:cstheme="minorHAnsi"/>
          <w:color w:val="1C1D1E"/>
        </w:rPr>
        <w:t>Valladares, F.</w:t>
      </w:r>
      <w:r w:rsidRPr="00727DE0">
        <w:rPr>
          <w:rFonts w:cstheme="minorHAnsi"/>
        </w:rPr>
        <w:t> &amp; </w:t>
      </w:r>
      <w:r w:rsidRPr="00727DE0">
        <w:rPr>
          <w:rStyle w:val="author"/>
          <w:rFonts w:cstheme="minorHAnsi"/>
          <w:color w:val="1C1D1E"/>
        </w:rPr>
        <w:t>Reynolds, J.F.</w:t>
      </w:r>
      <w:r w:rsidRPr="00727DE0">
        <w:rPr>
          <w:rFonts w:cstheme="minorHAnsi"/>
        </w:rPr>
        <w:t> (</w:t>
      </w:r>
      <w:r w:rsidRPr="00727DE0">
        <w:rPr>
          <w:rStyle w:val="pubyear"/>
          <w:rFonts w:cstheme="minorHAnsi"/>
          <w:color w:val="1C1D1E"/>
        </w:rPr>
        <w:t>2005</w:t>
      </w:r>
      <w:r w:rsidRPr="00727DE0">
        <w:rPr>
          <w:rFonts w:cstheme="minorHAnsi"/>
        </w:rPr>
        <w:t>). </w:t>
      </w:r>
      <w:r w:rsidRPr="00727DE0">
        <w:rPr>
          <w:rStyle w:val="articletitle"/>
          <w:rFonts w:cstheme="minorHAnsi"/>
          <w:color w:val="1C1D1E"/>
        </w:rPr>
        <w:t>Is the change of plant‐plant interactions with abiotic stress predictable? A meta‐analysis of field results in arid environments</w:t>
      </w:r>
      <w:r w:rsidRPr="00727DE0">
        <w:rPr>
          <w:rFonts w:cstheme="minorHAnsi"/>
        </w:rPr>
        <w:t>. </w:t>
      </w:r>
      <w:r w:rsidRPr="00727DE0">
        <w:rPr>
          <w:rFonts w:cstheme="minorHAnsi"/>
          <w:i/>
          <w:iCs/>
        </w:rPr>
        <w:t>J. Ecol.</w:t>
      </w:r>
      <w:r w:rsidRPr="00727DE0">
        <w:rPr>
          <w:rFonts w:cstheme="minorHAnsi"/>
        </w:rPr>
        <w:t>, </w:t>
      </w:r>
      <w:r w:rsidRPr="00727DE0">
        <w:rPr>
          <w:rStyle w:val="vol"/>
          <w:rFonts w:cstheme="minorHAnsi"/>
          <w:b/>
          <w:bCs/>
          <w:color w:val="1C1D1E"/>
        </w:rPr>
        <w:t>93</w:t>
      </w:r>
      <w:r w:rsidRPr="00727DE0">
        <w:rPr>
          <w:rFonts w:cstheme="minorHAnsi"/>
        </w:rPr>
        <w:t>, </w:t>
      </w:r>
      <w:r w:rsidRPr="00727DE0">
        <w:rPr>
          <w:rStyle w:val="pagefirst"/>
          <w:rFonts w:cstheme="minorHAnsi"/>
          <w:color w:val="1C1D1E"/>
        </w:rPr>
        <w:t>748</w:t>
      </w:r>
      <w:r w:rsidRPr="00727DE0">
        <w:rPr>
          <w:rFonts w:cstheme="minorHAnsi"/>
        </w:rPr>
        <w:t>– </w:t>
      </w:r>
      <w:r w:rsidRPr="00727DE0">
        <w:rPr>
          <w:rStyle w:val="pagelast"/>
          <w:rFonts w:cstheme="minorHAnsi"/>
          <w:color w:val="1C1D1E"/>
        </w:rPr>
        <w:t>757</w:t>
      </w:r>
      <w:r w:rsidRPr="00727DE0">
        <w:rPr>
          <w:rFonts w:cstheme="minorHAnsi"/>
        </w:rPr>
        <w:t>.</w:t>
      </w:r>
    </w:p>
    <w:p w14:paraId="78CD86F0" w14:textId="77777777" w:rsidR="00BA109F" w:rsidRPr="00727DE0" w:rsidRDefault="00BA109F" w:rsidP="0063098F">
      <w:pPr>
        <w:spacing w:after="0"/>
        <w:ind w:left="720" w:hanging="720"/>
        <w:rPr>
          <w:rFonts w:cstheme="minorHAnsi"/>
        </w:rPr>
      </w:pPr>
      <w:r w:rsidRPr="00727DE0">
        <w:rPr>
          <w:rStyle w:val="author"/>
          <w:rFonts w:cstheme="minorHAnsi"/>
          <w:color w:val="1C1D1E"/>
        </w:rPr>
        <w:t>Molina, R.</w:t>
      </w:r>
      <w:r w:rsidRPr="00727DE0">
        <w:rPr>
          <w:rFonts w:cstheme="minorHAnsi"/>
        </w:rPr>
        <w:t>, </w:t>
      </w:r>
      <w:r w:rsidRPr="00727DE0">
        <w:rPr>
          <w:rStyle w:val="author"/>
          <w:rFonts w:cstheme="minorHAnsi"/>
          <w:color w:val="1C1D1E"/>
        </w:rPr>
        <w:t>Massicotte, H.</w:t>
      </w:r>
      <w:r w:rsidRPr="00727DE0">
        <w:rPr>
          <w:rFonts w:cstheme="minorHAnsi"/>
        </w:rPr>
        <w:t> &amp; </w:t>
      </w:r>
      <w:r w:rsidRPr="00727DE0">
        <w:rPr>
          <w:rStyle w:val="author"/>
          <w:rFonts w:cstheme="minorHAnsi"/>
          <w:color w:val="1C1D1E"/>
        </w:rPr>
        <w:t>Trappe, J.M.</w:t>
      </w:r>
      <w:r w:rsidRPr="00727DE0">
        <w:rPr>
          <w:rFonts w:cstheme="minorHAnsi"/>
        </w:rPr>
        <w:t> (</w:t>
      </w:r>
      <w:r w:rsidRPr="00727DE0">
        <w:rPr>
          <w:rStyle w:val="pubyear"/>
          <w:rFonts w:cstheme="minorHAnsi"/>
          <w:color w:val="1C1D1E"/>
        </w:rPr>
        <w:t>1992</w:t>
      </w:r>
      <w:r w:rsidRPr="00727DE0">
        <w:rPr>
          <w:rFonts w:cstheme="minorHAnsi"/>
        </w:rPr>
        <w:t>). </w:t>
      </w:r>
      <w:r w:rsidRPr="00727DE0">
        <w:rPr>
          <w:rStyle w:val="chaptertitle"/>
          <w:rFonts w:cstheme="minorHAnsi"/>
          <w:color w:val="1C1D1E"/>
        </w:rPr>
        <w:t>Specificity phenomena in mycorrhizal symbioses: community ecological consequences and practical implications</w:t>
      </w:r>
      <w:r w:rsidRPr="00727DE0">
        <w:rPr>
          <w:rFonts w:cstheme="minorHAnsi"/>
        </w:rPr>
        <w:t>. In: </w:t>
      </w:r>
      <w:r w:rsidRPr="00727DE0">
        <w:rPr>
          <w:rStyle w:val="booktitle0"/>
          <w:rFonts w:cstheme="minorHAnsi"/>
          <w:i/>
          <w:iCs/>
          <w:color w:val="1C1D1E"/>
        </w:rPr>
        <w:t>Mycorrhizal Functioning</w:t>
      </w:r>
      <w:r w:rsidRPr="00727DE0">
        <w:rPr>
          <w:rFonts w:cstheme="minorHAnsi"/>
        </w:rPr>
        <w:t> (ed. </w:t>
      </w:r>
      <w:r w:rsidRPr="00727DE0">
        <w:rPr>
          <w:rStyle w:val="editor"/>
          <w:rFonts w:cstheme="minorHAnsi"/>
          <w:color w:val="1C1D1E"/>
        </w:rPr>
        <w:t>M.F. Allen</w:t>
      </w:r>
      <w:r w:rsidRPr="00727DE0">
        <w:rPr>
          <w:rFonts w:cstheme="minorHAnsi"/>
        </w:rPr>
        <w:t>). Chapman and Hall, New York, pp. </w:t>
      </w:r>
      <w:r w:rsidRPr="00727DE0">
        <w:rPr>
          <w:rStyle w:val="pagefirst"/>
          <w:rFonts w:cstheme="minorHAnsi"/>
          <w:color w:val="1C1D1E"/>
        </w:rPr>
        <w:t>357</w:t>
      </w:r>
      <w:r w:rsidRPr="00727DE0">
        <w:rPr>
          <w:rFonts w:cstheme="minorHAnsi"/>
        </w:rPr>
        <w:t>– </w:t>
      </w:r>
      <w:r w:rsidRPr="00727DE0">
        <w:rPr>
          <w:rStyle w:val="pagelast"/>
          <w:rFonts w:cstheme="minorHAnsi"/>
          <w:color w:val="1C1D1E"/>
        </w:rPr>
        <w:t>423</w:t>
      </w:r>
      <w:r w:rsidRPr="00727DE0">
        <w:rPr>
          <w:rFonts w:cstheme="minorHAnsi"/>
        </w:rPr>
        <w:t>.</w:t>
      </w:r>
    </w:p>
    <w:p w14:paraId="4C6C26A6" w14:textId="77777777" w:rsidR="00BA109F" w:rsidRPr="00727DE0" w:rsidRDefault="00BA109F" w:rsidP="0063098F">
      <w:pPr>
        <w:spacing w:after="0"/>
        <w:ind w:left="720" w:hanging="720"/>
        <w:rPr>
          <w:rFonts w:cstheme="minorHAnsi"/>
        </w:rPr>
      </w:pPr>
      <w:r w:rsidRPr="00727DE0">
        <w:rPr>
          <w:rStyle w:val="author"/>
          <w:rFonts w:cstheme="minorHAnsi"/>
          <w:color w:val="1C1D1E"/>
        </w:rPr>
        <w:t>Molofsky, J.</w:t>
      </w:r>
      <w:r w:rsidRPr="00727DE0">
        <w:rPr>
          <w:rFonts w:cstheme="minorHAnsi"/>
        </w:rPr>
        <w:t> &amp; </w:t>
      </w:r>
      <w:r w:rsidRPr="00727DE0">
        <w:rPr>
          <w:rStyle w:val="author"/>
          <w:rFonts w:cstheme="minorHAnsi"/>
          <w:color w:val="1C1D1E"/>
        </w:rPr>
        <w:t>Bever, J.D.</w:t>
      </w:r>
      <w:r w:rsidRPr="00727DE0">
        <w:rPr>
          <w:rFonts w:cstheme="minorHAnsi"/>
        </w:rPr>
        <w:t> (</w:t>
      </w:r>
      <w:r w:rsidRPr="00727DE0">
        <w:rPr>
          <w:rStyle w:val="pubyear"/>
          <w:rFonts w:cstheme="minorHAnsi"/>
          <w:color w:val="1C1D1E"/>
        </w:rPr>
        <w:t>2002</w:t>
      </w:r>
      <w:r w:rsidRPr="00727DE0">
        <w:rPr>
          <w:rFonts w:cstheme="minorHAnsi"/>
        </w:rPr>
        <w:t>). </w:t>
      </w:r>
      <w:r w:rsidRPr="00727DE0">
        <w:rPr>
          <w:rStyle w:val="articletitle"/>
          <w:rFonts w:cstheme="minorHAnsi"/>
          <w:color w:val="1C1D1E"/>
        </w:rPr>
        <w:t>A novel theory to explain species diversity in landscapes: positive frequency dependence and habitat suitability</w:t>
      </w:r>
      <w:r w:rsidRPr="00727DE0">
        <w:rPr>
          <w:rFonts w:cstheme="minorHAnsi"/>
        </w:rPr>
        <w:t>. </w:t>
      </w:r>
      <w:r w:rsidRPr="00727DE0">
        <w:rPr>
          <w:rFonts w:cstheme="minorHAnsi"/>
          <w:i/>
          <w:iCs/>
        </w:rPr>
        <w:t>Proc. R. Soc. Lond. B. Biol. Sci.</w:t>
      </w:r>
      <w:r w:rsidRPr="00727DE0">
        <w:rPr>
          <w:rFonts w:cstheme="minorHAnsi"/>
        </w:rPr>
        <w:t>, </w:t>
      </w:r>
      <w:r w:rsidRPr="00727DE0">
        <w:rPr>
          <w:rStyle w:val="vol"/>
          <w:rFonts w:cstheme="minorHAnsi"/>
          <w:b/>
          <w:bCs/>
          <w:color w:val="1C1D1E"/>
        </w:rPr>
        <w:t>269</w:t>
      </w:r>
      <w:r w:rsidRPr="00727DE0">
        <w:rPr>
          <w:rFonts w:cstheme="minorHAnsi"/>
        </w:rPr>
        <w:t>, </w:t>
      </w:r>
      <w:r w:rsidRPr="00727DE0">
        <w:rPr>
          <w:rStyle w:val="pagefirst"/>
          <w:rFonts w:cstheme="minorHAnsi"/>
          <w:color w:val="1C1D1E"/>
        </w:rPr>
        <w:t>2389</w:t>
      </w:r>
      <w:r w:rsidRPr="00727DE0">
        <w:rPr>
          <w:rFonts w:cstheme="minorHAnsi"/>
        </w:rPr>
        <w:t>– </w:t>
      </w:r>
      <w:r w:rsidRPr="00727DE0">
        <w:rPr>
          <w:rStyle w:val="pagelast"/>
          <w:rFonts w:cstheme="minorHAnsi"/>
          <w:color w:val="1C1D1E"/>
        </w:rPr>
        <w:t>2393</w:t>
      </w:r>
      <w:r w:rsidRPr="00727DE0">
        <w:rPr>
          <w:rFonts w:cstheme="minorHAnsi"/>
        </w:rPr>
        <w:t>.</w:t>
      </w:r>
    </w:p>
    <w:p w14:paraId="449A0245" w14:textId="77777777" w:rsidR="00BA109F" w:rsidRPr="00727DE0" w:rsidRDefault="00BA109F" w:rsidP="0063098F">
      <w:pPr>
        <w:spacing w:after="0"/>
        <w:ind w:left="720" w:hanging="720"/>
        <w:rPr>
          <w:rFonts w:cstheme="minorHAnsi"/>
        </w:rPr>
      </w:pPr>
      <w:r w:rsidRPr="00727DE0">
        <w:rPr>
          <w:rStyle w:val="author"/>
          <w:rFonts w:cstheme="minorHAnsi"/>
          <w:color w:val="1C1D1E"/>
        </w:rPr>
        <w:t>Molofsky, J.</w:t>
      </w:r>
      <w:r w:rsidRPr="00727DE0">
        <w:rPr>
          <w:rFonts w:cstheme="minorHAnsi"/>
        </w:rPr>
        <w:t>, </w:t>
      </w:r>
      <w:r w:rsidRPr="00727DE0">
        <w:rPr>
          <w:rStyle w:val="author"/>
          <w:rFonts w:cstheme="minorHAnsi"/>
          <w:color w:val="1C1D1E"/>
        </w:rPr>
        <w:t>Bever, J.D.</w:t>
      </w:r>
      <w:r w:rsidRPr="00727DE0">
        <w:rPr>
          <w:rFonts w:cstheme="minorHAnsi"/>
        </w:rPr>
        <w:t>, </w:t>
      </w:r>
      <w:r w:rsidRPr="00727DE0">
        <w:rPr>
          <w:rStyle w:val="author"/>
          <w:rFonts w:cstheme="minorHAnsi"/>
          <w:color w:val="1C1D1E"/>
        </w:rPr>
        <w:t>Antonovics, J.</w:t>
      </w:r>
      <w:r w:rsidRPr="00727DE0">
        <w:rPr>
          <w:rFonts w:cstheme="minorHAnsi"/>
        </w:rPr>
        <w:t> (</w:t>
      </w:r>
      <w:r w:rsidRPr="00727DE0">
        <w:rPr>
          <w:rStyle w:val="pubyear"/>
          <w:rFonts w:cstheme="minorHAnsi"/>
          <w:color w:val="1C1D1E"/>
        </w:rPr>
        <w:t>2001</w:t>
      </w:r>
      <w:r w:rsidRPr="00727DE0">
        <w:rPr>
          <w:rFonts w:cstheme="minorHAnsi"/>
        </w:rPr>
        <w:t>). </w:t>
      </w:r>
      <w:r w:rsidRPr="00727DE0">
        <w:rPr>
          <w:rStyle w:val="articletitle"/>
          <w:rFonts w:cstheme="minorHAnsi"/>
          <w:color w:val="1C1D1E"/>
        </w:rPr>
        <w:t>Coexistence under positive frequency dependence</w:t>
      </w:r>
      <w:r w:rsidRPr="00727DE0">
        <w:rPr>
          <w:rFonts w:cstheme="minorHAnsi"/>
        </w:rPr>
        <w:t>. </w:t>
      </w:r>
      <w:r w:rsidRPr="00727DE0">
        <w:rPr>
          <w:rFonts w:cstheme="minorHAnsi"/>
          <w:i/>
          <w:iCs/>
        </w:rPr>
        <w:t>Proc. R. Soc. Lond. B. Biol. Sci.</w:t>
      </w:r>
      <w:r w:rsidRPr="00727DE0">
        <w:rPr>
          <w:rFonts w:cstheme="minorHAnsi"/>
        </w:rPr>
        <w:t>, </w:t>
      </w:r>
      <w:r w:rsidRPr="00727DE0">
        <w:rPr>
          <w:rStyle w:val="vol"/>
          <w:rFonts w:cstheme="minorHAnsi"/>
          <w:b/>
          <w:bCs/>
          <w:color w:val="1C1D1E"/>
        </w:rPr>
        <w:t>2001</w:t>
      </w:r>
      <w:r w:rsidRPr="00727DE0">
        <w:rPr>
          <w:rFonts w:cstheme="minorHAnsi"/>
        </w:rPr>
        <w:t>, </w:t>
      </w:r>
      <w:r w:rsidRPr="00727DE0">
        <w:rPr>
          <w:rStyle w:val="pagefirst"/>
          <w:rFonts w:cstheme="minorHAnsi"/>
          <w:color w:val="1C1D1E"/>
        </w:rPr>
        <w:t>268</w:t>
      </w:r>
      <w:r w:rsidRPr="00727DE0">
        <w:rPr>
          <w:rFonts w:cstheme="minorHAnsi"/>
        </w:rPr>
        <w:t>– </w:t>
      </w:r>
      <w:r w:rsidRPr="00727DE0">
        <w:rPr>
          <w:rStyle w:val="pagelast"/>
          <w:rFonts w:cstheme="minorHAnsi"/>
          <w:color w:val="1C1D1E"/>
        </w:rPr>
        <w:t>277</w:t>
      </w:r>
      <w:r w:rsidRPr="00727DE0">
        <w:rPr>
          <w:rFonts w:cstheme="minorHAnsi"/>
        </w:rPr>
        <w:t>.</w:t>
      </w:r>
    </w:p>
    <w:p w14:paraId="6FF9B0C8" w14:textId="77777777" w:rsidR="00BA109F" w:rsidRPr="00727DE0" w:rsidRDefault="00BA109F" w:rsidP="0063098F">
      <w:pPr>
        <w:spacing w:after="0"/>
        <w:ind w:left="720" w:hanging="720"/>
        <w:rPr>
          <w:rFonts w:cstheme="minorHAnsi"/>
        </w:rPr>
      </w:pPr>
      <w:r w:rsidRPr="00727DE0">
        <w:rPr>
          <w:rStyle w:val="author"/>
          <w:rFonts w:cstheme="minorHAnsi"/>
          <w:color w:val="1C1D1E"/>
        </w:rPr>
        <w:t>Packer, A.</w:t>
      </w:r>
      <w:r w:rsidRPr="00727DE0">
        <w:rPr>
          <w:rFonts w:cstheme="minorHAnsi"/>
        </w:rPr>
        <w:t> &amp; </w:t>
      </w:r>
      <w:r w:rsidRPr="00727DE0">
        <w:rPr>
          <w:rStyle w:val="author"/>
          <w:rFonts w:cstheme="minorHAnsi"/>
          <w:color w:val="1C1D1E"/>
        </w:rPr>
        <w:t>Clay, K.</w:t>
      </w:r>
      <w:r w:rsidRPr="00727DE0">
        <w:rPr>
          <w:rFonts w:cstheme="minorHAnsi"/>
        </w:rPr>
        <w:t> (</w:t>
      </w:r>
      <w:r w:rsidRPr="00727DE0">
        <w:rPr>
          <w:rStyle w:val="pubyear"/>
          <w:rFonts w:cstheme="minorHAnsi"/>
          <w:color w:val="1C1D1E"/>
        </w:rPr>
        <w:t>2003</w:t>
      </w:r>
      <w:r w:rsidRPr="00727DE0">
        <w:rPr>
          <w:rFonts w:cstheme="minorHAnsi"/>
        </w:rPr>
        <w:t>). </w:t>
      </w:r>
      <w:r w:rsidRPr="00727DE0">
        <w:rPr>
          <w:rStyle w:val="articletitle"/>
          <w:rFonts w:cstheme="minorHAnsi"/>
          <w:color w:val="1C1D1E"/>
        </w:rPr>
        <w:t>Soil pathogens and </w:t>
      </w:r>
      <w:r w:rsidRPr="00727DE0">
        <w:rPr>
          <w:rStyle w:val="articletitle"/>
          <w:rFonts w:cstheme="minorHAnsi"/>
          <w:i/>
          <w:iCs/>
          <w:color w:val="1C1D1E"/>
        </w:rPr>
        <w:t>Prunus serotina</w:t>
      </w:r>
      <w:r w:rsidRPr="00727DE0">
        <w:rPr>
          <w:rStyle w:val="articletitle"/>
          <w:rFonts w:cstheme="minorHAnsi"/>
          <w:color w:val="1C1D1E"/>
        </w:rPr>
        <w:t> seedling and sapling growth near conspecific trees</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84</w:t>
      </w:r>
      <w:r w:rsidRPr="00727DE0">
        <w:rPr>
          <w:rFonts w:cstheme="minorHAnsi"/>
        </w:rPr>
        <w:t>, </w:t>
      </w:r>
      <w:r w:rsidRPr="00727DE0">
        <w:rPr>
          <w:rStyle w:val="pagefirst"/>
          <w:rFonts w:cstheme="minorHAnsi"/>
          <w:color w:val="1C1D1E"/>
        </w:rPr>
        <w:t>108</w:t>
      </w:r>
      <w:r w:rsidRPr="00727DE0">
        <w:rPr>
          <w:rFonts w:cstheme="minorHAnsi"/>
        </w:rPr>
        <w:t>– </w:t>
      </w:r>
      <w:r w:rsidRPr="00727DE0">
        <w:rPr>
          <w:rStyle w:val="pagelast"/>
          <w:rFonts w:cstheme="minorHAnsi"/>
          <w:color w:val="1C1D1E"/>
        </w:rPr>
        <w:t>119</w:t>
      </w:r>
      <w:r w:rsidRPr="00727DE0">
        <w:rPr>
          <w:rFonts w:cstheme="minorHAnsi"/>
        </w:rPr>
        <w:t>.</w:t>
      </w:r>
    </w:p>
    <w:p w14:paraId="6A5BEB46" w14:textId="77777777" w:rsidR="00BA109F" w:rsidRPr="00727DE0" w:rsidRDefault="00BA109F" w:rsidP="0063098F">
      <w:pPr>
        <w:spacing w:after="0"/>
        <w:ind w:left="720" w:hanging="720"/>
        <w:rPr>
          <w:rFonts w:cstheme="minorHAnsi"/>
        </w:rPr>
      </w:pPr>
      <w:r w:rsidRPr="00727DE0">
        <w:rPr>
          <w:rStyle w:val="author"/>
          <w:rFonts w:cstheme="minorHAnsi"/>
          <w:color w:val="1C1D1E"/>
        </w:rPr>
        <w:t>Perry, D.A.</w:t>
      </w:r>
      <w:r w:rsidRPr="00727DE0">
        <w:rPr>
          <w:rFonts w:cstheme="minorHAnsi"/>
        </w:rPr>
        <w:t>, </w:t>
      </w:r>
      <w:r w:rsidRPr="00727DE0">
        <w:rPr>
          <w:rStyle w:val="author"/>
          <w:rFonts w:cstheme="minorHAnsi"/>
          <w:color w:val="1C1D1E"/>
        </w:rPr>
        <w:t>Amaranthus, M.P.</w:t>
      </w:r>
      <w:r w:rsidRPr="00727DE0">
        <w:rPr>
          <w:rFonts w:cstheme="minorHAnsi"/>
        </w:rPr>
        <w:t>, </w:t>
      </w:r>
      <w:r w:rsidRPr="00727DE0">
        <w:rPr>
          <w:rStyle w:val="author"/>
          <w:rFonts w:cstheme="minorHAnsi"/>
          <w:color w:val="1C1D1E"/>
        </w:rPr>
        <w:t>Borchers, J.G.</w:t>
      </w:r>
      <w:r w:rsidRPr="00727DE0">
        <w:rPr>
          <w:rFonts w:cstheme="minorHAnsi"/>
        </w:rPr>
        <w:t>, </w:t>
      </w:r>
      <w:r w:rsidRPr="00727DE0">
        <w:rPr>
          <w:rStyle w:val="author"/>
          <w:rFonts w:cstheme="minorHAnsi"/>
          <w:color w:val="1C1D1E"/>
        </w:rPr>
        <w:t>Borchers, S.L.</w:t>
      </w:r>
      <w:r w:rsidRPr="00727DE0">
        <w:rPr>
          <w:rFonts w:cstheme="minorHAnsi"/>
        </w:rPr>
        <w:t> &amp; </w:t>
      </w:r>
      <w:r w:rsidRPr="00727DE0">
        <w:rPr>
          <w:rStyle w:val="author"/>
          <w:rFonts w:cstheme="minorHAnsi"/>
          <w:color w:val="1C1D1E"/>
        </w:rPr>
        <w:t>Brainerd, R.E.</w:t>
      </w:r>
      <w:r w:rsidRPr="00727DE0">
        <w:rPr>
          <w:rFonts w:cstheme="minorHAnsi"/>
        </w:rPr>
        <w:t> (</w:t>
      </w:r>
      <w:r w:rsidRPr="00727DE0">
        <w:rPr>
          <w:rStyle w:val="pubyear"/>
          <w:rFonts w:cstheme="minorHAnsi"/>
          <w:color w:val="1C1D1E"/>
        </w:rPr>
        <w:t>1989</w:t>
      </w:r>
      <w:r w:rsidRPr="00727DE0">
        <w:rPr>
          <w:rFonts w:cstheme="minorHAnsi"/>
        </w:rPr>
        <w:t>). </w:t>
      </w:r>
      <w:r w:rsidRPr="00727DE0">
        <w:rPr>
          <w:rStyle w:val="articletitle"/>
          <w:rFonts w:cstheme="minorHAnsi"/>
          <w:color w:val="1C1D1E"/>
        </w:rPr>
        <w:t>Bootstrapping in ecosystems</w:t>
      </w:r>
      <w:r w:rsidRPr="00727DE0">
        <w:rPr>
          <w:rFonts w:cstheme="minorHAnsi"/>
        </w:rPr>
        <w:t>. </w:t>
      </w:r>
      <w:r w:rsidRPr="00727DE0">
        <w:rPr>
          <w:rFonts w:cstheme="minorHAnsi"/>
          <w:i/>
          <w:iCs/>
        </w:rPr>
        <w:t>Bioscience</w:t>
      </w:r>
      <w:r w:rsidRPr="00727DE0">
        <w:rPr>
          <w:rFonts w:cstheme="minorHAnsi"/>
        </w:rPr>
        <w:t>, </w:t>
      </w:r>
      <w:r w:rsidRPr="00727DE0">
        <w:rPr>
          <w:rStyle w:val="vol"/>
          <w:rFonts w:cstheme="minorHAnsi"/>
          <w:b/>
          <w:bCs/>
          <w:color w:val="1C1D1E"/>
        </w:rPr>
        <w:t>39</w:t>
      </w:r>
      <w:r w:rsidRPr="00727DE0">
        <w:rPr>
          <w:rFonts w:cstheme="minorHAnsi"/>
        </w:rPr>
        <w:t>, </w:t>
      </w:r>
      <w:r w:rsidRPr="00727DE0">
        <w:rPr>
          <w:rStyle w:val="pagefirst"/>
          <w:rFonts w:cstheme="minorHAnsi"/>
          <w:color w:val="1C1D1E"/>
        </w:rPr>
        <w:t>230</w:t>
      </w:r>
      <w:r w:rsidRPr="00727DE0">
        <w:rPr>
          <w:rFonts w:cstheme="minorHAnsi"/>
        </w:rPr>
        <w:t>– </w:t>
      </w:r>
      <w:r w:rsidRPr="00727DE0">
        <w:rPr>
          <w:rStyle w:val="pagelast"/>
          <w:rFonts w:cstheme="minorHAnsi"/>
          <w:color w:val="1C1D1E"/>
        </w:rPr>
        <w:t>237</w:t>
      </w:r>
      <w:r w:rsidRPr="00727DE0">
        <w:rPr>
          <w:rFonts w:cstheme="minorHAnsi"/>
        </w:rPr>
        <w:t>.</w:t>
      </w:r>
    </w:p>
    <w:p w14:paraId="1FAD09A4" w14:textId="77777777" w:rsidR="00BA109F" w:rsidRPr="00727DE0" w:rsidRDefault="00BA109F" w:rsidP="0063098F">
      <w:pPr>
        <w:spacing w:after="0"/>
        <w:ind w:left="720" w:hanging="720"/>
        <w:rPr>
          <w:rFonts w:cstheme="minorHAnsi"/>
        </w:rPr>
      </w:pPr>
      <w:r w:rsidRPr="00727DE0">
        <w:rPr>
          <w:rStyle w:val="author"/>
          <w:rFonts w:cstheme="minorHAnsi"/>
          <w:color w:val="1C1D1E"/>
        </w:rPr>
        <w:t>Peterson, D.W.</w:t>
      </w:r>
      <w:r w:rsidRPr="00727DE0">
        <w:rPr>
          <w:rFonts w:cstheme="minorHAnsi"/>
        </w:rPr>
        <w:t> (</w:t>
      </w:r>
      <w:r w:rsidRPr="00727DE0">
        <w:rPr>
          <w:rStyle w:val="pubyear"/>
          <w:rFonts w:cstheme="minorHAnsi"/>
          <w:color w:val="1C1D1E"/>
        </w:rPr>
        <w:t>1998</w:t>
      </w:r>
      <w:r w:rsidRPr="00727DE0">
        <w:rPr>
          <w:rFonts w:cstheme="minorHAnsi"/>
        </w:rPr>
        <w:t>). </w:t>
      </w:r>
      <w:r w:rsidRPr="00727DE0">
        <w:rPr>
          <w:rStyle w:val="othertitle"/>
          <w:rFonts w:cstheme="minorHAnsi"/>
          <w:color w:val="1C1D1E"/>
        </w:rPr>
        <w:t>Fire effects on oak savanna and woodland vegetation in Minnesota</w:t>
      </w:r>
      <w:r w:rsidRPr="00727DE0">
        <w:rPr>
          <w:rFonts w:cstheme="minorHAnsi"/>
        </w:rPr>
        <w:t>. </w:t>
      </w:r>
      <w:r w:rsidRPr="00727DE0">
        <w:rPr>
          <w:rStyle w:val="othertitle"/>
          <w:rFonts w:cstheme="minorHAnsi"/>
          <w:color w:val="1C1D1E"/>
        </w:rPr>
        <w:t>Thesis</w:t>
      </w:r>
      <w:r w:rsidRPr="00727DE0">
        <w:rPr>
          <w:rFonts w:cstheme="minorHAnsi"/>
        </w:rPr>
        <w:t>, Forest Resources, University of Minnesota, St Paul, MN.</w:t>
      </w:r>
    </w:p>
    <w:p w14:paraId="5A593092" w14:textId="77777777" w:rsidR="00BA109F" w:rsidRPr="00727DE0" w:rsidRDefault="00BA109F" w:rsidP="0063098F">
      <w:pPr>
        <w:spacing w:after="0"/>
        <w:ind w:left="720" w:hanging="720"/>
        <w:rPr>
          <w:rFonts w:cstheme="minorHAnsi"/>
        </w:rPr>
      </w:pPr>
      <w:r w:rsidRPr="00727DE0">
        <w:rPr>
          <w:rStyle w:val="author"/>
          <w:rFonts w:cstheme="minorHAnsi"/>
          <w:color w:val="1C1D1E"/>
        </w:rPr>
        <w:lastRenderedPageBreak/>
        <w:t>Peterson, D.W.</w:t>
      </w:r>
      <w:r w:rsidRPr="00727DE0">
        <w:rPr>
          <w:rFonts w:cstheme="minorHAnsi"/>
        </w:rPr>
        <w:t> &amp; </w:t>
      </w:r>
      <w:r w:rsidRPr="00727DE0">
        <w:rPr>
          <w:rStyle w:val="author"/>
          <w:rFonts w:cstheme="minorHAnsi"/>
          <w:color w:val="1C1D1E"/>
        </w:rPr>
        <w:t>Reich, P.B.</w:t>
      </w:r>
      <w:r w:rsidRPr="00727DE0">
        <w:rPr>
          <w:rFonts w:cstheme="minorHAnsi"/>
        </w:rPr>
        <w:t> (</w:t>
      </w:r>
      <w:r w:rsidRPr="00727DE0">
        <w:rPr>
          <w:rStyle w:val="pubyear"/>
          <w:rFonts w:cstheme="minorHAnsi"/>
          <w:color w:val="1C1D1E"/>
        </w:rPr>
        <w:t>2001</w:t>
      </w:r>
      <w:r w:rsidRPr="00727DE0">
        <w:rPr>
          <w:rFonts w:cstheme="minorHAnsi"/>
        </w:rPr>
        <w:t>). </w:t>
      </w:r>
      <w:r w:rsidRPr="00727DE0">
        <w:rPr>
          <w:rStyle w:val="articletitle"/>
          <w:rFonts w:cstheme="minorHAnsi"/>
          <w:color w:val="1C1D1E"/>
        </w:rPr>
        <w:t>Prescribed fire in oak savanna: fire frequency effects on stand structure and dynamics</w:t>
      </w:r>
      <w:r w:rsidRPr="00727DE0">
        <w:rPr>
          <w:rFonts w:cstheme="minorHAnsi"/>
        </w:rPr>
        <w:t>. </w:t>
      </w:r>
      <w:r w:rsidRPr="00727DE0">
        <w:rPr>
          <w:rFonts w:cstheme="minorHAnsi"/>
          <w:i/>
          <w:iCs/>
        </w:rPr>
        <w:t>Ecol. Appl.</w:t>
      </w:r>
      <w:r w:rsidRPr="00727DE0">
        <w:rPr>
          <w:rFonts w:cstheme="minorHAnsi"/>
        </w:rPr>
        <w:t>, </w:t>
      </w:r>
      <w:r w:rsidRPr="00727DE0">
        <w:rPr>
          <w:rStyle w:val="vol"/>
          <w:rFonts w:cstheme="minorHAnsi"/>
          <w:b/>
          <w:bCs/>
          <w:color w:val="1C1D1E"/>
        </w:rPr>
        <w:t>11</w:t>
      </w:r>
      <w:r w:rsidRPr="00727DE0">
        <w:rPr>
          <w:rFonts w:cstheme="minorHAnsi"/>
        </w:rPr>
        <w:t>, </w:t>
      </w:r>
      <w:r w:rsidRPr="00727DE0">
        <w:rPr>
          <w:rStyle w:val="pagefirst"/>
          <w:rFonts w:cstheme="minorHAnsi"/>
          <w:color w:val="1C1D1E"/>
        </w:rPr>
        <w:t>914</w:t>
      </w:r>
      <w:r w:rsidRPr="00727DE0">
        <w:rPr>
          <w:rFonts w:cstheme="minorHAnsi"/>
        </w:rPr>
        <w:t>– </w:t>
      </w:r>
      <w:r w:rsidRPr="00727DE0">
        <w:rPr>
          <w:rStyle w:val="pagelast"/>
          <w:rFonts w:cstheme="minorHAnsi"/>
          <w:color w:val="1C1D1E"/>
        </w:rPr>
        <w:t>927</w:t>
      </w:r>
      <w:r w:rsidRPr="00727DE0">
        <w:rPr>
          <w:rFonts w:cstheme="minorHAnsi"/>
        </w:rPr>
        <w:t>.</w:t>
      </w:r>
    </w:p>
    <w:p w14:paraId="36BF2CD5" w14:textId="77777777" w:rsidR="00BA109F" w:rsidRPr="00727DE0" w:rsidRDefault="00BA109F" w:rsidP="0063098F">
      <w:pPr>
        <w:spacing w:after="0"/>
        <w:ind w:left="720" w:hanging="720"/>
        <w:rPr>
          <w:rFonts w:cstheme="minorHAnsi"/>
        </w:rPr>
      </w:pPr>
      <w:r w:rsidRPr="00727DE0">
        <w:rPr>
          <w:rStyle w:val="author"/>
          <w:rFonts w:cstheme="minorHAnsi"/>
          <w:color w:val="1C1D1E"/>
        </w:rPr>
        <w:t>Pickett, S.T.A.</w:t>
      </w:r>
      <w:r w:rsidRPr="00727DE0">
        <w:rPr>
          <w:rFonts w:cstheme="minorHAnsi"/>
        </w:rPr>
        <w:t>, </w:t>
      </w:r>
      <w:r w:rsidRPr="00727DE0">
        <w:rPr>
          <w:rStyle w:val="author"/>
          <w:rFonts w:cstheme="minorHAnsi"/>
          <w:color w:val="1C1D1E"/>
        </w:rPr>
        <w:t>Collins, S.L.</w:t>
      </w:r>
      <w:r w:rsidRPr="00727DE0">
        <w:rPr>
          <w:rFonts w:cstheme="minorHAnsi"/>
        </w:rPr>
        <w:t> &amp; </w:t>
      </w:r>
      <w:r w:rsidRPr="00727DE0">
        <w:rPr>
          <w:rStyle w:val="author"/>
          <w:rFonts w:cstheme="minorHAnsi"/>
          <w:color w:val="1C1D1E"/>
        </w:rPr>
        <w:t>Armesto, J.J.</w:t>
      </w:r>
      <w:r w:rsidRPr="00727DE0">
        <w:rPr>
          <w:rFonts w:cstheme="minorHAnsi"/>
        </w:rPr>
        <w:t> (</w:t>
      </w:r>
      <w:r w:rsidRPr="00727DE0">
        <w:rPr>
          <w:rStyle w:val="pubyear"/>
          <w:rFonts w:cstheme="minorHAnsi"/>
          <w:color w:val="1C1D1E"/>
        </w:rPr>
        <w:t>1987</w:t>
      </w:r>
      <w:r w:rsidRPr="00727DE0">
        <w:rPr>
          <w:rFonts w:cstheme="minorHAnsi"/>
        </w:rPr>
        <w:t>). </w:t>
      </w:r>
      <w:r w:rsidRPr="00727DE0">
        <w:rPr>
          <w:rStyle w:val="articletitle"/>
          <w:rFonts w:cstheme="minorHAnsi"/>
          <w:color w:val="1C1D1E"/>
        </w:rPr>
        <w:t>Models, mechanisms and pathways of succession</w:t>
      </w:r>
      <w:r w:rsidRPr="00727DE0">
        <w:rPr>
          <w:rFonts w:cstheme="minorHAnsi"/>
        </w:rPr>
        <w:t>. </w:t>
      </w:r>
      <w:r w:rsidRPr="00727DE0">
        <w:rPr>
          <w:rFonts w:cstheme="minorHAnsi"/>
          <w:i/>
          <w:iCs/>
        </w:rPr>
        <w:t>Bot. Rev.</w:t>
      </w:r>
      <w:r w:rsidRPr="00727DE0">
        <w:rPr>
          <w:rFonts w:cstheme="minorHAnsi"/>
        </w:rPr>
        <w:t>, </w:t>
      </w:r>
      <w:r w:rsidRPr="00727DE0">
        <w:rPr>
          <w:rStyle w:val="vol"/>
          <w:rFonts w:cstheme="minorHAnsi"/>
          <w:b/>
          <w:bCs/>
          <w:color w:val="1C1D1E"/>
        </w:rPr>
        <w:t>53</w:t>
      </w:r>
      <w:r w:rsidRPr="00727DE0">
        <w:rPr>
          <w:rFonts w:cstheme="minorHAnsi"/>
        </w:rPr>
        <w:t>, </w:t>
      </w:r>
      <w:r w:rsidRPr="00727DE0">
        <w:rPr>
          <w:rStyle w:val="pagefirst"/>
          <w:rFonts w:cstheme="minorHAnsi"/>
          <w:color w:val="1C1D1E"/>
        </w:rPr>
        <w:t>335</w:t>
      </w:r>
      <w:r w:rsidRPr="00727DE0">
        <w:rPr>
          <w:rFonts w:cstheme="minorHAnsi"/>
        </w:rPr>
        <w:t>– </w:t>
      </w:r>
      <w:r w:rsidRPr="00727DE0">
        <w:rPr>
          <w:rStyle w:val="pagelast"/>
          <w:rFonts w:cstheme="minorHAnsi"/>
          <w:color w:val="1C1D1E"/>
        </w:rPr>
        <w:t>371</w:t>
      </w:r>
      <w:r w:rsidRPr="00727DE0">
        <w:rPr>
          <w:rFonts w:cstheme="minorHAnsi"/>
        </w:rPr>
        <w:t>.</w:t>
      </w:r>
    </w:p>
    <w:p w14:paraId="142667C4" w14:textId="77777777" w:rsidR="00BA109F" w:rsidRPr="00727DE0" w:rsidRDefault="00BA109F" w:rsidP="0063098F">
      <w:pPr>
        <w:spacing w:after="0"/>
        <w:ind w:left="720" w:hanging="720"/>
        <w:rPr>
          <w:rFonts w:cstheme="minorHAnsi"/>
        </w:rPr>
      </w:pPr>
      <w:r w:rsidRPr="00727DE0">
        <w:rPr>
          <w:rStyle w:val="author"/>
          <w:rFonts w:cstheme="minorHAnsi"/>
          <w:color w:val="1C1D1E"/>
        </w:rPr>
        <w:t>Pugnaire, F.I.</w:t>
      </w:r>
      <w:r w:rsidRPr="00727DE0">
        <w:rPr>
          <w:rFonts w:cstheme="minorHAnsi"/>
        </w:rPr>
        <w:t> &amp; </w:t>
      </w:r>
      <w:r w:rsidRPr="00727DE0">
        <w:rPr>
          <w:rStyle w:val="author"/>
          <w:rFonts w:cstheme="minorHAnsi"/>
          <w:color w:val="1C1D1E"/>
        </w:rPr>
        <w:t>Luque, M.T.</w:t>
      </w:r>
      <w:r w:rsidRPr="00727DE0">
        <w:rPr>
          <w:rFonts w:cstheme="minorHAnsi"/>
        </w:rPr>
        <w:t> (</w:t>
      </w:r>
      <w:r w:rsidRPr="00727DE0">
        <w:rPr>
          <w:rStyle w:val="pubyear"/>
          <w:rFonts w:cstheme="minorHAnsi"/>
          <w:color w:val="1C1D1E"/>
        </w:rPr>
        <w:t>2001</w:t>
      </w:r>
      <w:r w:rsidRPr="00727DE0">
        <w:rPr>
          <w:rFonts w:cstheme="minorHAnsi"/>
        </w:rPr>
        <w:t>). </w:t>
      </w:r>
      <w:r w:rsidRPr="00727DE0">
        <w:rPr>
          <w:rStyle w:val="articletitle"/>
          <w:rFonts w:cstheme="minorHAnsi"/>
          <w:color w:val="1C1D1E"/>
        </w:rPr>
        <w:t>Changes in plant interactions along a gradient of environmental stress</w:t>
      </w:r>
      <w:r w:rsidRPr="00727DE0">
        <w:rPr>
          <w:rFonts w:cstheme="minorHAnsi"/>
        </w:rPr>
        <w:t>. </w:t>
      </w:r>
      <w:r w:rsidRPr="00727DE0">
        <w:rPr>
          <w:rFonts w:cstheme="minorHAnsi"/>
          <w:i/>
          <w:iCs/>
        </w:rPr>
        <w:t>Oikos</w:t>
      </w:r>
      <w:r w:rsidRPr="00727DE0">
        <w:rPr>
          <w:rFonts w:cstheme="minorHAnsi"/>
        </w:rPr>
        <w:t>, </w:t>
      </w:r>
      <w:r w:rsidRPr="00727DE0">
        <w:rPr>
          <w:rStyle w:val="vol"/>
          <w:rFonts w:cstheme="minorHAnsi"/>
          <w:b/>
          <w:bCs/>
          <w:color w:val="1C1D1E"/>
        </w:rPr>
        <w:t>93</w:t>
      </w:r>
      <w:r w:rsidRPr="00727DE0">
        <w:rPr>
          <w:rFonts w:cstheme="minorHAnsi"/>
        </w:rPr>
        <w:t>, </w:t>
      </w:r>
      <w:r w:rsidRPr="00727DE0">
        <w:rPr>
          <w:rStyle w:val="pagefirst"/>
          <w:rFonts w:cstheme="minorHAnsi"/>
          <w:color w:val="1C1D1E"/>
        </w:rPr>
        <w:t>42</w:t>
      </w:r>
      <w:r w:rsidRPr="00727DE0">
        <w:rPr>
          <w:rFonts w:cstheme="minorHAnsi"/>
        </w:rPr>
        <w:t>– </w:t>
      </w:r>
      <w:r w:rsidRPr="00727DE0">
        <w:rPr>
          <w:rStyle w:val="pagelast"/>
          <w:rFonts w:cstheme="minorHAnsi"/>
          <w:color w:val="1C1D1E"/>
        </w:rPr>
        <w:t>49</w:t>
      </w:r>
      <w:r w:rsidRPr="00727DE0">
        <w:rPr>
          <w:rFonts w:cstheme="minorHAnsi"/>
        </w:rPr>
        <w:t>.</w:t>
      </w:r>
    </w:p>
    <w:p w14:paraId="40FF0356" w14:textId="77777777" w:rsidR="00BA109F" w:rsidRPr="00727DE0" w:rsidRDefault="00BA109F" w:rsidP="0063098F">
      <w:pPr>
        <w:spacing w:after="0"/>
        <w:ind w:left="720" w:hanging="720"/>
        <w:rPr>
          <w:rFonts w:cstheme="minorHAnsi"/>
        </w:rPr>
      </w:pPr>
      <w:r w:rsidRPr="00727DE0">
        <w:rPr>
          <w:rStyle w:val="author"/>
          <w:rFonts w:cstheme="minorHAnsi"/>
          <w:color w:val="1C1D1E"/>
        </w:rPr>
        <w:t>Reich, P.B.</w:t>
      </w:r>
      <w:r w:rsidRPr="00727DE0">
        <w:rPr>
          <w:rFonts w:cstheme="minorHAnsi"/>
        </w:rPr>
        <w:t>, </w:t>
      </w:r>
      <w:r w:rsidRPr="00727DE0">
        <w:rPr>
          <w:rStyle w:val="author"/>
          <w:rFonts w:cstheme="minorHAnsi"/>
          <w:color w:val="1C1D1E"/>
        </w:rPr>
        <w:t>Peterson, D.W.</w:t>
      </w:r>
      <w:r w:rsidRPr="00727DE0">
        <w:rPr>
          <w:rFonts w:cstheme="minorHAnsi"/>
        </w:rPr>
        <w:t>, </w:t>
      </w:r>
      <w:r w:rsidRPr="00727DE0">
        <w:rPr>
          <w:rStyle w:val="author"/>
          <w:rFonts w:cstheme="minorHAnsi"/>
          <w:color w:val="1C1D1E"/>
        </w:rPr>
        <w:t>Wedin, D.A.</w:t>
      </w:r>
      <w:r w:rsidRPr="00727DE0">
        <w:rPr>
          <w:rFonts w:cstheme="minorHAnsi"/>
        </w:rPr>
        <w:t> &amp; </w:t>
      </w:r>
      <w:r w:rsidRPr="00727DE0">
        <w:rPr>
          <w:rStyle w:val="author"/>
          <w:rFonts w:cstheme="minorHAnsi"/>
          <w:color w:val="1C1D1E"/>
        </w:rPr>
        <w:t>Wrage, K.</w:t>
      </w:r>
      <w:r w:rsidRPr="00727DE0">
        <w:rPr>
          <w:rFonts w:cstheme="minorHAnsi"/>
        </w:rPr>
        <w:t> (</w:t>
      </w:r>
      <w:r w:rsidRPr="00727DE0">
        <w:rPr>
          <w:rStyle w:val="pubyear"/>
          <w:rFonts w:cstheme="minorHAnsi"/>
          <w:color w:val="1C1D1E"/>
        </w:rPr>
        <w:t>2001</w:t>
      </w:r>
      <w:r w:rsidRPr="00727DE0">
        <w:rPr>
          <w:rFonts w:cstheme="minorHAnsi"/>
        </w:rPr>
        <w:t>). </w:t>
      </w:r>
      <w:r w:rsidRPr="00727DE0">
        <w:rPr>
          <w:rStyle w:val="articletitle"/>
          <w:rFonts w:cstheme="minorHAnsi"/>
          <w:color w:val="1C1D1E"/>
        </w:rPr>
        <w:t>Fire and vegetation effects on productivity and nitrogen cycling across a forest‐grassland continuum</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82</w:t>
      </w:r>
      <w:r w:rsidRPr="00727DE0">
        <w:rPr>
          <w:rFonts w:cstheme="minorHAnsi"/>
        </w:rPr>
        <w:t>, </w:t>
      </w:r>
      <w:r w:rsidRPr="00727DE0">
        <w:rPr>
          <w:rStyle w:val="pagefirst"/>
          <w:rFonts w:cstheme="minorHAnsi"/>
          <w:color w:val="1C1D1E"/>
        </w:rPr>
        <w:t>1703</w:t>
      </w:r>
      <w:r w:rsidRPr="00727DE0">
        <w:rPr>
          <w:rFonts w:cstheme="minorHAnsi"/>
        </w:rPr>
        <w:t>– </w:t>
      </w:r>
      <w:r w:rsidRPr="00727DE0">
        <w:rPr>
          <w:rStyle w:val="pagelast"/>
          <w:rFonts w:cstheme="minorHAnsi"/>
          <w:color w:val="1C1D1E"/>
        </w:rPr>
        <w:t>1719</w:t>
      </w:r>
      <w:r w:rsidRPr="00727DE0">
        <w:rPr>
          <w:rFonts w:cstheme="minorHAnsi"/>
        </w:rPr>
        <w:t>.</w:t>
      </w:r>
    </w:p>
    <w:p w14:paraId="55F7E654" w14:textId="77777777" w:rsidR="003F19B3" w:rsidRPr="00727DE0" w:rsidRDefault="00BA109F" w:rsidP="0063098F">
      <w:pPr>
        <w:spacing w:after="0"/>
        <w:ind w:left="720" w:hanging="720"/>
        <w:rPr>
          <w:rFonts w:cstheme="minorHAnsi"/>
        </w:rPr>
      </w:pPr>
      <w:r w:rsidRPr="00727DE0">
        <w:rPr>
          <w:rStyle w:val="author"/>
          <w:rFonts w:cstheme="minorHAnsi"/>
          <w:color w:val="1C1D1E"/>
        </w:rPr>
        <w:t>Reinhart, K.O.</w:t>
      </w:r>
      <w:r w:rsidRPr="00727DE0">
        <w:rPr>
          <w:rFonts w:cstheme="minorHAnsi"/>
        </w:rPr>
        <w:t> &amp; </w:t>
      </w:r>
      <w:r w:rsidRPr="00727DE0">
        <w:rPr>
          <w:rStyle w:val="author"/>
          <w:rFonts w:cstheme="minorHAnsi"/>
          <w:color w:val="1C1D1E"/>
        </w:rPr>
        <w:t>Callaway, R.M.</w:t>
      </w:r>
      <w:r w:rsidRPr="00727DE0">
        <w:rPr>
          <w:rFonts w:cstheme="minorHAnsi"/>
        </w:rPr>
        <w:t> (</w:t>
      </w:r>
      <w:r w:rsidRPr="00727DE0">
        <w:rPr>
          <w:rStyle w:val="pubyear"/>
          <w:rFonts w:cstheme="minorHAnsi"/>
          <w:color w:val="1C1D1E"/>
        </w:rPr>
        <w:t>2004</w:t>
      </w:r>
      <w:r w:rsidRPr="00727DE0">
        <w:rPr>
          <w:rFonts w:cstheme="minorHAnsi"/>
        </w:rPr>
        <w:t>). </w:t>
      </w:r>
      <w:r w:rsidRPr="00727DE0">
        <w:rPr>
          <w:rStyle w:val="articletitle"/>
          <w:rFonts w:cstheme="minorHAnsi"/>
          <w:color w:val="1C1D1E"/>
        </w:rPr>
        <w:t>Soil biota facilitate exotic Acer invasions in Europe and North America</w:t>
      </w:r>
      <w:r w:rsidRPr="00727DE0">
        <w:rPr>
          <w:rFonts w:cstheme="minorHAnsi"/>
        </w:rPr>
        <w:t>. </w:t>
      </w:r>
      <w:r w:rsidRPr="00727DE0">
        <w:rPr>
          <w:rFonts w:cstheme="minorHAnsi"/>
          <w:i/>
          <w:iCs/>
        </w:rPr>
        <w:t>Ecol. Appl.</w:t>
      </w:r>
      <w:r w:rsidRPr="00727DE0">
        <w:rPr>
          <w:rFonts w:cstheme="minorHAnsi"/>
        </w:rPr>
        <w:t>, </w:t>
      </w:r>
      <w:r w:rsidRPr="00727DE0">
        <w:rPr>
          <w:rStyle w:val="vol"/>
          <w:rFonts w:cstheme="minorHAnsi"/>
          <w:b/>
          <w:bCs/>
          <w:color w:val="1C1D1E"/>
        </w:rPr>
        <w:t>14</w:t>
      </w:r>
      <w:r w:rsidRPr="00727DE0">
        <w:rPr>
          <w:rFonts w:cstheme="minorHAnsi"/>
        </w:rPr>
        <w:t>, </w:t>
      </w:r>
      <w:r w:rsidRPr="00727DE0">
        <w:rPr>
          <w:rStyle w:val="pagefirst"/>
          <w:rFonts w:cstheme="minorHAnsi"/>
          <w:color w:val="1C1D1E"/>
        </w:rPr>
        <w:t>1737</w:t>
      </w:r>
      <w:r w:rsidRPr="00727DE0">
        <w:rPr>
          <w:rFonts w:cstheme="minorHAnsi"/>
        </w:rPr>
        <w:t>– </w:t>
      </w:r>
      <w:r w:rsidRPr="00727DE0">
        <w:rPr>
          <w:rStyle w:val="pagelast"/>
          <w:rFonts w:cstheme="minorHAnsi"/>
          <w:color w:val="1C1D1E"/>
        </w:rPr>
        <w:t>1745</w:t>
      </w:r>
      <w:r w:rsidRPr="00727DE0">
        <w:rPr>
          <w:rFonts w:cstheme="minorHAnsi"/>
        </w:rPr>
        <w:t>.</w:t>
      </w:r>
    </w:p>
    <w:p w14:paraId="03271350" w14:textId="74EA2770" w:rsidR="00BA109F" w:rsidRPr="00727DE0" w:rsidRDefault="00BA109F" w:rsidP="0063098F">
      <w:pPr>
        <w:spacing w:after="0"/>
        <w:ind w:left="720" w:hanging="720"/>
        <w:rPr>
          <w:rFonts w:cstheme="minorHAnsi"/>
        </w:rPr>
      </w:pPr>
      <w:r w:rsidRPr="00727DE0">
        <w:rPr>
          <w:rStyle w:val="author"/>
          <w:rFonts w:cstheme="minorHAnsi"/>
          <w:color w:val="1C1D1E"/>
        </w:rPr>
        <w:t>Reynolds, H.L.</w:t>
      </w:r>
      <w:r w:rsidRPr="00727DE0">
        <w:rPr>
          <w:rFonts w:cstheme="minorHAnsi"/>
        </w:rPr>
        <w:t>, </w:t>
      </w:r>
      <w:r w:rsidRPr="00727DE0">
        <w:rPr>
          <w:rStyle w:val="author"/>
          <w:rFonts w:cstheme="minorHAnsi"/>
          <w:color w:val="1C1D1E"/>
        </w:rPr>
        <w:t>Packer, A.</w:t>
      </w:r>
      <w:r w:rsidRPr="00727DE0">
        <w:rPr>
          <w:rFonts w:cstheme="minorHAnsi"/>
        </w:rPr>
        <w:t>, </w:t>
      </w:r>
      <w:r w:rsidRPr="00727DE0">
        <w:rPr>
          <w:rStyle w:val="author"/>
          <w:rFonts w:cstheme="minorHAnsi"/>
          <w:color w:val="1C1D1E"/>
        </w:rPr>
        <w:t>Bever, J.D.</w:t>
      </w:r>
      <w:r w:rsidRPr="00727DE0">
        <w:rPr>
          <w:rFonts w:cstheme="minorHAnsi"/>
        </w:rPr>
        <w:t> &amp; </w:t>
      </w:r>
      <w:r w:rsidRPr="00727DE0">
        <w:rPr>
          <w:rStyle w:val="author"/>
          <w:rFonts w:cstheme="minorHAnsi"/>
          <w:color w:val="1C1D1E"/>
        </w:rPr>
        <w:t>Clay, K.</w:t>
      </w:r>
      <w:r w:rsidRPr="00727DE0">
        <w:rPr>
          <w:rFonts w:cstheme="minorHAnsi"/>
        </w:rPr>
        <w:t> (</w:t>
      </w:r>
      <w:r w:rsidRPr="00727DE0">
        <w:rPr>
          <w:rStyle w:val="pubyear"/>
          <w:rFonts w:cstheme="minorHAnsi"/>
          <w:color w:val="1C1D1E"/>
        </w:rPr>
        <w:t>2003</w:t>
      </w:r>
      <w:r w:rsidRPr="00727DE0">
        <w:rPr>
          <w:rFonts w:cstheme="minorHAnsi"/>
        </w:rPr>
        <w:t>). </w:t>
      </w:r>
      <w:r w:rsidRPr="00727DE0">
        <w:rPr>
          <w:rStyle w:val="articletitle"/>
          <w:rFonts w:cstheme="minorHAnsi"/>
          <w:color w:val="1C1D1E"/>
        </w:rPr>
        <w:t>Grassroots ecology: plant–microbe–soil interactions as drivers of plant community structure and dynamics</w:t>
      </w:r>
      <w:r w:rsidRPr="00727DE0">
        <w:rPr>
          <w:rFonts w:cstheme="minorHAnsi"/>
        </w:rPr>
        <w:t>. </w:t>
      </w:r>
      <w:r w:rsidRPr="00727DE0">
        <w:rPr>
          <w:rFonts w:cstheme="minorHAnsi"/>
          <w:i/>
          <w:iCs/>
        </w:rPr>
        <w:t>Ecology</w:t>
      </w:r>
      <w:r w:rsidRPr="00727DE0">
        <w:rPr>
          <w:rFonts w:cstheme="minorHAnsi"/>
        </w:rPr>
        <w:t>, </w:t>
      </w:r>
      <w:r w:rsidRPr="00727DE0">
        <w:rPr>
          <w:rStyle w:val="vol"/>
          <w:rFonts w:cstheme="minorHAnsi"/>
          <w:b/>
          <w:bCs/>
          <w:color w:val="1C1D1E"/>
        </w:rPr>
        <w:t>84</w:t>
      </w:r>
      <w:r w:rsidRPr="00727DE0">
        <w:rPr>
          <w:rFonts w:cstheme="minorHAnsi"/>
        </w:rPr>
        <w:t>, </w:t>
      </w:r>
      <w:r w:rsidRPr="00727DE0">
        <w:rPr>
          <w:rStyle w:val="pagefirst"/>
          <w:rFonts w:cstheme="minorHAnsi"/>
          <w:color w:val="1C1D1E"/>
        </w:rPr>
        <w:t>2281</w:t>
      </w:r>
      <w:r w:rsidRPr="00727DE0">
        <w:rPr>
          <w:rFonts w:cstheme="minorHAnsi"/>
        </w:rPr>
        <w:t>– </w:t>
      </w:r>
      <w:r w:rsidRPr="00727DE0">
        <w:rPr>
          <w:rStyle w:val="pagelast"/>
          <w:rFonts w:cstheme="minorHAnsi"/>
          <w:color w:val="1C1D1E"/>
        </w:rPr>
        <w:t>2291</w:t>
      </w:r>
      <w:r w:rsidRPr="00727DE0">
        <w:rPr>
          <w:rFonts w:cstheme="minorHAnsi"/>
        </w:rPr>
        <w:t>.</w:t>
      </w:r>
    </w:p>
    <w:p w14:paraId="1E5B6A63" w14:textId="77777777" w:rsidR="00BA109F" w:rsidRPr="00727DE0" w:rsidRDefault="00BA109F" w:rsidP="0063098F">
      <w:pPr>
        <w:spacing w:after="0"/>
        <w:ind w:left="720" w:hanging="720"/>
        <w:rPr>
          <w:rFonts w:cstheme="minorHAnsi"/>
        </w:rPr>
      </w:pPr>
      <w:r w:rsidRPr="00727DE0">
        <w:rPr>
          <w:rStyle w:val="author"/>
          <w:rFonts w:cstheme="minorHAnsi"/>
          <w:color w:val="1C1D1E"/>
        </w:rPr>
        <w:t>Richardson, D.M.</w:t>
      </w:r>
      <w:r w:rsidRPr="00727DE0">
        <w:rPr>
          <w:rFonts w:cstheme="minorHAnsi"/>
        </w:rPr>
        <w:t>, </w:t>
      </w:r>
      <w:r w:rsidRPr="00727DE0">
        <w:rPr>
          <w:rStyle w:val="author"/>
          <w:rFonts w:cstheme="minorHAnsi"/>
          <w:color w:val="1C1D1E"/>
        </w:rPr>
        <w:t>Allsopp, N.</w:t>
      </w:r>
      <w:r w:rsidRPr="00727DE0">
        <w:rPr>
          <w:rFonts w:cstheme="minorHAnsi"/>
        </w:rPr>
        <w:t>, </w:t>
      </w:r>
      <w:r w:rsidRPr="00727DE0">
        <w:rPr>
          <w:rStyle w:val="author"/>
          <w:rFonts w:cstheme="minorHAnsi"/>
          <w:color w:val="1C1D1E"/>
        </w:rPr>
        <w:t>D'Antonio, C.M.</w:t>
      </w:r>
      <w:r w:rsidRPr="00727DE0">
        <w:rPr>
          <w:rFonts w:cstheme="minorHAnsi"/>
        </w:rPr>
        <w:t>, </w:t>
      </w:r>
      <w:r w:rsidRPr="00727DE0">
        <w:rPr>
          <w:rStyle w:val="author"/>
          <w:rFonts w:cstheme="minorHAnsi"/>
          <w:color w:val="1C1D1E"/>
        </w:rPr>
        <w:t>Milton, S.J.</w:t>
      </w:r>
      <w:r w:rsidRPr="00727DE0">
        <w:rPr>
          <w:rFonts w:cstheme="minorHAnsi"/>
        </w:rPr>
        <w:t> &amp; </w:t>
      </w:r>
      <w:r w:rsidRPr="00727DE0">
        <w:rPr>
          <w:rStyle w:val="author"/>
          <w:rFonts w:cstheme="minorHAnsi"/>
          <w:color w:val="1C1D1E"/>
        </w:rPr>
        <w:t>Rejmanek, M.</w:t>
      </w:r>
      <w:r w:rsidRPr="00727DE0">
        <w:rPr>
          <w:rFonts w:cstheme="minorHAnsi"/>
        </w:rPr>
        <w:t> (</w:t>
      </w:r>
      <w:r w:rsidRPr="00727DE0">
        <w:rPr>
          <w:rStyle w:val="pubyear"/>
          <w:rFonts w:cstheme="minorHAnsi"/>
          <w:color w:val="1C1D1E"/>
        </w:rPr>
        <w:t>2000</w:t>
      </w:r>
      <w:r w:rsidRPr="00727DE0">
        <w:rPr>
          <w:rFonts w:cstheme="minorHAnsi"/>
        </w:rPr>
        <w:t>). </w:t>
      </w:r>
      <w:r w:rsidRPr="00727DE0">
        <w:rPr>
          <w:rStyle w:val="articletitle"/>
          <w:rFonts w:cstheme="minorHAnsi"/>
          <w:color w:val="1C1D1E"/>
        </w:rPr>
        <w:t>Plant invasions – the role of mutualisms</w:t>
      </w:r>
      <w:r w:rsidRPr="00727DE0">
        <w:rPr>
          <w:rFonts w:cstheme="minorHAnsi"/>
        </w:rPr>
        <w:t>. </w:t>
      </w:r>
      <w:r w:rsidRPr="00727DE0">
        <w:rPr>
          <w:rFonts w:cstheme="minorHAnsi"/>
          <w:i/>
          <w:iCs/>
        </w:rPr>
        <w:t>Biol. Rev.</w:t>
      </w:r>
      <w:r w:rsidRPr="00727DE0">
        <w:rPr>
          <w:rFonts w:cstheme="minorHAnsi"/>
        </w:rPr>
        <w:t>, </w:t>
      </w:r>
      <w:r w:rsidRPr="00727DE0">
        <w:rPr>
          <w:rStyle w:val="vol"/>
          <w:rFonts w:cstheme="minorHAnsi"/>
          <w:b/>
          <w:bCs/>
          <w:color w:val="1C1D1E"/>
        </w:rPr>
        <w:t>75</w:t>
      </w:r>
      <w:r w:rsidRPr="00727DE0">
        <w:rPr>
          <w:rFonts w:cstheme="minorHAnsi"/>
        </w:rPr>
        <w:t>, </w:t>
      </w:r>
      <w:r w:rsidRPr="00727DE0">
        <w:rPr>
          <w:rStyle w:val="pagefirst"/>
          <w:rFonts w:cstheme="minorHAnsi"/>
          <w:color w:val="1C1D1E"/>
        </w:rPr>
        <w:t>65</w:t>
      </w:r>
      <w:r w:rsidRPr="00727DE0">
        <w:rPr>
          <w:rFonts w:cstheme="minorHAnsi"/>
        </w:rPr>
        <w:t>– </w:t>
      </w:r>
      <w:r w:rsidRPr="00727DE0">
        <w:rPr>
          <w:rStyle w:val="pagelast"/>
          <w:rFonts w:cstheme="minorHAnsi"/>
          <w:color w:val="1C1D1E"/>
        </w:rPr>
        <w:t>93</w:t>
      </w:r>
      <w:r w:rsidRPr="00727DE0">
        <w:rPr>
          <w:rFonts w:cstheme="minorHAnsi"/>
        </w:rPr>
        <w:t>.</w:t>
      </w:r>
    </w:p>
    <w:p w14:paraId="732BE75E" w14:textId="77777777" w:rsidR="00BA109F" w:rsidRPr="00727DE0" w:rsidRDefault="00BA109F" w:rsidP="0063098F">
      <w:pPr>
        <w:spacing w:after="0"/>
        <w:ind w:left="720" w:hanging="720"/>
        <w:rPr>
          <w:rFonts w:cstheme="minorHAnsi"/>
        </w:rPr>
      </w:pPr>
      <w:r w:rsidRPr="00727DE0">
        <w:rPr>
          <w:rStyle w:val="author"/>
          <w:rFonts w:cstheme="minorHAnsi"/>
          <w:color w:val="1C1D1E"/>
        </w:rPr>
        <w:t>Rietkerk, M.</w:t>
      </w:r>
      <w:r w:rsidRPr="00727DE0">
        <w:rPr>
          <w:rFonts w:cstheme="minorHAnsi"/>
        </w:rPr>
        <w:t> &amp; </w:t>
      </w:r>
      <w:r w:rsidRPr="00727DE0">
        <w:rPr>
          <w:rStyle w:val="author"/>
          <w:rFonts w:cstheme="minorHAnsi"/>
          <w:color w:val="1C1D1E"/>
        </w:rPr>
        <w:t>van der Koppel, J.</w:t>
      </w:r>
      <w:r w:rsidRPr="00727DE0">
        <w:rPr>
          <w:rFonts w:cstheme="minorHAnsi"/>
        </w:rPr>
        <w:t> (</w:t>
      </w:r>
      <w:r w:rsidRPr="00727DE0">
        <w:rPr>
          <w:rStyle w:val="pubyear"/>
          <w:rFonts w:cstheme="minorHAnsi"/>
          <w:color w:val="1C1D1E"/>
        </w:rPr>
        <w:t>1997</w:t>
      </w:r>
      <w:r w:rsidRPr="00727DE0">
        <w:rPr>
          <w:rFonts w:cstheme="minorHAnsi"/>
        </w:rPr>
        <w:t>). </w:t>
      </w:r>
      <w:r w:rsidRPr="00727DE0">
        <w:rPr>
          <w:rStyle w:val="articletitle"/>
          <w:rFonts w:cstheme="minorHAnsi"/>
          <w:color w:val="1C1D1E"/>
        </w:rPr>
        <w:t>Alternative stable states and threshold effects in semi‐arid grazing systems</w:t>
      </w:r>
      <w:r w:rsidRPr="00727DE0">
        <w:rPr>
          <w:rFonts w:cstheme="minorHAnsi"/>
        </w:rPr>
        <w:t>. </w:t>
      </w:r>
      <w:r w:rsidRPr="00727DE0">
        <w:rPr>
          <w:rFonts w:cstheme="minorHAnsi"/>
          <w:i/>
          <w:iCs/>
        </w:rPr>
        <w:t>Oikos</w:t>
      </w:r>
      <w:r w:rsidRPr="00727DE0">
        <w:rPr>
          <w:rFonts w:cstheme="minorHAnsi"/>
        </w:rPr>
        <w:t>, </w:t>
      </w:r>
      <w:r w:rsidRPr="00727DE0">
        <w:rPr>
          <w:rStyle w:val="vol"/>
          <w:rFonts w:cstheme="minorHAnsi"/>
          <w:b/>
          <w:bCs/>
          <w:color w:val="1C1D1E"/>
        </w:rPr>
        <w:t>79</w:t>
      </w:r>
      <w:r w:rsidRPr="00727DE0">
        <w:rPr>
          <w:rFonts w:cstheme="minorHAnsi"/>
        </w:rPr>
        <w:t>, </w:t>
      </w:r>
      <w:r w:rsidRPr="00727DE0">
        <w:rPr>
          <w:rStyle w:val="pagefirst"/>
          <w:rFonts w:cstheme="minorHAnsi"/>
          <w:color w:val="1C1D1E"/>
        </w:rPr>
        <w:t>69</w:t>
      </w:r>
      <w:r w:rsidRPr="00727DE0">
        <w:rPr>
          <w:rFonts w:cstheme="minorHAnsi"/>
        </w:rPr>
        <w:t>– </w:t>
      </w:r>
      <w:r w:rsidRPr="00727DE0">
        <w:rPr>
          <w:rStyle w:val="pagelast"/>
          <w:rFonts w:cstheme="minorHAnsi"/>
          <w:color w:val="1C1D1E"/>
        </w:rPr>
        <w:t>76</w:t>
      </w:r>
      <w:r w:rsidRPr="00727DE0">
        <w:rPr>
          <w:rFonts w:cstheme="minorHAnsi"/>
        </w:rPr>
        <w:t>.</w:t>
      </w:r>
    </w:p>
    <w:p w14:paraId="26883A61" w14:textId="77777777" w:rsidR="00BA109F" w:rsidRPr="00727DE0" w:rsidRDefault="00BA109F" w:rsidP="0063098F">
      <w:pPr>
        <w:spacing w:after="0"/>
        <w:ind w:left="720" w:hanging="720"/>
        <w:rPr>
          <w:rFonts w:cstheme="minorHAnsi"/>
        </w:rPr>
      </w:pPr>
      <w:r w:rsidRPr="00727DE0">
        <w:rPr>
          <w:rStyle w:val="author"/>
          <w:rFonts w:cstheme="minorHAnsi"/>
          <w:color w:val="1C1D1E"/>
        </w:rPr>
        <w:t>Tilman, D.</w:t>
      </w:r>
      <w:r w:rsidRPr="00727DE0">
        <w:rPr>
          <w:rFonts w:cstheme="minorHAnsi"/>
        </w:rPr>
        <w:t> (</w:t>
      </w:r>
      <w:r w:rsidRPr="00727DE0">
        <w:rPr>
          <w:rStyle w:val="pubyear"/>
          <w:rFonts w:cstheme="minorHAnsi"/>
          <w:color w:val="1C1D1E"/>
        </w:rPr>
        <w:t>1982</w:t>
      </w:r>
      <w:r w:rsidRPr="00727DE0">
        <w:rPr>
          <w:rFonts w:cstheme="minorHAnsi"/>
        </w:rPr>
        <w:t>). </w:t>
      </w:r>
      <w:r w:rsidRPr="00727DE0">
        <w:rPr>
          <w:rStyle w:val="booktitle0"/>
          <w:rFonts w:cstheme="minorHAnsi"/>
          <w:i/>
          <w:iCs/>
          <w:color w:val="1C1D1E"/>
        </w:rPr>
        <w:t>Resource Competition and Community Structure</w:t>
      </w:r>
      <w:r w:rsidRPr="00727DE0">
        <w:rPr>
          <w:rFonts w:cstheme="minorHAnsi"/>
        </w:rPr>
        <w:t>. Princeton Monographs. Princeton University Press, Princeton, NJ.</w:t>
      </w:r>
    </w:p>
    <w:p w14:paraId="1D629E9D" w14:textId="77777777" w:rsidR="00BA109F" w:rsidRPr="00727DE0" w:rsidRDefault="00BA109F" w:rsidP="0063098F">
      <w:pPr>
        <w:spacing w:after="0"/>
        <w:ind w:left="720" w:hanging="720"/>
        <w:rPr>
          <w:rFonts w:cstheme="minorHAnsi"/>
        </w:rPr>
      </w:pPr>
      <w:r w:rsidRPr="00727DE0">
        <w:rPr>
          <w:rStyle w:val="author"/>
          <w:rFonts w:cstheme="minorHAnsi"/>
          <w:color w:val="1C1D1E"/>
        </w:rPr>
        <w:t>Venables, W.N.</w:t>
      </w:r>
      <w:r w:rsidRPr="00727DE0">
        <w:rPr>
          <w:rFonts w:cstheme="minorHAnsi"/>
        </w:rPr>
        <w:t> &amp; </w:t>
      </w:r>
      <w:r w:rsidRPr="00727DE0">
        <w:rPr>
          <w:rStyle w:val="author"/>
          <w:rFonts w:cstheme="minorHAnsi"/>
          <w:color w:val="1C1D1E"/>
        </w:rPr>
        <w:t>Ripley, B.D.</w:t>
      </w:r>
      <w:r w:rsidRPr="00727DE0">
        <w:rPr>
          <w:rFonts w:cstheme="minorHAnsi"/>
        </w:rPr>
        <w:t> (</w:t>
      </w:r>
      <w:r w:rsidRPr="00727DE0">
        <w:rPr>
          <w:rStyle w:val="pubyear"/>
          <w:rFonts w:cstheme="minorHAnsi"/>
          <w:color w:val="1C1D1E"/>
        </w:rPr>
        <w:t>2002</w:t>
      </w:r>
      <w:r w:rsidRPr="00727DE0">
        <w:rPr>
          <w:rFonts w:cstheme="minorHAnsi"/>
        </w:rPr>
        <w:t>). </w:t>
      </w:r>
      <w:r w:rsidRPr="00727DE0">
        <w:rPr>
          <w:rStyle w:val="booktitle0"/>
          <w:rFonts w:cstheme="minorHAnsi"/>
          <w:i/>
          <w:iCs/>
          <w:color w:val="1C1D1E"/>
        </w:rPr>
        <w:t>Modern Applied Statistics with S</w:t>
      </w:r>
      <w:r w:rsidRPr="00727DE0">
        <w:rPr>
          <w:rFonts w:cstheme="minorHAnsi"/>
        </w:rPr>
        <w:t>, 4th edn. Springer‐Verlag, New York, NY.</w:t>
      </w:r>
    </w:p>
    <w:p w14:paraId="1DF0711F" w14:textId="77777777" w:rsidR="00BA109F" w:rsidRPr="00727DE0" w:rsidRDefault="00BA109F" w:rsidP="0063098F">
      <w:pPr>
        <w:spacing w:after="0"/>
        <w:ind w:left="720" w:hanging="720"/>
        <w:rPr>
          <w:rFonts w:cstheme="minorHAnsi"/>
        </w:rPr>
      </w:pPr>
      <w:r w:rsidRPr="00727DE0">
        <w:rPr>
          <w:rStyle w:val="author"/>
          <w:rFonts w:cstheme="minorHAnsi"/>
          <w:color w:val="1C1D1E"/>
        </w:rPr>
        <w:t>Weaver, J.E.</w:t>
      </w:r>
      <w:r w:rsidRPr="00727DE0">
        <w:rPr>
          <w:rFonts w:cstheme="minorHAnsi"/>
        </w:rPr>
        <w:t> &amp; </w:t>
      </w:r>
      <w:r w:rsidRPr="00727DE0">
        <w:rPr>
          <w:rStyle w:val="author"/>
          <w:rFonts w:cstheme="minorHAnsi"/>
          <w:color w:val="1C1D1E"/>
        </w:rPr>
        <w:t>Kramer, J.</w:t>
      </w:r>
      <w:r w:rsidRPr="00727DE0">
        <w:rPr>
          <w:rFonts w:cstheme="minorHAnsi"/>
        </w:rPr>
        <w:t> (</w:t>
      </w:r>
      <w:r w:rsidRPr="00727DE0">
        <w:rPr>
          <w:rStyle w:val="pubyear"/>
          <w:rFonts w:cstheme="minorHAnsi"/>
          <w:color w:val="1C1D1E"/>
        </w:rPr>
        <w:t>1932</w:t>
      </w:r>
      <w:r w:rsidRPr="00727DE0">
        <w:rPr>
          <w:rFonts w:cstheme="minorHAnsi"/>
        </w:rPr>
        <w:t>). </w:t>
      </w:r>
      <w:r w:rsidRPr="00727DE0">
        <w:rPr>
          <w:rStyle w:val="articletitle"/>
          <w:rFonts w:cstheme="minorHAnsi"/>
          <w:color w:val="1C1D1E"/>
        </w:rPr>
        <w:t>Root system of </w:t>
      </w:r>
      <w:r w:rsidRPr="00727DE0">
        <w:rPr>
          <w:rStyle w:val="articletitle"/>
          <w:rFonts w:cstheme="minorHAnsi"/>
          <w:i/>
          <w:iCs/>
          <w:color w:val="1C1D1E"/>
        </w:rPr>
        <w:t>Quercus macrocarpa</w:t>
      </w:r>
      <w:r w:rsidRPr="00727DE0">
        <w:rPr>
          <w:rStyle w:val="articletitle"/>
          <w:rFonts w:cstheme="minorHAnsi"/>
          <w:color w:val="1C1D1E"/>
        </w:rPr>
        <w:t> in relation to the invasion of prairie</w:t>
      </w:r>
      <w:r w:rsidRPr="00727DE0">
        <w:rPr>
          <w:rFonts w:cstheme="minorHAnsi"/>
        </w:rPr>
        <w:t>. </w:t>
      </w:r>
      <w:r w:rsidRPr="00727DE0">
        <w:rPr>
          <w:rFonts w:cstheme="minorHAnsi"/>
          <w:i/>
          <w:iCs/>
        </w:rPr>
        <w:t>Bot. Gaz.</w:t>
      </w:r>
      <w:r w:rsidRPr="00727DE0">
        <w:rPr>
          <w:rFonts w:cstheme="minorHAnsi"/>
        </w:rPr>
        <w:t>, </w:t>
      </w:r>
      <w:r w:rsidRPr="00727DE0">
        <w:rPr>
          <w:rStyle w:val="vol"/>
          <w:rFonts w:cstheme="minorHAnsi"/>
          <w:b/>
          <w:bCs/>
          <w:color w:val="1C1D1E"/>
        </w:rPr>
        <w:t>94</w:t>
      </w:r>
      <w:r w:rsidRPr="00727DE0">
        <w:rPr>
          <w:rFonts w:cstheme="minorHAnsi"/>
        </w:rPr>
        <w:t>, </w:t>
      </w:r>
      <w:r w:rsidRPr="00727DE0">
        <w:rPr>
          <w:rStyle w:val="pagefirst"/>
          <w:rFonts w:cstheme="minorHAnsi"/>
          <w:color w:val="1C1D1E"/>
        </w:rPr>
        <w:t>51</w:t>
      </w:r>
      <w:r w:rsidRPr="00727DE0">
        <w:rPr>
          <w:rFonts w:cstheme="minorHAnsi"/>
        </w:rPr>
        <w:t>– </w:t>
      </w:r>
      <w:r w:rsidRPr="00727DE0">
        <w:rPr>
          <w:rStyle w:val="pagelast"/>
          <w:rFonts w:cstheme="minorHAnsi"/>
          <w:color w:val="1C1D1E"/>
        </w:rPr>
        <w:t>85</w:t>
      </w:r>
      <w:r w:rsidRPr="00727DE0">
        <w:rPr>
          <w:rFonts w:cstheme="minorHAnsi"/>
        </w:rPr>
        <w:t>.</w:t>
      </w:r>
    </w:p>
    <w:p w14:paraId="6D11FBD7" w14:textId="4996934B" w:rsidR="00BA109F" w:rsidRPr="00727DE0" w:rsidRDefault="00BA109F" w:rsidP="0063098F">
      <w:pPr>
        <w:spacing w:after="0"/>
        <w:ind w:left="720" w:hanging="720"/>
        <w:rPr>
          <w:rFonts w:cstheme="minorHAnsi"/>
        </w:rPr>
      </w:pPr>
      <w:r w:rsidRPr="00727DE0">
        <w:rPr>
          <w:rStyle w:val="author"/>
          <w:rFonts w:cstheme="minorHAnsi"/>
          <w:color w:val="1C1D1E"/>
        </w:rPr>
        <w:t>Weber, A.</w:t>
      </w:r>
      <w:r w:rsidRPr="00727DE0">
        <w:rPr>
          <w:rFonts w:cstheme="minorHAnsi"/>
        </w:rPr>
        <w:t>, </w:t>
      </w:r>
      <w:r w:rsidRPr="00727DE0">
        <w:rPr>
          <w:rStyle w:val="author"/>
          <w:rFonts w:cstheme="minorHAnsi"/>
          <w:color w:val="1C1D1E"/>
        </w:rPr>
        <w:t>Karst, J.</w:t>
      </w:r>
      <w:r w:rsidRPr="00727DE0">
        <w:rPr>
          <w:rFonts w:cstheme="minorHAnsi"/>
        </w:rPr>
        <w:t>, </w:t>
      </w:r>
      <w:r w:rsidRPr="00727DE0">
        <w:rPr>
          <w:rStyle w:val="author"/>
          <w:rFonts w:cstheme="minorHAnsi"/>
          <w:color w:val="1C1D1E"/>
        </w:rPr>
        <w:t>Gilbert, B.</w:t>
      </w:r>
      <w:r w:rsidRPr="00727DE0">
        <w:rPr>
          <w:rFonts w:cstheme="minorHAnsi"/>
        </w:rPr>
        <w:t> &amp; </w:t>
      </w:r>
      <w:r w:rsidRPr="00727DE0">
        <w:rPr>
          <w:rStyle w:val="author"/>
          <w:rFonts w:cstheme="minorHAnsi"/>
          <w:color w:val="1C1D1E"/>
        </w:rPr>
        <w:t>Kimmins, J.P.</w:t>
      </w:r>
      <w:r w:rsidRPr="00727DE0">
        <w:rPr>
          <w:rFonts w:cstheme="minorHAnsi"/>
        </w:rPr>
        <w:t> (</w:t>
      </w:r>
      <w:r w:rsidRPr="00727DE0">
        <w:rPr>
          <w:rStyle w:val="pubyear"/>
          <w:rFonts w:cstheme="minorHAnsi"/>
          <w:color w:val="1C1D1E"/>
        </w:rPr>
        <w:t>2005</w:t>
      </w:r>
      <w:r w:rsidRPr="00727DE0">
        <w:rPr>
          <w:rFonts w:cstheme="minorHAnsi"/>
        </w:rPr>
        <w:t>). </w:t>
      </w:r>
      <w:r w:rsidRPr="00727DE0">
        <w:rPr>
          <w:rStyle w:val="articletitle"/>
          <w:rFonts w:cstheme="minorHAnsi"/>
          <w:i/>
          <w:iCs/>
          <w:color w:val="1C1D1E"/>
        </w:rPr>
        <w:t>Thuja plicata</w:t>
      </w:r>
      <w:r w:rsidRPr="00727DE0">
        <w:rPr>
          <w:rStyle w:val="articletitle"/>
          <w:rFonts w:cstheme="minorHAnsi"/>
          <w:color w:val="1C1D1E"/>
        </w:rPr>
        <w:t> exclusion in ectomycorrhiza‐dominated forests: testing the role of inoculum potential of arbuscular mycorrhizal fungi</w:t>
      </w:r>
      <w:r w:rsidRPr="00727DE0">
        <w:rPr>
          <w:rFonts w:cstheme="minorHAnsi"/>
        </w:rPr>
        <w:t>. </w:t>
      </w:r>
      <w:r w:rsidRPr="00727DE0">
        <w:rPr>
          <w:rFonts w:cstheme="minorHAnsi"/>
          <w:i/>
          <w:iCs/>
        </w:rPr>
        <w:t>Oecologia</w:t>
      </w:r>
      <w:r w:rsidRPr="00727DE0">
        <w:rPr>
          <w:rFonts w:cstheme="minorHAnsi"/>
        </w:rPr>
        <w:t>, </w:t>
      </w:r>
      <w:r w:rsidRPr="00727DE0">
        <w:rPr>
          <w:rStyle w:val="vol"/>
          <w:rFonts w:cstheme="minorHAnsi"/>
          <w:b/>
          <w:bCs/>
          <w:color w:val="1C1D1E"/>
        </w:rPr>
        <w:t>143</w:t>
      </w:r>
      <w:r w:rsidRPr="00727DE0">
        <w:rPr>
          <w:rFonts w:cstheme="minorHAnsi"/>
        </w:rPr>
        <w:t>, </w:t>
      </w:r>
      <w:r w:rsidRPr="00727DE0">
        <w:rPr>
          <w:rStyle w:val="pagefirst"/>
          <w:rFonts w:cstheme="minorHAnsi"/>
          <w:color w:val="1C1D1E"/>
        </w:rPr>
        <w:t>148</w:t>
      </w:r>
      <w:r w:rsidRPr="00727DE0">
        <w:rPr>
          <w:rFonts w:cstheme="minorHAnsi"/>
        </w:rPr>
        <w:t>– </w:t>
      </w:r>
      <w:r w:rsidRPr="00727DE0">
        <w:rPr>
          <w:rStyle w:val="pagelast"/>
          <w:rFonts w:cstheme="minorHAnsi"/>
          <w:color w:val="1C1D1E"/>
        </w:rPr>
        <w:t>156</w:t>
      </w:r>
      <w:r w:rsidRPr="00727DE0">
        <w:rPr>
          <w:rFonts w:cstheme="minorHAnsi"/>
        </w:rPr>
        <w:t>.</w:t>
      </w:r>
    </w:p>
    <w:p w14:paraId="5C9FA21D" w14:textId="4CE854BE" w:rsidR="00617C12" w:rsidRPr="00727DE0" w:rsidRDefault="00BA109F" w:rsidP="0063098F">
      <w:pPr>
        <w:spacing w:after="0"/>
        <w:ind w:left="720" w:hanging="720"/>
        <w:rPr>
          <w:rFonts w:cstheme="minorHAnsi"/>
        </w:rPr>
      </w:pPr>
      <w:r w:rsidRPr="00727DE0">
        <w:rPr>
          <w:rStyle w:val="author"/>
          <w:rFonts w:cstheme="minorHAnsi"/>
          <w:color w:val="1C1D1E"/>
        </w:rPr>
        <w:t>Zimpfer, J.F.</w:t>
      </w:r>
      <w:r w:rsidRPr="00727DE0">
        <w:rPr>
          <w:rFonts w:cstheme="minorHAnsi"/>
        </w:rPr>
        <w:t>, </w:t>
      </w:r>
      <w:r w:rsidRPr="00727DE0">
        <w:rPr>
          <w:rStyle w:val="author"/>
          <w:rFonts w:cstheme="minorHAnsi"/>
          <w:color w:val="1C1D1E"/>
        </w:rPr>
        <w:t>Kennedy, G.J.</w:t>
      </w:r>
      <w:r w:rsidRPr="00727DE0">
        <w:rPr>
          <w:rFonts w:cstheme="minorHAnsi"/>
        </w:rPr>
        <w:t>, </w:t>
      </w:r>
      <w:r w:rsidRPr="00727DE0">
        <w:rPr>
          <w:rStyle w:val="author"/>
          <w:rFonts w:cstheme="minorHAnsi"/>
          <w:color w:val="1C1D1E"/>
        </w:rPr>
        <w:t>Smyth, C.A.</w:t>
      </w:r>
      <w:r w:rsidRPr="00727DE0">
        <w:rPr>
          <w:rFonts w:cstheme="minorHAnsi"/>
        </w:rPr>
        <w:t>, </w:t>
      </w:r>
      <w:r w:rsidRPr="00727DE0">
        <w:rPr>
          <w:rStyle w:val="author"/>
          <w:rFonts w:cstheme="minorHAnsi"/>
          <w:color w:val="1C1D1E"/>
        </w:rPr>
        <w:t>Hamelin, J.</w:t>
      </w:r>
      <w:r w:rsidRPr="00727DE0">
        <w:rPr>
          <w:rFonts w:cstheme="minorHAnsi"/>
        </w:rPr>
        <w:t>, </w:t>
      </w:r>
      <w:r w:rsidRPr="00727DE0">
        <w:rPr>
          <w:rStyle w:val="author"/>
          <w:rFonts w:cstheme="minorHAnsi"/>
          <w:color w:val="1C1D1E"/>
        </w:rPr>
        <w:t>Navarro, E.</w:t>
      </w:r>
      <w:r w:rsidRPr="00727DE0">
        <w:rPr>
          <w:rFonts w:cstheme="minorHAnsi"/>
        </w:rPr>
        <w:t> &amp; </w:t>
      </w:r>
      <w:r w:rsidRPr="00727DE0">
        <w:rPr>
          <w:rStyle w:val="author"/>
          <w:rFonts w:cstheme="minorHAnsi"/>
          <w:color w:val="1C1D1E"/>
        </w:rPr>
        <w:t>Dawson, J.O.</w:t>
      </w:r>
      <w:r w:rsidRPr="00727DE0">
        <w:rPr>
          <w:rFonts w:cstheme="minorHAnsi"/>
        </w:rPr>
        <w:t> (</w:t>
      </w:r>
      <w:r w:rsidRPr="00727DE0">
        <w:rPr>
          <w:rStyle w:val="pubyear"/>
          <w:rFonts w:cstheme="minorHAnsi"/>
          <w:color w:val="1C1D1E"/>
        </w:rPr>
        <w:t>1999</w:t>
      </w:r>
      <w:r w:rsidRPr="00727DE0">
        <w:rPr>
          <w:rFonts w:cstheme="minorHAnsi"/>
        </w:rPr>
        <w:t>). </w:t>
      </w:r>
      <w:r w:rsidRPr="00727DE0">
        <w:rPr>
          <w:rStyle w:val="articletitle"/>
          <w:rFonts w:cstheme="minorHAnsi"/>
          <w:color w:val="1C1D1E"/>
        </w:rPr>
        <w:t>Localization of </w:t>
      </w:r>
      <w:r w:rsidRPr="00727DE0">
        <w:rPr>
          <w:rStyle w:val="articletitle"/>
          <w:rFonts w:cstheme="minorHAnsi"/>
          <w:i/>
          <w:iCs/>
          <w:color w:val="1C1D1E"/>
        </w:rPr>
        <w:t>Casuarina‐</w:t>
      </w:r>
      <w:r w:rsidRPr="00727DE0">
        <w:rPr>
          <w:rStyle w:val="articletitle"/>
          <w:rFonts w:cstheme="minorHAnsi"/>
          <w:color w:val="1C1D1E"/>
        </w:rPr>
        <w:t>infective </w:t>
      </w:r>
      <w:r w:rsidRPr="00727DE0">
        <w:rPr>
          <w:rStyle w:val="articletitle"/>
          <w:rFonts w:cstheme="minorHAnsi"/>
          <w:i/>
          <w:iCs/>
          <w:color w:val="1C1D1E"/>
        </w:rPr>
        <w:t>Frankia</w:t>
      </w:r>
      <w:r w:rsidRPr="00727DE0">
        <w:rPr>
          <w:rStyle w:val="articletitle"/>
          <w:rFonts w:cstheme="minorHAnsi"/>
          <w:color w:val="1C1D1E"/>
        </w:rPr>
        <w:t> near </w:t>
      </w:r>
      <w:r w:rsidRPr="00727DE0">
        <w:rPr>
          <w:rStyle w:val="articletitle"/>
          <w:rFonts w:cstheme="minorHAnsi"/>
          <w:i/>
          <w:iCs/>
          <w:color w:val="1C1D1E"/>
        </w:rPr>
        <w:t>Casuarina cunninghamiana</w:t>
      </w:r>
      <w:r w:rsidRPr="00727DE0">
        <w:rPr>
          <w:rStyle w:val="articletitle"/>
          <w:rFonts w:cstheme="minorHAnsi"/>
          <w:color w:val="1C1D1E"/>
        </w:rPr>
        <w:t> trees in Jamaica</w:t>
      </w:r>
      <w:r w:rsidRPr="00727DE0">
        <w:rPr>
          <w:rFonts w:cstheme="minorHAnsi"/>
        </w:rPr>
        <w:t>. </w:t>
      </w:r>
      <w:r w:rsidRPr="00727DE0">
        <w:rPr>
          <w:rFonts w:cstheme="minorHAnsi"/>
          <w:i/>
          <w:iCs/>
        </w:rPr>
        <w:t>Can. J. Bot.</w:t>
      </w:r>
      <w:r w:rsidRPr="00727DE0">
        <w:rPr>
          <w:rFonts w:cstheme="minorHAnsi"/>
        </w:rPr>
        <w:t>, </w:t>
      </w:r>
      <w:r w:rsidRPr="00727DE0">
        <w:rPr>
          <w:rStyle w:val="vol"/>
          <w:rFonts w:cstheme="minorHAnsi"/>
          <w:b/>
          <w:bCs/>
          <w:color w:val="1C1D1E"/>
        </w:rPr>
        <w:t>77</w:t>
      </w:r>
      <w:r w:rsidRPr="00727DE0">
        <w:rPr>
          <w:rFonts w:cstheme="minorHAnsi"/>
        </w:rPr>
        <w:t>, </w:t>
      </w:r>
      <w:r w:rsidRPr="00727DE0">
        <w:rPr>
          <w:rStyle w:val="pagefirst"/>
          <w:rFonts w:cstheme="minorHAnsi"/>
          <w:color w:val="1C1D1E"/>
        </w:rPr>
        <w:t>1248</w:t>
      </w:r>
      <w:r w:rsidRPr="00727DE0">
        <w:rPr>
          <w:rFonts w:cstheme="minorHAnsi"/>
        </w:rPr>
        <w:t>– </w:t>
      </w:r>
      <w:r w:rsidRPr="00727DE0">
        <w:rPr>
          <w:rStyle w:val="pagelast"/>
          <w:rFonts w:cstheme="minorHAnsi"/>
          <w:color w:val="1C1D1E"/>
        </w:rPr>
        <w:t>1256</w:t>
      </w:r>
      <w:r w:rsidRPr="00727DE0">
        <w:rPr>
          <w:rFonts w:cstheme="minorHAnsi"/>
        </w:rPr>
        <w:t>.</w:t>
      </w:r>
    </w:p>
    <w:sectPr w:rsidR="00617C12" w:rsidRPr="00727DE0" w:rsidSect="00F7732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B7484"/>
    <w:multiLevelType w:val="multilevel"/>
    <w:tmpl w:val="A036A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050D7E"/>
    <w:multiLevelType w:val="multilevel"/>
    <w:tmpl w:val="B5BC6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77409E"/>
    <w:multiLevelType w:val="multilevel"/>
    <w:tmpl w:val="4FB43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2E3995"/>
    <w:multiLevelType w:val="multilevel"/>
    <w:tmpl w:val="96DAA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rTbU8NoaE4YFNOniCMyMwFFdsU5kQgQzYDUki1xl3/kR8QuPa3Bfe2doJobYQtre6I+ch24iJMKNe1tIhj6pNg==" w:salt="LanNRd9Ii/sWexZEzhJE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B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3BD"/>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2449"/>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5D41"/>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71B1"/>
    <w:rsid w:val="0029129F"/>
    <w:rsid w:val="00294512"/>
    <w:rsid w:val="00296B90"/>
    <w:rsid w:val="00297296"/>
    <w:rsid w:val="002A0668"/>
    <w:rsid w:val="002A6B8B"/>
    <w:rsid w:val="002A7FBB"/>
    <w:rsid w:val="002B1ED8"/>
    <w:rsid w:val="002B45EC"/>
    <w:rsid w:val="002B62C6"/>
    <w:rsid w:val="002C0B93"/>
    <w:rsid w:val="002C17A7"/>
    <w:rsid w:val="002C2DA5"/>
    <w:rsid w:val="002C4714"/>
    <w:rsid w:val="002C6160"/>
    <w:rsid w:val="002D02F2"/>
    <w:rsid w:val="002D28EA"/>
    <w:rsid w:val="002D51BB"/>
    <w:rsid w:val="002D5BAE"/>
    <w:rsid w:val="002D5DDC"/>
    <w:rsid w:val="002D6AA3"/>
    <w:rsid w:val="002E5C33"/>
    <w:rsid w:val="002E5D29"/>
    <w:rsid w:val="002F5B99"/>
    <w:rsid w:val="00300EE4"/>
    <w:rsid w:val="0030197F"/>
    <w:rsid w:val="0030223E"/>
    <w:rsid w:val="00303A1E"/>
    <w:rsid w:val="00303BBD"/>
    <w:rsid w:val="00313440"/>
    <w:rsid w:val="00314FCD"/>
    <w:rsid w:val="00324290"/>
    <w:rsid w:val="00331737"/>
    <w:rsid w:val="0033243D"/>
    <w:rsid w:val="003350BB"/>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E7A17"/>
    <w:rsid w:val="003F19B3"/>
    <w:rsid w:val="004010E3"/>
    <w:rsid w:val="004055B8"/>
    <w:rsid w:val="0040709D"/>
    <w:rsid w:val="004071F4"/>
    <w:rsid w:val="004122F9"/>
    <w:rsid w:val="004124D3"/>
    <w:rsid w:val="004139BA"/>
    <w:rsid w:val="00421CBC"/>
    <w:rsid w:val="0043008C"/>
    <w:rsid w:val="00430B91"/>
    <w:rsid w:val="004374EF"/>
    <w:rsid w:val="00440F61"/>
    <w:rsid w:val="004441CB"/>
    <w:rsid w:val="00450DB8"/>
    <w:rsid w:val="00451540"/>
    <w:rsid w:val="00453D2C"/>
    <w:rsid w:val="00454851"/>
    <w:rsid w:val="00454D8B"/>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716E"/>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6A6"/>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098F"/>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55B8"/>
    <w:rsid w:val="006755E8"/>
    <w:rsid w:val="006769E6"/>
    <w:rsid w:val="00676C63"/>
    <w:rsid w:val="00682333"/>
    <w:rsid w:val="006844CA"/>
    <w:rsid w:val="006871E0"/>
    <w:rsid w:val="00690C5F"/>
    <w:rsid w:val="00693B53"/>
    <w:rsid w:val="00697377"/>
    <w:rsid w:val="006A1F61"/>
    <w:rsid w:val="006A30ED"/>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27DE0"/>
    <w:rsid w:val="00730E29"/>
    <w:rsid w:val="00732FF6"/>
    <w:rsid w:val="00735393"/>
    <w:rsid w:val="00745E32"/>
    <w:rsid w:val="007466F7"/>
    <w:rsid w:val="00746722"/>
    <w:rsid w:val="00757D89"/>
    <w:rsid w:val="0076194B"/>
    <w:rsid w:val="00763676"/>
    <w:rsid w:val="00772776"/>
    <w:rsid w:val="00776E56"/>
    <w:rsid w:val="00781619"/>
    <w:rsid w:val="00783D12"/>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674"/>
    <w:rsid w:val="008061E0"/>
    <w:rsid w:val="0080711D"/>
    <w:rsid w:val="00813292"/>
    <w:rsid w:val="00813E40"/>
    <w:rsid w:val="00816489"/>
    <w:rsid w:val="00817C16"/>
    <w:rsid w:val="00820049"/>
    <w:rsid w:val="0082013E"/>
    <w:rsid w:val="00822617"/>
    <w:rsid w:val="0082409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4E3"/>
    <w:rsid w:val="00875997"/>
    <w:rsid w:val="0087796C"/>
    <w:rsid w:val="00880932"/>
    <w:rsid w:val="008825B5"/>
    <w:rsid w:val="00885E74"/>
    <w:rsid w:val="00886B14"/>
    <w:rsid w:val="008927F4"/>
    <w:rsid w:val="00893B58"/>
    <w:rsid w:val="00894E4C"/>
    <w:rsid w:val="0089642A"/>
    <w:rsid w:val="008A090D"/>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012"/>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2C8"/>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4DD0"/>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AF7B49"/>
    <w:rsid w:val="00B03D08"/>
    <w:rsid w:val="00B05BF7"/>
    <w:rsid w:val="00B079F6"/>
    <w:rsid w:val="00B1094A"/>
    <w:rsid w:val="00B129D1"/>
    <w:rsid w:val="00B12F61"/>
    <w:rsid w:val="00B14CBC"/>
    <w:rsid w:val="00B1760D"/>
    <w:rsid w:val="00B17FF0"/>
    <w:rsid w:val="00B2733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09F"/>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ABD"/>
    <w:rsid w:val="00DC4F7C"/>
    <w:rsid w:val="00DC7134"/>
    <w:rsid w:val="00DC7C2C"/>
    <w:rsid w:val="00DD2256"/>
    <w:rsid w:val="00DD4B55"/>
    <w:rsid w:val="00DD5871"/>
    <w:rsid w:val="00DE2F66"/>
    <w:rsid w:val="00DE4173"/>
    <w:rsid w:val="00DE4592"/>
    <w:rsid w:val="00DF4879"/>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3739"/>
    <w:rsid w:val="00ED48A6"/>
    <w:rsid w:val="00ED521A"/>
    <w:rsid w:val="00EE1F48"/>
    <w:rsid w:val="00EE3C5A"/>
    <w:rsid w:val="00EE4E0F"/>
    <w:rsid w:val="00EE504D"/>
    <w:rsid w:val="00EE6386"/>
    <w:rsid w:val="00EE75E3"/>
    <w:rsid w:val="00EE7777"/>
    <w:rsid w:val="00EF0C86"/>
    <w:rsid w:val="00EF1530"/>
    <w:rsid w:val="00EF2D7A"/>
    <w:rsid w:val="00EF586D"/>
    <w:rsid w:val="00F00B9A"/>
    <w:rsid w:val="00F0246E"/>
    <w:rsid w:val="00F026DB"/>
    <w:rsid w:val="00F04133"/>
    <w:rsid w:val="00F12233"/>
    <w:rsid w:val="00F12CE1"/>
    <w:rsid w:val="00F14096"/>
    <w:rsid w:val="00F14820"/>
    <w:rsid w:val="00F2650F"/>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7324"/>
    <w:rsid w:val="00F83712"/>
    <w:rsid w:val="00F84941"/>
    <w:rsid w:val="00F86BEC"/>
    <w:rsid w:val="00F9447B"/>
    <w:rsid w:val="00F944E0"/>
    <w:rsid w:val="00F95C39"/>
    <w:rsid w:val="00FA132A"/>
    <w:rsid w:val="00FA1FC3"/>
    <w:rsid w:val="00FA431A"/>
    <w:rsid w:val="00FA54C6"/>
    <w:rsid w:val="00FA5E0B"/>
    <w:rsid w:val="00FA7671"/>
    <w:rsid w:val="00FA7BFA"/>
    <w:rsid w:val="00FB00F5"/>
    <w:rsid w:val="00FB0527"/>
    <w:rsid w:val="00FB384C"/>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BA109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A109F"/>
    <w:rPr>
      <w:color w:val="800080"/>
      <w:u w:val="single"/>
    </w:rPr>
  </w:style>
  <w:style w:type="character" w:customStyle="1" w:styleId="table-captionlabel">
    <w:name w:val="table-caption__label"/>
    <w:basedOn w:val="DefaultParagraphFont"/>
    <w:rsid w:val="00BA109F"/>
  </w:style>
  <w:style w:type="character" w:customStyle="1" w:styleId="smallcaps">
    <w:name w:val="smallcaps"/>
    <w:basedOn w:val="DefaultParagraphFont"/>
    <w:rsid w:val="00BA109F"/>
  </w:style>
  <w:style w:type="character" w:customStyle="1" w:styleId="inline-equationconstruct">
    <w:name w:val="inline-equation__construct"/>
    <w:basedOn w:val="DefaultParagraphFont"/>
    <w:rsid w:val="00BA109F"/>
  </w:style>
  <w:style w:type="character" w:customStyle="1" w:styleId="sectiontitle">
    <w:name w:val="section__title"/>
    <w:basedOn w:val="DefaultParagraphFont"/>
    <w:rsid w:val="00BA109F"/>
  </w:style>
  <w:style w:type="character" w:customStyle="1" w:styleId="author">
    <w:name w:val="author"/>
    <w:basedOn w:val="DefaultParagraphFont"/>
    <w:rsid w:val="00BA109F"/>
  </w:style>
  <w:style w:type="character" w:customStyle="1" w:styleId="pubyear">
    <w:name w:val="pubyear"/>
    <w:basedOn w:val="DefaultParagraphFont"/>
    <w:rsid w:val="00BA109F"/>
  </w:style>
  <w:style w:type="character" w:customStyle="1" w:styleId="articletitle">
    <w:name w:val="articletitle"/>
    <w:basedOn w:val="DefaultParagraphFont"/>
    <w:rsid w:val="00BA109F"/>
  </w:style>
  <w:style w:type="character" w:customStyle="1" w:styleId="vol">
    <w:name w:val="vol"/>
    <w:basedOn w:val="DefaultParagraphFont"/>
    <w:rsid w:val="00BA109F"/>
  </w:style>
  <w:style w:type="character" w:customStyle="1" w:styleId="pagefirst">
    <w:name w:val="pagefirst"/>
    <w:basedOn w:val="DefaultParagraphFont"/>
    <w:rsid w:val="00BA109F"/>
  </w:style>
  <w:style w:type="character" w:customStyle="1" w:styleId="pagelast">
    <w:name w:val="pagelast"/>
    <w:basedOn w:val="DefaultParagraphFont"/>
    <w:rsid w:val="00BA109F"/>
  </w:style>
  <w:style w:type="character" w:customStyle="1" w:styleId="openurl">
    <w:name w:val="openurl"/>
    <w:basedOn w:val="DefaultParagraphFont"/>
    <w:rsid w:val="00BA109F"/>
  </w:style>
  <w:style w:type="character" w:customStyle="1" w:styleId="othertitle">
    <w:name w:val="othertitle"/>
    <w:basedOn w:val="DefaultParagraphFont"/>
    <w:rsid w:val="00BA109F"/>
  </w:style>
  <w:style w:type="character" w:customStyle="1" w:styleId="chaptertitle">
    <w:name w:val="chaptertitle"/>
    <w:basedOn w:val="DefaultParagraphFont"/>
    <w:rsid w:val="00BA109F"/>
  </w:style>
  <w:style w:type="character" w:customStyle="1" w:styleId="booktitle0">
    <w:name w:val="booktitle"/>
    <w:basedOn w:val="DefaultParagraphFont"/>
    <w:rsid w:val="00BA109F"/>
  </w:style>
  <w:style w:type="character" w:customStyle="1" w:styleId="editor">
    <w:name w:val="editor"/>
    <w:basedOn w:val="DefaultParagraphFont"/>
    <w:rsid w:val="00BA109F"/>
  </w:style>
  <w:style w:type="character" w:styleId="UnresolvedMention">
    <w:name w:val="Unresolved Mention"/>
    <w:basedOn w:val="DefaultParagraphFont"/>
    <w:uiPriority w:val="99"/>
    <w:semiHidden/>
    <w:unhideWhenUsed/>
    <w:rsid w:val="006A3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49869990">
      <w:bodyDiv w:val="1"/>
      <w:marLeft w:val="0"/>
      <w:marRight w:val="0"/>
      <w:marTop w:val="0"/>
      <w:marBottom w:val="0"/>
      <w:divBdr>
        <w:top w:val="none" w:sz="0" w:space="0" w:color="auto"/>
        <w:left w:val="none" w:sz="0" w:space="0" w:color="auto"/>
        <w:bottom w:val="none" w:sz="0" w:space="0" w:color="auto"/>
        <w:right w:val="none" w:sz="0" w:space="0" w:color="auto"/>
      </w:divBdr>
      <w:divsChild>
        <w:div w:id="738789161">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 w:id="890268318">
      <w:bodyDiv w:val="1"/>
      <w:marLeft w:val="0"/>
      <w:marRight w:val="0"/>
      <w:marTop w:val="0"/>
      <w:marBottom w:val="0"/>
      <w:divBdr>
        <w:top w:val="none" w:sz="0" w:space="0" w:color="auto"/>
        <w:left w:val="none" w:sz="0" w:space="0" w:color="auto"/>
        <w:bottom w:val="none" w:sz="0" w:space="0" w:color="auto"/>
        <w:right w:val="none" w:sz="0" w:space="0" w:color="auto"/>
      </w:divBdr>
      <w:divsChild>
        <w:div w:id="402720603">
          <w:marLeft w:val="0"/>
          <w:marRight w:val="0"/>
          <w:marTop w:val="225"/>
          <w:marBottom w:val="225"/>
          <w:divBdr>
            <w:top w:val="none" w:sz="0" w:space="0" w:color="auto"/>
            <w:left w:val="none" w:sz="0" w:space="0" w:color="auto"/>
            <w:bottom w:val="none" w:sz="0" w:space="0" w:color="auto"/>
            <w:right w:val="none" w:sz="0" w:space="0" w:color="auto"/>
          </w:divBdr>
          <w:divsChild>
            <w:div w:id="2118327846">
              <w:marLeft w:val="0"/>
              <w:marRight w:val="0"/>
              <w:marTop w:val="0"/>
              <w:marBottom w:val="0"/>
              <w:divBdr>
                <w:top w:val="none" w:sz="0" w:space="0" w:color="auto"/>
                <w:left w:val="none" w:sz="0" w:space="0" w:color="auto"/>
                <w:bottom w:val="none" w:sz="0" w:space="0" w:color="auto"/>
                <w:right w:val="none" w:sz="0" w:space="0" w:color="auto"/>
              </w:divBdr>
              <w:divsChild>
                <w:div w:id="1922256571">
                  <w:marLeft w:val="0"/>
                  <w:marRight w:val="0"/>
                  <w:marTop w:val="0"/>
                  <w:marBottom w:val="0"/>
                  <w:divBdr>
                    <w:top w:val="none" w:sz="0" w:space="0" w:color="auto"/>
                    <w:left w:val="none" w:sz="0" w:space="0" w:color="auto"/>
                    <w:bottom w:val="none" w:sz="0" w:space="0" w:color="auto"/>
                    <w:right w:val="none" w:sz="0" w:space="0" w:color="auto"/>
                  </w:divBdr>
                  <w:divsChild>
                    <w:div w:id="2056420250">
                      <w:marLeft w:val="0"/>
                      <w:marRight w:val="0"/>
                      <w:marTop w:val="0"/>
                      <w:marBottom w:val="0"/>
                      <w:divBdr>
                        <w:top w:val="none" w:sz="0" w:space="0" w:color="auto"/>
                        <w:left w:val="none" w:sz="0" w:space="0" w:color="auto"/>
                        <w:bottom w:val="none" w:sz="0" w:space="0" w:color="auto"/>
                        <w:right w:val="none" w:sz="0" w:space="0" w:color="auto"/>
                      </w:divBdr>
                    </w:div>
                    <w:div w:id="495389997">
                      <w:marLeft w:val="0"/>
                      <w:marRight w:val="0"/>
                      <w:marTop w:val="0"/>
                      <w:marBottom w:val="0"/>
                      <w:divBdr>
                        <w:top w:val="none" w:sz="0" w:space="0" w:color="auto"/>
                        <w:left w:val="none" w:sz="0" w:space="0" w:color="auto"/>
                        <w:bottom w:val="none" w:sz="0" w:space="0" w:color="auto"/>
                        <w:right w:val="none" w:sz="0" w:space="0" w:color="auto"/>
                      </w:divBdr>
                      <w:divsChild>
                        <w:div w:id="1557544435">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sChild>
                </w:div>
              </w:divsChild>
            </w:div>
          </w:divsChild>
        </w:div>
      </w:divsChild>
    </w:div>
    <w:div w:id="1177380398">
      <w:bodyDiv w:val="1"/>
      <w:marLeft w:val="0"/>
      <w:marRight w:val="0"/>
      <w:marTop w:val="0"/>
      <w:marBottom w:val="0"/>
      <w:divBdr>
        <w:top w:val="none" w:sz="0" w:space="0" w:color="auto"/>
        <w:left w:val="none" w:sz="0" w:space="0" w:color="auto"/>
        <w:bottom w:val="none" w:sz="0" w:space="0" w:color="auto"/>
        <w:right w:val="none" w:sz="0" w:space="0" w:color="auto"/>
      </w:divBdr>
    </w:div>
    <w:div w:id="1836336212">
      <w:bodyDiv w:val="1"/>
      <w:marLeft w:val="0"/>
      <w:marRight w:val="0"/>
      <w:marTop w:val="0"/>
      <w:marBottom w:val="0"/>
      <w:divBdr>
        <w:top w:val="none" w:sz="0" w:space="0" w:color="auto"/>
        <w:left w:val="none" w:sz="0" w:space="0" w:color="auto"/>
        <w:bottom w:val="none" w:sz="0" w:space="0" w:color="auto"/>
        <w:right w:val="none" w:sz="0" w:space="0" w:color="auto"/>
      </w:divBdr>
      <w:divsChild>
        <w:div w:id="502866786">
          <w:marLeft w:val="0"/>
          <w:marRight w:val="0"/>
          <w:marTop w:val="225"/>
          <w:marBottom w:val="225"/>
          <w:divBdr>
            <w:top w:val="none" w:sz="0" w:space="0" w:color="auto"/>
            <w:left w:val="none" w:sz="0" w:space="0" w:color="auto"/>
            <w:bottom w:val="none" w:sz="0" w:space="0" w:color="auto"/>
            <w:right w:val="none" w:sz="0" w:space="0" w:color="auto"/>
          </w:divBdr>
          <w:divsChild>
            <w:div w:id="114565887">
              <w:marLeft w:val="0"/>
              <w:marRight w:val="0"/>
              <w:marTop w:val="0"/>
              <w:marBottom w:val="0"/>
              <w:divBdr>
                <w:top w:val="none" w:sz="0" w:space="0" w:color="auto"/>
                <w:left w:val="none" w:sz="0" w:space="0" w:color="auto"/>
                <w:bottom w:val="none" w:sz="0" w:space="0" w:color="auto"/>
                <w:right w:val="none" w:sz="0" w:space="0" w:color="auto"/>
              </w:divBdr>
              <w:divsChild>
                <w:div w:id="998391085">
                  <w:marLeft w:val="0"/>
                  <w:marRight w:val="0"/>
                  <w:marTop w:val="0"/>
                  <w:marBottom w:val="0"/>
                  <w:divBdr>
                    <w:top w:val="none" w:sz="0" w:space="0" w:color="auto"/>
                    <w:left w:val="none" w:sz="0" w:space="0" w:color="auto"/>
                    <w:bottom w:val="none" w:sz="0" w:space="0" w:color="auto"/>
                    <w:right w:val="none" w:sz="0" w:space="0" w:color="auto"/>
                  </w:divBdr>
                  <w:divsChild>
                    <w:div w:id="1544368556">
                      <w:marLeft w:val="0"/>
                      <w:marRight w:val="0"/>
                      <w:marTop w:val="0"/>
                      <w:marBottom w:val="0"/>
                      <w:divBdr>
                        <w:top w:val="none" w:sz="0" w:space="0" w:color="auto"/>
                        <w:left w:val="none" w:sz="0" w:space="0" w:color="auto"/>
                        <w:bottom w:val="none" w:sz="0" w:space="0" w:color="auto"/>
                        <w:right w:val="none" w:sz="0" w:space="0" w:color="auto"/>
                      </w:divBdr>
                    </w:div>
                    <w:div w:id="965237917">
                      <w:marLeft w:val="0"/>
                      <w:marRight w:val="0"/>
                      <w:marTop w:val="0"/>
                      <w:marBottom w:val="0"/>
                      <w:divBdr>
                        <w:top w:val="none" w:sz="0" w:space="0" w:color="auto"/>
                        <w:left w:val="none" w:sz="0" w:space="0" w:color="auto"/>
                        <w:bottom w:val="none" w:sz="0" w:space="0" w:color="auto"/>
                        <w:right w:val="none" w:sz="0" w:space="0" w:color="auto"/>
                      </w:divBdr>
                    </w:div>
                    <w:div w:id="2092308263">
                      <w:marLeft w:val="0"/>
                      <w:marRight w:val="0"/>
                      <w:marTop w:val="0"/>
                      <w:marBottom w:val="0"/>
                      <w:divBdr>
                        <w:top w:val="none" w:sz="0" w:space="0" w:color="auto"/>
                        <w:left w:val="none" w:sz="0" w:space="0" w:color="auto"/>
                        <w:bottom w:val="none" w:sz="0" w:space="0" w:color="auto"/>
                        <w:right w:val="none" w:sz="0" w:space="0" w:color="auto"/>
                      </w:divBdr>
                      <w:divsChild>
                        <w:div w:id="634944924">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sChild>
                </w:div>
              </w:divsChild>
            </w:div>
          </w:divsChild>
        </w:div>
      </w:divsChild>
    </w:div>
    <w:div w:id="1840728554">
      <w:bodyDiv w:val="1"/>
      <w:marLeft w:val="0"/>
      <w:marRight w:val="0"/>
      <w:marTop w:val="0"/>
      <w:marBottom w:val="0"/>
      <w:divBdr>
        <w:top w:val="none" w:sz="0" w:space="0" w:color="auto"/>
        <w:left w:val="none" w:sz="0" w:space="0" w:color="auto"/>
        <w:bottom w:val="none" w:sz="0" w:space="0" w:color="auto"/>
        <w:right w:val="none" w:sz="0" w:space="0" w:color="auto"/>
      </w:divBdr>
      <w:divsChild>
        <w:div w:id="1212958571">
          <w:marLeft w:val="0"/>
          <w:marRight w:val="0"/>
          <w:marTop w:val="0"/>
          <w:marBottom w:val="0"/>
          <w:divBdr>
            <w:top w:val="none" w:sz="0" w:space="0" w:color="auto"/>
            <w:left w:val="none" w:sz="0" w:space="0" w:color="auto"/>
            <w:bottom w:val="none" w:sz="0" w:space="0" w:color="auto"/>
            <w:right w:val="none" w:sz="0" w:space="0" w:color="auto"/>
          </w:divBdr>
        </w:div>
        <w:div w:id="1817487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30642046">
              <w:marLeft w:val="0"/>
              <w:marRight w:val="0"/>
              <w:marTop w:val="0"/>
              <w:marBottom w:val="0"/>
              <w:divBdr>
                <w:top w:val="none" w:sz="0" w:space="0" w:color="auto"/>
                <w:left w:val="none" w:sz="0" w:space="0" w:color="auto"/>
                <w:bottom w:val="none" w:sz="0" w:space="0" w:color="auto"/>
                <w:right w:val="none" w:sz="0" w:space="0" w:color="auto"/>
              </w:divBdr>
            </w:div>
            <w:div w:id="1554266780">
              <w:marLeft w:val="0"/>
              <w:marRight w:val="0"/>
              <w:marTop w:val="0"/>
              <w:marBottom w:val="0"/>
              <w:divBdr>
                <w:top w:val="none" w:sz="0" w:space="0" w:color="auto"/>
                <w:left w:val="none" w:sz="0" w:space="0" w:color="auto"/>
                <w:bottom w:val="none" w:sz="0" w:space="0" w:color="auto"/>
                <w:right w:val="none" w:sz="0" w:space="0" w:color="auto"/>
              </w:divBdr>
            </w:div>
            <w:div w:id="483157516">
              <w:marLeft w:val="0"/>
              <w:marRight w:val="0"/>
              <w:marTop w:val="0"/>
              <w:marBottom w:val="0"/>
              <w:divBdr>
                <w:top w:val="none" w:sz="0" w:space="0" w:color="auto"/>
                <w:left w:val="none" w:sz="0" w:space="0" w:color="auto"/>
                <w:bottom w:val="none" w:sz="0" w:space="0" w:color="auto"/>
                <w:right w:val="none" w:sz="0" w:space="0" w:color="auto"/>
              </w:divBdr>
            </w:div>
            <w:div w:id="251664567">
              <w:marLeft w:val="0"/>
              <w:marRight w:val="0"/>
              <w:marTop w:val="0"/>
              <w:marBottom w:val="0"/>
              <w:divBdr>
                <w:top w:val="none" w:sz="0" w:space="0" w:color="auto"/>
                <w:left w:val="none" w:sz="0" w:space="0" w:color="auto"/>
                <w:bottom w:val="none" w:sz="0" w:space="0" w:color="auto"/>
                <w:right w:val="none" w:sz="0" w:space="0" w:color="auto"/>
              </w:divBdr>
            </w:div>
            <w:div w:id="1154490941">
              <w:marLeft w:val="0"/>
              <w:marRight w:val="0"/>
              <w:marTop w:val="0"/>
              <w:marBottom w:val="0"/>
              <w:divBdr>
                <w:top w:val="none" w:sz="0" w:space="0" w:color="auto"/>
                <w:left w:val="none" w:sz="0" w:space="0" w:color="auto"/>
                <w:bottom w:val="none" w:sz="0" w:space="0" w:color="auto"/>
                <w:right w:val="none" w:sz="0" w:space="0" w:color="auto"/>
              </w:divBdr>
            </w:div>
            <w:div w:id="445153030">
              <w:marLeft w:val="0"/>
              <w:marRight w:val="0"/>
              <w:marTop w:val="0"/>
              <w:marBottom w:val="0"/>
              <w:divBdr>
                <w:top w:val="none" w:sz="0" w:space="0" w:color="auto"/>
                <w:left w:val="none" w:sz="0" w:space="0" w:color="auto"/>
                <w:bottom w:val="none" w:sz="0" w:space="0" w:color="auto"/>
                <w:right w:val="none" w:sz="0" w:space="0" w:color="auto"/>
              </w:divBdr>
            </w:div>
            <w:div w:id="1239171614">
              <w:marLeft w:val="0"/>
              <w:marRight w:val="0"/>
              <w:marTop w:val="0"/>
              <w:marBottom w:val="0"/>
              <w:divBdr>
                <w:top w:val="none" w:sz="0" w:space="0" w:color="auto"/>
                <w:left w:val="none" w:sz="0" w:space="0" w:color="auto"/>
                <w:bottom w:val="none" w:sz="0" w:space="0" w:color="auto"/>
                <w:right w:val="none" w:sz="0" w:space="0" w:color="auto"/>
              </w:divBdr>
            </w:div>
            <w:div w:id="626934141">
              <w:marLeft w:val="0"/>
              <w:marRight w:val="0"/>
              <w:marTop w:val="0"/>
              <w:marBottom w:val="0"/>
              <w:divBdr>
                <w:top w:val="none" w:sz="0" w:space="0" w:color="auto"/>
                <w:left w:val="none" w:sz="0" w:space="0" w:color="auto"/>
                <w:bottom w:val="none" w:sz="0" w:space="0" w:color="auto"/>
                <w:right w:val="none" w:sz="0" w:space="0" w:color="auto"/>
              </w:divBdr>
            </w:div>
            <w:div w:id="25833483">
              <w:marLeft w:val="0"/>
              <w:marRight w:val="0"/>
              <w:marTop w:val="0"/>
              <w:marBottom w:val="0"/>
              <w:divBdr>
                <w:top w:val="none" w:sz="0" w:space="0" w:color="auto"/>
                <w:left w:val="none" w:sz="0" w:space="0" w:color="auto"/>
                <w:bottom w:val="none" w:sz="0" w:space="0" w:color="auto"/>
                <w:right w:val="none" w:sz="0" w:space="0" w:color="auto"/>
              </w:divBdr>
            </w:div>
            <w:div w:id="698777193">
              <w:marLeft w:val="0"/>
              <w:marRight w:val="0"/>
              <w:marTop w:val="0"/>
              <w:marBottom w:val="0"/>
              <w:divBdr>
                <w:top w:val="none" w:sz="0" w:space="0" w:color="auto"/>
                <w:left w:val="none" w:sz="0" w:space="0" w:color="auto"/>
                <w:bottom w:val="none" w:sz="0" w:space="0" w:color="auto"/>
                <w:right w:val="none" w:sz="0" w:space="0" w:color="auto"/>
              </w:divBdr>
            </w:div>
            <w:div w:id="628630587">
              <w:marLeft w:val="0"/>
              <w:marRight w:val="0"/>
              <w:marTop w:val="0"/>
              <w:marBottom w:val="0"/>
              <w:divBdr>
                <w:top w:val="none" w:sz="0" w:space="0" w:color="auto"/>
                <w:left w:val="none" w:sz="0" w:space="0" w:color="auto"/>
                <w:bottom w:val="none" w:sz="0" w:space="0" w:color="auto"/>
                <w:right w:val="none" w:sz="0" w:space="0" w:color="auto"/>
              </w:divBdr>
            </w:div>
            <w:div w:id="1842037232">
              <w:marLeft w:val="0"/>
              <w:marRight w:val="0"/>
              <w:marTop w:val="0"/>
              <w:marBottom w:val="0"/>
              <w:divBdr>
                <w:top w:val="none" w:sz="0" w:space="0" w:color="auto"/>
                <w:left w:val="none" w:sz="0" w:space="0" w:color="auto"/>
                <w:bottom w:val="none" w:sz="0" w:space="0" w:color="auto"/>
                <w:right w:val="none" w:sz="0" w:space="0" w:color="auto"/>
              </w:divBdr>
            </w:div>
            <w:div w:id="611206134">
              <w:marLeft w:val="0"/>
              <w:marRight w:val="0"/>
              <w:marTop w:val="0"/>
              <w:marBottom w:val="0"/>
              <w:divBdr>
                <w:top w:val="none" w:sz="0" w:space="0" w:color="auto"/>
                <w:left w:val="none" w:sz="0" w:space="0" w:color="auto"/>
                <w:bottom w:val="none" w:sz="0" w:space="0" w:color="auto"/>
                <w:right w:val="none" w:sz="0" w:space="0" w:color="auto"/>
              </w:divBdr>
            </w:div>
            <w:div w:id="1055279727">
              <w:marLeft w:val="0"/>
              <w:marRight w:val="0"/>
              <w:marTop w:val="0"/>
              <w:marBottom w:val="0"/>
              <w:divBdr>
                <w:top w:val="none" w:sz="0" w:space="0" w:color="auto"/>
                <w:left w:val="none" w:sz="0" w:space="0" w:color="auto"/>
                <w:bottom w:val="none" w:sz="0" w:space="0" w:color="auto"/>
                <w:right w:val="none" w:sz="0" w:space="0" w:color="auto"/>
              </w:divBdr>
            </w:div>
            <w:div w:id="272330127">
              <w:marLeft w:val="0"/>
              <w:marRight w:val="0"/>
              <w:marTop w:val="0"/>
              <w:marBottom w:val="0"/>
              <w:divBdr>
                <w:top w:val="none" w:sz="0" w:space="0" w:color="auto"/>
                <w:left w:val="none" w:sz="0" w:space="0" w:color="auto"/>
                <w:bottom w:val="none" w:sz="0" w:space="0" w:color="auto"/>
                <w:right w:val="none" w:sz="0" w:space="0" w:color="auto"/>
              </w:divBdr>
            </w:div>
            <w:div w:id="640354975">
              <w:marLeft w:val="0"/>
              <w:marRight w:val="0"/>
              <w:marTop w:val="0"/>
              <w:marBottom w:val="0"/>
              <w:divBdr>
                <w:top w:val="none" w:sz="0" w:space="0" w:color="auto"/>
                <w:left w:val="none" w:sz="0" w:space="0" w:color="auto"/>
                <w:bottom w:val="none" w:sz="0" w:space="0" w:color="auto"/>
                <w:right w:val="none" w:sz="0" w:space="0" w:color="auto"/>
              </w:divBdr>
            </w:div>
            <w:div w:id="1991204991">
              <w:marLeft w:val="0"/>
              <w:marRight w:val="0"/>
              <w:marTop w:val="0"/>
              <w:marBottom w:val="0"/>
              <w:divBdr>
                <w:top w:val="none" w:sz="0" w:space="0" w:color="auto"/>
                <w:left w:val="none" w:sz="0" w:space="0" w:color="auto"/>
                <w:bottom w:val="none" w:sz="0" w:space="0" w:color="auto"/>
                <w:right w:val="none" w:sz="0" w:space="0" w:color="auto"/>
              </w:divBdr>
            </w:div>
            <w:div w:id="283075792">
              <w:marLeft w:val="0"/>
              <w:marRight w:val="0"/>
              <w:marTop w:val="0"/>
              <w:marBottom w:val="0"/>
              <w:divBdr>
                <w:top w:val="none" w:sz="0" w:space="0" w:color="auto"/>
                <w:left w:val="none" w:sz="0" w:space="0" w:color="auto"/>
                <w:bottom w:val="none" w:sz="0" w:space="0" w:color="auto"/>
                <w:right w:val="none" w:sz="0" w:space="0" w:color="auto"/>
              </w:divBdr>
            </w:div>
            <w:div w:id="470681850">
              <w:marLeft w:val="0"/>
              <w:marRight w:val="0"/>
              <w:marTop w:val="0"/>
              <w:marBottom w:val="0"/>
              <w:divBdr>
                <w:top w:val="none" w:sz="0" w:space="0" w:color="auto"/>
                <w:left w:val="none" w:sz="0" w:space="0" w:color="auto"/>
                <w:bottom w:val="none" w:sz="0" w:space="0" w:color="auto"/>
                <w:right w:val="none" w:sz="0" w:space="0" w:color="auto"/>
              </w:divBdr>
            </w:div>
            <w:div w:id="1969430133">
              <w:marLeft w:val="0"/>
              <w:marRight w:val="0"/>
              <w:marTop w:val="0"/>
              <w:marBottom w:val="0"/>
              <w:divBdr>
                <w:top w:val="none" w:sz="0" w:space="0" w:color="auto"/>
                <w:left w:val="none" w:sz="0" w:space="0" w:color="auto"/>
                <w:bottom w:val="none" w:sz="0" w:space="0" w:color="auto"/>
                <w:right w:val="none" w:sz="0" w:space="0" w:color="auto"/>
              </w:divBdr>
            </w:div>
            <w:div w:id="35473264">
              <w:marLeft w:val="0"/>
              <w:marRight w:val="0"/>
              <w:marTop w:val="0"/>
              <w:marBottom w:val="0"/>
              <w:divBdr>
                <w:top w:val="none" w:sz="0" w:space="0" w:color="auto"/>
                <w:left w:val="none" w:sz="0" w:space="0" w:color="auto"/>
                <w:bottom w:val="none" w:sz="0" w:space="0" w:color="auto"/>
                <w:right w:val="none" w:sz="0" w:space="0" w:color="auto"/>
              </w:divBdr>
            </w:div>
            <w:div w:id="765349276">
              <w:marLeft w:val="0"/>
              <w:marRight w:val="0"/>
              <w:marTop w:val="0"/>
              <w:marBottom w:val="0"/>
              <w:divBdr>
                <w:top w:val="none" w:sz="0" w:space="0" w:color="auto"/>
                <w:left w:val="none" w:sz="0" w:space="0" w:color="auto"/>
                <w:bottom w:val="none" w:sz="0" w:space="0" w:color="auto"/>
                <w:right w:val="none" w:sz="0" w:space="0" w:color="auto"/>
              </w:divBdr>
            </w:div>
            <w:div w:id="20977129">
              <w:marLeft w:val="0"/>
              <w:marRight w:val="0"/>
              <w:marTop w:val="0"/>
              <w:marBottom w:val="0"/>
              <w:divBdr>
                <w:top w:val="none" w:sz="0" w:space="0" w:color="auto"/>
                <w:left w:val="none" w:sz="0" w:space="0" w:color="auto"/>
                <w:bottom w:val="none" w:sz="0" w:space="0" w:color="auto"/>
                <w:right w:val="none" w:sz="0" w:space="0" w:color="auto"/>
              </w:divBdr>
            </w:div>
            <w:div w:id="117341195">
              <w:marLeft w:val="0"/>
              <w:marRight w:val="0"/>
              <w:marTop w:val="0"/>
              <w:marBottom w:val="0"/>
              <w:divBdr>
                <w:top w:val="none" w:sz="0" w:space="0" w:color="auto"/>
                <w:left w:val="none" w:sz="0" w:space="0" w:color="auto"/>
                <w:bottom w:val="none" w:sz="0" w:space="0" w:color="auto"/>
                <w:right w:val="none" w:sz="0" w:space="0" w:color="auto"/>
              </w:divBdr>
            </w:div>
            <w:div w:id="1388335620">
              <w:marLeft w:val="0"/>
              <w:marRight w:val="0"/>
              <w:marTop w:val="0"/>
              <w:marBottom w:val="0"/>
              <w:divBdr>
                <w:top w:val="none" w:sz="0" w:space="0" w:color="auto"/>
                <w:left w:val="none" w:sz="0" w:space="0" w:color="auto"/>
                <w:bottom w:val="none" w:sz="0" w:space="0" w:color="auto"/>
                <w:right w:val="none" w:sz="0" w:space="0" w:color="auto"/>
              </w:divBdr>
            </w:div>
            <w:div w:id="350105787">
              <w:marLeft w:val="0"/>
              <w:marRight w:val="0"/>
              <w:marTop w:val="0"/>
              <w:marBottom w:val="0"/>
              <w:divBdr>
                <w:top w:val="none" w:sz="0" w:space="0" w:color="auto"/>
                <w:left w:val="none" w:sz="0" w:space="0" w:color="auto"/>
                <w:bottom w:val="none" w:sz="0" w:space="0" w:color="auto"/>
                <w:right w:val="none" w:sz="0" w:space="0" w:color="auto"/>
              </w:divBdr>
            </w:div>
            <w:div w:id="496268137">
              <w:marLeft w:val="0"/>
              <w:marRight w:val="0"/>
              <w:marTop w:val="0"/>
              <w:marBottom w:val="0"/>
              <w:divBdr>
                <w:top w:val="none" w:sz="0" w:space="0" w:color="auto"/>
                <w:left w:val="none" w:sz="0" w:space="0" w:color="auto"/>
                <w:bottom w:val="none" w:sz="0" w:space="0" w:color="auto"/>
                <w:right w:val="none" w:sz="0" w:space="0" w:color="auto"/>
              </w:divBdr>
            </w:div>
            <w:div w:id="1064837672">
              <w:marLeft w:val="0"/>
              <w:marRight w:val="0"/>
              <w:marTop w:val="0"/>
              <w:marBottom w:val="0"/>
              <w:divBdr>
                <w:top w:val="none" w:sz="0" w:space="0" w:color="auto"/>
                <w:left w:val="none" w:sz="0" w:space="0" w:color="auto"/>
                <w:bottom w:val="none" w:sz="0" w:space="0" w:color="auto"/>
                <w:right w:val="none" w:sz="0" w:space="0" w:color="auto"/>
              </w:divBdr>
            </w:div>
            <w:div w:id="1866825476">
              <w:marLeft w:val="0"/>
              <w:marRight w:val="0"/>
              <w:marTop w:val="0"/>
              <w:marBottom w:val="0"/>
              <w:divBdr>
                <w:top w:val="none" w:sz="0" w:space="0" w:color="auto"/>
                <w:left w:val="none" w:sz="0" w:space="0" w:color="auto"/>
                <w:bottom w:val="none" w:sz="0" w:space="0" w:color="auto"/>
                <w:right w:val="none" w:sz="0" w:space="0" w:color="auto"/>
              </w:divBdr>
            </w:div>
            <w:div w:id="1552811422">
              <w:marLeft w:val="0"/>
              <w:marRight w:val="0"/>
              <w:marTop w:val="0"/>
              <w:marBottom w:val="0"/>
              <w:divBdr>
                <w:top w:val="none" w:sz="0" w:space="0" w:color="auto"/>
                <w:left w:val="none" w:sz="0" w:space="0" w:color="auto"/>
                <w:bottom w:val="none" w:sz="0" w:space="0" w:color="auto"/>
                <w:right w:val="none" w:sz="0" w:space="0" w:color="auto"/>
              </w:divBdr>
            </w:div>
            <w:div w:id="219483702">
              <w:marLeft w:val="0"/>
              <w:marRight w:val="0"/>
              <w:marTop w:val="0"/>
              <w:marBottom w:val="0"/>
              <w:divBdr>
                <w:top w:val="none" w:sz="0" w:space="0" w:color="auto"/>
                <w:left w:val="none" w:sz="0" w:space="0" w:color="auto"/>
                <w:bottom w:val="none" w:sz="0" w:space="0" w:color="auto"/>
                <w:right w:val="none" w:sz="0" w:space="0" w:color="auto"/>
              </w:divBdr>
            </w:div>
            <w:div w:id="939412966">
              <w:marLeft w:val="0"/>
              <w:marRight w:val="0"/>
              <w:marTop w:val="0"/>
              <w:marBottom w:val="0"/>
              <w:divBdr>
                <w:top w:val="none" w:sz="0" w:space="0" w:color="auto"/>
                <w:left w:val="none" w:sz="0" w:space="0" w:color="auto"/>
                <w:bottom w:val="none" w:sz="0" w:space="0" w:color="auto"/>
                <w:right w:val="none" w:sz="0" w:space="0" w:color="auto"/>
              </w:divBdr>
            </w:div>
            <w:div w:id="343629125">
              <w:marLeft w:val="0"/>
              <w:marRight w:val="0"/>
              <w:marTop w:val="0"/>
              <w:marBottom w:val="0"/>
              <w:divBdr>
                <w:top w:val="none" w:sz="0" w:space="0" w:color="auto"/>
                <w:left w:val="none" w:sz="0" w:space="0" w:color="auto"/>
                <w:bottom w:val="none" w:sz="0" w:space="0" w:color="auto"/>
                <w:right w:val="none" w:sz="0" w:space="0" w:color="auto"/>
              </w:divBdr>
            </w:div>
            <w:div w:id="1202591380">
              <w:marLeft w:val="0"/>
              <w:marRight w:val="0"/>
              <w:marTop w:val="0"/>
              <w:marBottom w:val="0"/>
              <w:divBdr>
                <w:top w:val="none" w:sz="0" w:space="0" w:color="auto"/>
                <w:left w:val="none" w:sz="0" w:space="0" w:color="auto"/>
                <w:bottom w:val="none" w:sz="0" w:space="0" w:color="auto"/>
                <w:right w:val="none" w:sz="0" w:space="0" w:color="auto"/>
              </w:divBdr>
            </w:div>
            <w:div w:id="1263958351">
              <w:marLeft w:val="0"/>
              <w:marRight w:val="0"/>
              <w:marTop w:val="0"/>
              <w:marBottom w:val="0"/>
              <w:divBdr>
                <w:top w:val="none" w:sz="0" w:space="0" w:color="auto"/>
                <w:left w:val="none" w:sz="0" w:space="0" w:color="auto"/>
                <w:bottom w:val="none" w:sz="0" w:space="0" w:color="auto"/>
                <w:right w:val="none" w:sz="0" w:space="0" w:color="auto"/>
              </w:divBdr>
            </w:div>
            <w:div w:id="1924025690">
              <w:marLeft w:val="0"/>
              <w:marRight w:val="0"/>
              <w:marTop w:val="0"/>
              <w:marBottom w:val="0"/>
              <w:divBdr>
                <w:top w:val="none" w:sz="0" w:space="0" w:color="auto"/>
                <w:left w:val="none" w:sz="0" w:space="0" w:color="auto"/>
                <w:bottom w:val="none" w:sz="0" w:space="0" w:color="auto"/>
                <w:right w:val="none" w:sz="0" w:space="0" w:color="auto"/>
              </w:divBdr>
            </w:div>
            <w:div w:id="384061620">
              <w:marLeft w:val="0"/>
              <w:marRight w:val="0"/>
              <w:marTop w:val="0"/>
              <w:marBottom w:val="0"/>
              <w:divBdr>
                <w:top w:val="none" w:sz="0" w:space="0" w:color="auto"/>
                <w:left w:val="none" w:sz="0" w:space="0" w:color="auto"/>
                <w:bottom w:val="none" w:sz="0" w:space="0" w:color="auto"/>
                <w:right w:val="none" w:sz="0" w:space="0" w:color="auto"/>
              </w:divBdr>
            </w:div>
            <w:div w:id="962199732">
              <w:marLeft w:val="0"/>
              <w:marRight w:val="0"/>
              <w:marTop w:val="0"/>
              <w:marBottom w:val="0"/>
              <w:divBdr>
                <w:top w:val="none" w:sz="0" w:space="0" w:color="auto"/>
                <w:left w:val="none" w:sz="0" w:space="0" w:color="auto"/>
                <w:bottom w:val="none" w:sz="0" w:space="0" w:color="auto"/>
                <w:right w:val="none" w:sz="0" w:space="0" w:color="auto"/>
              </w:divBdr>
            </w:div>
            <w:div w:id="2022121266">
              <w:marLeft w:val="0"/>
              <w:marRight w:val="0"/>
              <w:marTop w:val="0"/>
              <w:marBottom w:val="0"/>
              <w:divBdr>
                <w:top w:val="none" w:sz="0" w:space="0" w:color="auto"/>
                <w:left w:val="none" w:sz="0" w:space="0" w:color="auto"/>
                <w:bottom w:val="none" w:sz="0" w:space="0" w:color="auto"/>
                <w:right w:val="none" w:sz="0" w:space="0" w:color="auto"/>
              </w:divBdr>
            </w:div>
            <w:div w:id="1139297777">
              <w:marLeft w:val="0"/>
              <w:marRight w:val="0"/>
              <w:marTop w:val="0"/>
              <w:marBottom w:val="0"/>
              <w:divBdr>
                <w:top w:val="none" w:sz="0" w:space="0" w:color="auto"/>
                <w:left w:val="none" w:sz="0" w:space="0" w:color="auto"/>
                <w:bottom w:val="none" w:sz="0" w:space="0" w:color="auto"/>
                <w:right w:val="none" w:sz="0" w:space="0" w:color="auto"/>
              </w:divBdr>
            </w:div>
            <w:div w:id="780343171">
              <w:marLeft w:val="0"/>
              <w:marRight w:val="0"/>
              <w:marTop w:val="0"/>
              <w:marBottom w:val="0"/>
              <w:divBdr>
                <w:top w:val="none" w:sz="0" w:space="0" w:color="auto"/>
                <w:left w:val="none" w:sz="0" w:space="0" w:color="auto"/>
                <w:bottom w:val="none" w:sz="0" w:space="0" w:color="auto"/>
                <w:right w:val="none" w:sz="0" w:space="0" w:color="auto"/>
              </w:divBdr>
            </w:div>
            <w:div w:id="53166086">
              <w:marLeft w:val="0"/>
              <w:marRight w:val="0"/>
              <w:marTop w:val="0"/>
              <w:marBottom w:val="0"/>
              <w:divBdr>
                <w:top w:val="none" w:sz="0" w:space="0" w:color="auto"/>
                <w:left w:val="none" w:sz="0" w:space="0" w:color="auto"/>
                <w:bottom w:val="none" w:sz="0" w:space="0" w:color="auto"/>
                <w:right w:val="none" w:sz="0" w:space="0" w:color="auto"/>
              </w:divBdr>
            </w:div>
            <w:div w:id="1273711182">
              <w:marLeft w:val="0"/>
              <w:marRight w:val="0"/>
              <w:marTop w:val="0"/>
              <w:marBottom w:val="0"/>
              <w:divBdr>
                <w:top w:val="none" w:sz="0" w:space="0" w:color="auto"/>
                <w:left w:val="none" w:sz="0" w:space="0" w:color="auto"/>
                <w:bottom w:val="none" w:sz="0" w:space="0" w:color="auto"/>
                <w:right w:val="none" w:sz="0" w:space="0" w:color="auto"/>
              </w:divBdr>
            </w:div>
            <w:div w:id="1128470186">
              <w:marLeft w:val="0"/>
              <w:marRight w:val="0"/>
              <w:marTop w:val="0"/>
              <w:marBottom w:val="0"/>
              <w:divBdr>
                <w:top w:val="none" w:sz="0" w:space="0" w:color="auto"/>
                <w:left w:val="none" w:sz="0" w:space="0" w:color="auto"/>
                <w:bottom w:val="none" w:sz="0" w:space="0" w:color="auto"/>
                <w:right w:val="none" w:sz="0" w:space="0" w:color="auto"/>
              </w:divBdr>
            </w:div>
            <w:div w:id="2129659582">
              <w:marLeft w:val="0"/>
              <w:marRight w:val="0"/>
              <w:marTop w:val="0"/>
              <w:marBottom w:val="0"/>
              <w:divBdr>
                <w:top w:val="none" w:sz="0" w:space="0" w:color="auto"/>
                <w:left w:val="none" w:sz="0" w:space="0" w:color="auto"/>
                <w:bottom w:val="none" w:sz="0" w:space="0" w:color="auto"/>
                <w:right w:val="none" w:sz="0" w:space="0" w:color="auto"/>
              </w:divBdr>
            </w:div>
            <w:div w:id="1130246568">
              <w:marLeft w:val="0"/>
              <w:marRight w:val="0"/>
              <w:marTop w:val="0"/>
              <w:marBottom w:val="0"/>
              <w:divBdr>
                <w:top w:val="none" w:sz="0" w:space="0" w:color="auto"/>
                <w:left w:val="none" w:sz="0" w:space="0" w:color="auto"/>
                <w:bottom w:val="none" w:sz="0" w:space="0" w:color="auto"/>
                <w:right w:val="none" w:sz="0" w:space="0" w:color="auto"/>
              </w:divBdr>
            </w:div>
            <w:div w:id="2142840241">
              <w:marLeft w:val="0"/>
              <w:marRight w:val="0"/>
              <w:marTop w:val="0"/>
              <w:marBottom w:val="0"/>
              <w:divBdr>
                <w:top w:val="none" w:sz="0" w:space="0" w:color="auto"/>
                <w:left w:val="none" w:sz="0" w:space="0" w:color="auto"/>
                <w:bottom w:val="none" w:sz="0" w:space="0" w:color="auto"/>
                <w:right w:val="none" w:sz="0" w:space="0" w:color="auto"/>
              </w:divBdr>
            </w:div>
            <w:div w:id="318273424">
              <w:marLeft w:val="0"/>
              <w:marRight w:val="0"/>
              <w:marTop w:val="0"/>
              <w:marBottom w:val="0"/>
              <w:divBdr>
                <w:top w:val="none" w:sz="0" w:space="0" w:color="auto"/>
                <w:left w:val="none" w:sz="0" w:space="0" w:color="auto"/>
                <w:bottom w:val="none" w:sz="0" w:space="0" w:color="auto"/>
                <w:right w:val="none" w:sz="0" w:space="0" w:color="auto"/>
              </w:divBdr>
            </w:div>
            <w:div w:id="14817741">
              <w:marLeft w:val="0"/>
              <w:marRight w:val="0"/>
              <w:marTop w:val="0"/>
              <w:marBottom w:val="0"/>
              <w:divBdr>
                <w:top w:val="none" w:sz="0" w:space="0" w:color="auto"/>
                <w:left w:val="none" w:sz="0" w:space="0" w:color="auto"/>
                <w:bottom w:val="none" w:sz="0" w:space="0" w:color="auto"/>
                <w:right w:val="none" w:sz="0" w:space="0" w:color="auto"/>
              </w:divBdr>
            </w:div>
            <w:div w:id="17736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9203">
      <w:bodyDiv w:val="1"/>
      <w:marLeft w:val="0"/>
      <w:marRight w:val="0"/>
      <w:marTop w:val="0"/>
      <w:marBottom w:val="0"/>
      <w:divBdr>
        <w:top w:val="none" w:sz="0" w:space="0" w:color="auto"/>
        <w:left w:val="none" w:sz="0" w:space="0" w:color="auto"/>
        <w:bottom w:val="none" w:sz="0" w:space="0" w:color="auto"/>
        <w:right w:val="none" w:sz="0" w:space="0" w:color="auto"/>
      </w:divBdr>
      <w:divsChild>
        <w:div w:id="1058896230">
          <w:marLeft w:val="0"/>
          <w:marRight w:val="0"/>
          <w:marTop w:val="225"/>
          <w:marBottom w:val="225"/>
          <w:divBdr>
            <w:top w:val="none" w:sz="0" w:space="0" w:color="auto"/>
            <w:left w:val="none" w:sz="0" w:space="0" w:color="auto"/>
            <w:bottom w:val="none" w:sz="0" w:space="0" w:color="auto"/>
            <w:right w:val="none" w:sz="0" w:space="0" w:color="auto"/>
          </w:divBdr>
          <w:divsChild>
            <w:div w:id="1551650439">
              <w:marLeft w:val="0"/>
              <w:marRight w:val="0"/>
              <w:marTop w:val="0"/>
              <w:marBottom w:val="0"/>
              <w:divBdr>
                <w:top w:val="none" w:sz="0" w:space="0" w:color="auto"/>
                <w:left w:val="none" w:sz="0" w:space="0" w:color="auto"/>
                <w:bottom w:val="none" w:sz="0" w:space="0" w:color="auto"/>
                <w:right w:val="none" w:sz="0" w:space="0" w:color="auto"/>
              </w:divBdr>
              <w:divsChild>
                <w:div w:id="835464081">
                  <w:marLeft w:val="0"/>
                  <w:marRight w:val="0"/>
                  <w:marTop w:val="0"/>
                  <w:marBottom w:val="0"/>
                  <w:divBdr>
                    <w:top w:val="none" w:sz="0" w:space="0" w:color="auto"/>
                    <w:left w:val="none" w:sz="0" w:space="0" w:color="auto"/>
                    <w:bottom w:val="none" w:sz="0" w:space="0" w:color="auto"/>
                    <w:right w:val="none" w:sz="0" w:space="0" w:color="auto"/>
                  </w:divBdr>
                  <w:divsChild>
                    <w:div w:id="1909030821">
                      <w:marLeft w:val="0"/>
                      <w:marRight w:val="0"/>
                      <w:marTop w:val="0"/>
                      <w:marBottom w:val="0"/>
                      <w:divBdr>
                        <w:top w:val="none" w:sz="0" w:space="0" w:color="auto"/>
                        <w:left w:val="none" w:sz="0" w:space="0" w:color="auto"/>
                        <w:bottom w:val="none" w:sz="0" w:space="0" w:color="auto"/>
                        <w:right w:val="none" w:sz="0" w:space="0" w:color="auto"/>
                      </w:divBdr>
                    </w:div>
                    <w:div w:id="489105013">
                      <w:marLeft w:val="0"/>
                      <w:marRight w:val="0"/>
                      <w:marTop w:val="0"/>
                      <w:marBottom w:val="0"/>
                      <w:divBdr>
                        <w:top w:val="none" w:sz="0" w:space="0" w:color="auto"/>
                        <w:left w:val="none" w:sz="0" w:space="0" w:color="auto"/>
                        <w:bottom w:val="none" w:sz="0" w:space="0" w:color="auto"/>
                        <w:right w:val="none" w:sz="0" w:space="0" w:color="auto"/>
                      </w:divBdr>
                    </w:div>
                    <w:div w:id="1628001423">
                      <w:marLeft w:val="0"/>
                      <w:marRight w:val="0"/>
                      <w:marTop w:val="0"/>
                      <w:marBottom w:val="0"/>
                      <w:divBdr>
                        <w:top w:val="none" w:sz="0" w:space="0" w:color="auto"/>
                        <w:left w:val="none" w:sz="0" w:space="0" w:color="auto"/>
                        <w:bottom w:val="none" w:sz="0" w:space="0" w:color="auto"/>
                        <w:right w:val="none" w:sz="0" w:space="0" w:color="auto"/>
                      </w:divBdr>
                    </w:div>
                    <w:div w:id="2006546975">
                      <w:marLeft w:val="0"/>
                      <w:marRight w:val="0"/>
                      <w:marTop w:val="0"/>
                      <w:marBottom w:val="0"/>
                      <w:divBdr>
                        <w:top w:val="none" w:sz="0" w:space="0" w:color="auto"/>
                        <w:left w:val="none" w:sz="0" w:space="0" w:color="auto"/>
                        <w:bottom w:val="none" w:sz="0" w:space="0" w:color="auto"/>
                        <w:right w:val="none" w:sz="0" w:space="0" w:color="auto"/>
                      </w:divBdr>
                      <w:divsChild>
                        <w:div w:id="627782659">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sChild>
                </w:div>
              </w:divsChild>
            </w:div>
          </w:divsChild>
        </w:div>
      </w:divsChild>
    </w:div>
    <w:div w:id="2125299169">
      <w:bodyDiv w:val="1"/>
      <w:marLeft w:val="0"/>
      <w:marRight w:val="0"/>
      <w:marTop w:val="0"/>
      <w:marBottom w:val="0"/>
      <w:divBdr>
        <w:top w:val="none" w:sz="0" w:space="0" w:color="auto"/>
        <w:left w:val="none" w:sz="0" w:space="0" w:color="auto"/>
        <w:bottom w:val="none" w:sz="0" w:space="0" w:color="auto"/>
        <w:right w:val="none" w:sz="0" w:space="0" w:color="auto"/>
      </w:divBdr>
      <w:divsChild>
        <w:div w:id="1385980758">
          <w:marLeft w:val="0"/>
          <w:marRight w:val="0"/>
          <w:marTop w:val="0"/>
          <w:marBottom w:val="0"/>
          <w:divBdr>
            <w:top w:val="none" w:sz="0" w:space="0" w:color="auto"/>
            <w:left w:val="none" w:sz="0" w:space="0" w:color="auto"/>
            <w:bottom w:val="none" w:sz="0" w:space="0" w:color="auto"/>
            <w:right w:val="none" w:sz="0" w:space="0" w:color="auto"/>
          </w:divBdr>
          <w:divsChild>
            <w:div w:id="517238100">
              <w:marLeft w:val="0"/>
              <w:marRight w:val="0"/>
              <w:marTop w:val="0"/>
              <w:marBottom w:val="0"/>
              <w:divBdr>
                <w:top w:val="none" w:sz="0" w:space="0" w:color="auto"/>
                <w:left w:val="none" w:sz="0" w:space="0" w:color="auto"/>
                <w:bottom w:val="none" w:sz="0" w:space="0" w:color="auto"/>
                <w:right w:val="none" w:sz="0" w:space="0" w:color="auto"/>
              </w:divBdr>
            </w:div>
          </w:divsChild>
        </w:div>
        <w:div w:id="798761200">
          <w:marLeft w:val="0"/>
          <w:marRight w:val="0"/>
          <w:marTop w:val="0"/>
          <w:marBottom w:val="0"/>
          <w:divBdr>
            <w:top w:val="none" w:sz="0" w:space="0" w:color="auto"/>
            <w:left w:val="none" w:sz="0" w:space="0" w:color="auto"/>
            <w:bottom w:val="none" w:sz="0" w:space="0" w:color="auto"/>
            <w:right w:val="none" w:sz="0" w:space="0" w:color="auto"/>
          </w:divBdr>
        </w:div>
        <w:div w:id="267741350">
          <w:marLeft w:val="0"/>
          <w:marRight w:val="0"/>
          <w:marTop w:val="0"/>
          <w:marBottom w:val="0"/>
          <w:divBdr>
            <w:top w:val="none" w:sz="0" w:space="0" w:color="auto"/>
            <w:left w:val="none" w:sz="0" w:space="0" w:color="auto"/>
            <w:bottom w:val="none" w:sz="0" w:space="0" w:color="auto"/>
            <w:right w:val="none" w:sz="0" w:space="0" w:color="auto"/>
          </w:divBdr>
          <w:divsChild>
            <w:div w:id="634333310">
              <w:marLeft w:val="0"/>
              <w:marRight w:val="0"/>
              <w:marTop w:val="150"/>
              <w:marBottom w:val="270"/>
              <w:divBdr>
                <w:top w:val="none" w:sz="0" w:space="0" w:color="auto"/>
                <w:left w:val="none" w:sz="0" w:space="0" w:color="auto"/>
                <w:bottom w:val="none" w:sz="0" w:space="0" w:color="auto"/>
                <w:right w:val="none" w:sz="0" w:space="0" w:color="auto"/>
              </w:divBdr>
            </w:div>
            <w:div w:id="119108125">
              <w:marLeft w:val="0"/>
              <w:marRight w:val="0"/>
              <w:marTop w:val="150"/>
              <w:marBottom w:val="270"/>
              <w:divBdr>
                <w:top w:val="none" w:sz="0" w:space="0" w:color="auto"/>
                <w:left w:val="none" w:sz="0" w:space="0" w:color="auto"/>
                <w:bottom w:val="none" w:sz="0" w:space="0" w:color="auto"/>
                <w:right w:val="none" w:sz="0" w:space="0" w:color="auto"/>
              </w:divBdr>
            </w:div>
            <w:div w:id="1972010023">
              <w:marLeft w:val="0"/>
              <w:marRight w:val="0"/>
              <w:marTop w:val="150"/>
              <w:marBottom w:val="270"/>
              <w:divBdr>
                <w:top w:val="none" w:sz="0" w:space="0" w:color="auto"/>
                <w:left w:val="none" w:sz="0" w:space="0" w:color="auto"/>
                <w:bottom w:val="none" w:sz="0" w:space="0" w:color="auto"/>
                <w:right w:val="none" w:sz="0" w:space="0" w:color="auto"/>
              </w:divBdr>
            </w:div>
          </w:divsChild>
        </w:div>
        <w:div w:id="1530144174">
          <w:marLeft w:val="0"/>
          <w:marRight w:val="0"/>
          <w:marTop w:val="0"/>
          <w:marBottom w:val="0"/>
          <w:divBdr>
            <w:top w:val="none" w:sz="0" w:space="0" w:color="auto"/>
            <w:left w:val="none" w:sz="0" w:space="0" w:color="auto"/>
            <w:bottom w:val="none" w:sz="0" w:space="0" w:color="auto"/>
            <w:right w:val="none" w:sz="0" w:space="0" w:color="auto"/>
          </w:divBdr>
        </w:div>
        <w:div w:id="416243965">
          <w:marLeft w:val="0"/>
          <w:marRight w:val="0"/>
          <w:marTop w:val="0"/>
          <w:marBottom w:val="0"/>
          <w:divBdr>
            <w:top w:val="none" w:sz="0" w:space="0" w:color="auto"/>
            <w:left w:val="none" w:sz="0" w:space="0" w:color="auto"/>
            <w:bottom w:val="none" w:sz="0" w:space="0" w:color="auto"/>
            <w:right w:val="none" w:sz="0" w:space="0" w:color="auto"/>
          </w:divBdr>
          <w:divsChild>
            <w:div w:id="293873954">
              <w:marLeft w:val="0"/>
              <w:marRight w:val="0"/>
              <w:marTop w:val="150"/>
              <w:marBottom w:val="270"/>
              <w:divBdr>
                <w:top w:val="none" w:sz="0" w:space="0" w:color="auto"/>
                <w:left w:val="none" w:sz="0" w:space="0" w:color="auto"/>
                <w:bottom w:val="none" w:sz="0" w:space="0" w:color="auto"/>
                <w:right w:val="none" w:sz="0" w:space="0" w:color="auto"/>
              </w:divBdr>
              <w:divsChild>
                <w:div w:id="1987856974">
                  <w:marLeft w:val="0"/>
                  <w:marRight w:val="0"/>
                  <w:marTop w:val="0"/>
                  <w:marBottom w:val="0"/>
                  <w:divBdr>
                    <w:top w:val="none" w:sz="0" w:space="0" w:color="auto"/>
                    <w:left w:val="none" w:sz="0" w:space="0" w:color="auto"/>
                    <w:bottom w:val="none" w:sz="0" w:space="0" w:color="auto"/>
                    <w:right w:val="none" w:sz="0" w:space="0" w:color="auto"/>
                  </w:divBdr>
                  <w:divsChild>
                    <w:div w:id="423915437">
                      <w:marLeft w:val="0"/>
                      <w:marRight w:val="0"/>
                      <w:marTop w:val="0"/>
                      <w:marBottom w:val="0"/>
                      <w:divBdr>
                        <w:top w:val="none" w:sz="0" w:space="0" w:color="auto"/>
                        <w:left w:val="none" w:sz="0" w:space="0" w:color="auto"/>
                        <w:bottom w:val="none" w:sz="0" w:space="0" w:color="auto"/>
                        <w:right w:val="none" w:sz="0" w:space="0" w:color="auto"/>
                      </w:divBdr>
                    </w:div>
                  </w:divsChild>
                </w:div>
                <w:div w:id="794101780">
                  <w:marLeft w:val="0"/>
                  <w:marRight w:val="0"/>
                  <w:marTop w:val="0"/>
                  <w:marBottom w:val="0"/>
                  <w:divBdr>
                    <w:top w:val="none" w:sz="0" w:space="0" w:color="auto"/>
                    <w:left w:val="none" w:sz="0" w:space="0" w:color="auto"/>
                    <w:bottom w:val="none" w:sz="0" w:space="0" w:color="auto"/>
                    <w:right w:val="none" w:sz="0" w:space="0" w:color="auto"/>
                  </w:divBdr>
                </w:div>
                <w:div w:id="1975476321">
                  <w:marLeft w:val="0"/>
                  <w:marRight w:val="0"/>
                  <w:marTop w:val="0"/>
                  <w:marBottom w:val="450"/>
                  <w:divBdr>
                    <w:top w:val="none" w:sz="0" w:space="0" w:color="auto"/>
                    <w:left w:val="none" w:sz="0" w:space="0" w:color="auto"/>
                    <w:bottom w:val="none" w:sz="0" w:space="0" w:color="auto"/>
                    <w:right w:val="none" w:sz="0" w:space="0" w:color="auto"/>
                  </w:divBdr>
                  <w:divsChild>
                    <w:div w:id="2038115226">
                      <w:marLeft w:val="0"/>
                      <w:marRight w:val="0"/>
                      <w:marTop w:val="0"/>
                      <w:marBottom w:val="0"/>
                      <w:divBdr>
                        <w:top w:val="none" w:sz="0" w:space="0" w:color="auto"/>
                        <w:left w:val="none" w:sz="0" w:space="0" w:color="auto"/>
                        <w:bottom w:val="none" w:sz="0" w:space="0" w:color="auto"/>
                        <w:right w:val="none" w:sz="0" w:space="0" w:color="auto"/>
                      </w:divBdr>
                    </w:div>
                    <w:div w:id="433744273">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936132044">
              <w:marLeft w:val="0"/>
              <w:marRight w:val="0"/>
              <w:marTop w:val="150"/>
              <w:marBottom w:val="270"/>
              <w:divBdr>
                <w:top w:val="none" w:sz="0" w:space="0" w:color="auto"/>
                <w:left w:val="none" w:sz="0" w:space="0" w:color="auto"/>
                <w:bottom w:val="none" w:sz="0" w:space="0" w:color="auto"/>
                <w:right w:val="none" w:sz="0" w:space="0" w:color="auto"/>
              </w:divBdr>
              <w:divsChild>
                <w:div w:id="256332113">
                  <w:marLeft w:val="0"/>
                  <w:marRight w:val="0"/>
                  <w:marTop w:val="270"/>
                  <w:marBottom w:val="270"/>
                  <w:divBdr>
                    <w:top w:val="none" w:sz="0" w:space="0" w:color="auto"/>
                    <w:left w:val="none" w:sz="0" w:space="0" w:color="auto"/>
                    <w:bottom w:val="none" w:sz="0" w:space="0" w:color="auto"/>
                    <w:right w:val="none" w:sz="0" w:space="0" w:color="auto"/>
                  </w:divBdr>
                </w:div>
                <w:div w:id="1621379586">
                  <w:marLeft w:val="0"/>
                  <w:marRight w:val="0"/>
                  <w:marTop w:val="0"/>
                  <w:marBottom w:val="0"/>
                  <w:divBdr>
                    <w:top w:val="none" w:sz="0" w:space="0" w:color="auto"/>
                    <w:left w:val="none" w:sz="0" w:space="0" w:color="auto"/>
                    <w:bottom w:val="none" w:sz="0" w:space="0" w:color="auto"/>
                    <w:right w:val="none" w:sz="0" w:space="0" w:color="auto"/>
                  </w:divBdr>
                  <w:divsChild>
                    <w:div w:id="968776786">
                      <w:marLeft w:val="0"/>
                      <w:marRight w:val="0"/>
                      <w:marTop w:val="0"/>
                      <w:marBottom w:val="0"/>
                      <w:divBdr>
                        <w:top w:val="none" w:sz="0" w:space="0" w:color="auto"/>
                        <w:left w:val="none" w:sz="0" w:space="0" w:color="auto"/>
                        <w:bottom w:val="none" w:sz="0" w:space="0" w:color="auto"/>
                        <w:right w:val="none" w:sz="0" w:space="0" w:color="auto"/>
                      </w:divBdr>
                    </w:div>
                  </w:divsChild>
                </w:div>
                <w:div w:id="1263684771">
                  <w:marLeft w:val="0"/>
                  <w:marRight w:val="0"/>
                  <w:marTop w:val="0"/>
                  <w:marBottom w:val="0"/>
                  <w:divBdr>
                    <w:top w:val="none" w:sz="0" w:space="0" w:color="auto"/>
                    <w:left w:val="none" w:sz="0" w:space="0" w:color="auto"/>
                    <w:bottom w:val="none" w:sz="0" w:space="0" w:color="auto"/>
                    <w:right w:val="none" w:sz="0" w:space="0" w:color="auto"/>
                  </w:divBdr>
                </w:div>
              </w:divsChild>
            </w:div>
            <w:div w:id="1166751934">
              <w:marLeft w:val="0"/>
              <w:marRight w:val="0"/>
              <w:marTop w:val="150"/>
              <w:marBottom w:val="270"/>
              <w:divBdr>
                <w:top w:val="none" w:sz="0" w:space="0" w:color="auto"/>
                <w:left w:val="none" w:sz="0" w:space="0" w:color="auto"/>
                <w:bottom w:val="none" w:sz="0" w:space="0" w:color="auto"/>
                <w:right w:val="none" w:sz="0" w:space="0" w:color="auto"/>
              </w:divBdr>
              <w:divsChild>
                <w:div w:id="484128052">
                  <w:marLeft w:val="0"/>
                  <w:marRight w:val="0"/>
                  <w:marTop w:val="0"/>
                  <w:marBottom w:val="0"/>
                  <w:divBdr>
                    <w:top w:val="none" w:sz="0" w:space="0" w:color="auto"/>
                    <w:left w:val="none" w:sz="0" w:space="0" w:color="auto"/>
                    <w:bottom w:val="none" w:sz="0" w:space="0" w:color="auto"/>
                    <w:right w:val="none" w:sz="0" w:space="0" w:color="auto"/>
                  </w:divBdr>
                  <w:divsChild>
                    <w:div w:id="1389380713">
                      <w:marLeft w:val="0"/>
                      <w:marRight w:val="0"/>
                      <w:marTop w:val="0"/>
                      <w:marBottom w:val="0"/>
                      <w:divBdr>
                        <w:top w:val="none" w:sz="0" w:space="0" w:color="auto"/>
                        <w:left w:val="none" w:sz="0" w:space="0" w:color="auto"/>
                        <w:bottom w:val="none" w:sz="0" w:space="0" w:color="auto"/>
                        <w:right w:val="none" w:sz="0" w:space="0" w:color="auto"/>
                      </w:divBdr>
                    </w:div>
                  </w:divsChild>
                </w:div>
                <w:div w:id="557788595">
                  <w:marLeft w:val="0"/>
                  <w:marRight w:val="0"/>
                  <w:marTop w:val="0"/>
                  <w:marBottom w:val="0"/>
                  <w:divBdr>
                    <w:top w:val="none" w:sz="0" w:space="0" w:color="auto"/>
                    <w:left w:val="none" w:sz="0" w:space="0" w:color="auto"/>
                    <w:bottom w:val="none" w:sz="0" w:space="0" w:color="auto"/>
                    <w:right w:val="none" w:sz="0" w:space="0" w:color="auto"/>
                  </w:divBdr>
                </w:div>
              </w:divsChild>
            </w:div>
            <w:div w:id="895699230">
              <w:marLeft w:val="0"/>
              <w:marRight w:val="0"/>
              <w:marTop w:val="150"/>
              <w:marBottom w:val="270"/>
              <w:divBdr>
                <w:top w:val="none" w:sz="0" w:space="0" w:color="auto"/>
                <w:left w:val="none" w:sz="0" w:space="0" w:color="auto"/>
                <w:bottom w:val="none" w:sz="0" w:space="0" w:color="auto"/>
                <w:right w:val="none" w:sz="0" w:space="0" w:color="auto"/>
              </w:divBdr>
              <w:divsChild>
                <w:div w:id="1071580689">
                  <w:marLeft w:val="0"/>
                  <w:marRight w:val="0"/>
                  <w:marTop w:val="0"/>
                  <w:marBottom w:val="0"/>
                  <w:divBdr>
                    <w:top w:val="none" w:sz="0" w:space="0" w:color="auto"/>
                    <w:left w:val="none" w:sz="0" w:space="0" w:color="auto"/>
                    <w:bottom w:val="none" w:sz="0" w:space="0" w:color="auto"/>
                    <w:right w:val="none" w:sz="0" w:space="0" w:color="auto"/>
                  </w:divBdr>
                  <w:divsChild>
                    <w:div w:id="1588416836">
                      <w:marLeft w:val="0"/>
                      <w:marRight w:val="0"/>
                      <w:marTop w:val="0"/>
                      <w:marBottom w:val="0"/>
                      <w:divBdr>
                        <w:top w:val="none" w:sz="0" w:space="0" w:color="auto"/>
                        <w:left w:val="none" w:sz="0" w:space="0" w:color="auto"/>
                        <w:bottom w:val="none" w:sz="0" w:space="0" w:color="auto"/>
                        <w:right w:val="none" w:sz="0" w:space="0" w:color="auto"/>
                      </w:divBdr>
                    </w:div>
                  </w:divsChild>
                </w:div>
                <w:div w:id="97583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71649">
          <w:marLeft w:val="0"/>
          <w:marRight w:val="0"/>
          <w:marTop w:val="0"/>
          <w:marBottom w:val="0"/>
          <w:divBdr>
            <w:top w:val="none" w:sz="0" w:space="0" w:color="auto"/>
            <w:left w:val="none" w:sz="0" w:space="0" w:color="auto"/>
            <w:bottom w:val="none" w:sz="0" w:space="0" w:color="auto"/>
            <w:right w:val="none" w:sz="0" w:space="0" w:color="auto"/>
          </w:divBdr>
        </w:div>
        <w:div w:id="1705057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111/j.1461-0248.2005.00822.x" TargetMode="External"/><Relationship Id="rId117" Type="http://schemas.openxmlformats.org/officeDocument/2006/relationships/fontTable" Target="fontTable.xml"/><Relationship Id="rId21" Type="http://schemas.openxmlformats.org/officeDocument/2006/relationships/hyperlink" Target="https://onlinelibrary.wiley.com/doi/full/10.1111/j.1461-0248.2005.00822.x" TargetMode="External"/><Relationship Id="rId42" Type="http://schemas.openxmlformats.org/officeDocument/2006/relationships/hyperlink" Target="https://onlinelibrary.wiley.com/doi/full/10.1111/j.1461-0248.2005.00822.x" TargetMode="External"/><Relationship Id="rId47" Type="http://schemas.openxmlformats.org/officeDocument/2006/relationships/hyperlink" Target="https://onlinelibrary.wiley.com/doi/full/10.1111/j.1461-0248.2005.00822.x" TargetMode="External"/><Relationship Id="rId63" Type="http://schemas.openxmlformats.org/officeDocument/2006/relationships/hyperlink" Target="https://onlinelibrary.wiley.com/doi/full/10.1111/j.1461-0248.2005.00822.x" TargetMode="External"/><Relationship Id="rId68" Type="http://schemas.openxmlformats.org/officeDocument/2006/relationships/hyperlink" Target="https://onlinelibrary.wiley.com/doi/full/10.1111/j.1461-0248.2005.00822.x" TargetMode="External"/><Relationship Id="rId84" Type="http://schemas.openxmlformats.org/officeDocument/2006/relationships/hyperlink" Target="https://onlinelibrary.wiley.com/doi/full/10.1111/j.1461-0248.2005.00822.x" TargetMode="External"/><Relationship Id="rId89" Type="http://schemas.openxmlformats.org/officeDocument/2006/relationships/hyperlink" Target="https://onlinelibrary.wiley.com/doi/full/10.1111/j.1461-0248.2005.00822.x" TargetMode="External"/><Relationship Id="rId112" Type="http://schemas.openxmlformats.org/officeDocument/2006/relationships/hyperlink" Target="https://onlinelibrary.wiley.com/doi/full/10.1111/j.1461-0248.2005.00822.x" TargetMode="External"/><Relationship Id="rId16" Type="http://schemas.openxmlformats.org/officeDocument/2006/relationships/hyperlink" Target="https://onlinelibrary.wiley.com/doi/full/10.1111/j.1461-0248.2005.00822.x" TargetMode="External"/><Relationship Id="rId107" Type="http://schemas.openxmlformats.org/officeDocument/2006/relationships/hyperlink" Target="https://onlinelibrary.wiley.com/doi/full/10.1111/j.1461-0248.2005.00822.x" TargetMode="External"/><Relationship Id="rId11" Type="http://schemas.openxmlformats.org/officeDocument/2006/relationships/hyperlink" Target="https://onlinelibrary.wiley.com/doi/full/10.1111/j.1461-0248.2005.00822.x" TargetMode="External"/><Relationship Id="rId32" Type="http://schemas.openxmlformats.org/officeDocument/2006/relationships/hyperlink" Target="https://onlinelibrary.wiley.com/doi/full/10.1111/j.1461-0248.2005.00822.x" TargetMode="External"/><Relationship Id="rId37" Type="http://schemas.openxmlformats.org/officeDocument/2006/relationships/hyperlink" Target="https://onlinelibrary.wiley.com/doi/full/10.1111/j.1461-0248.2005.00822.x" TargetMode="External"/><Relationship Id="rId53" Type="http://schemas.openxmlformats.org/officeDocument/2006/relationships/hyperlink" Target="https://onlinelibrary.wiley.com/doi/full/10.1111/j.1461-0248.2005.00822.x" TargetMode="External"/><Relationship Id="rId58" Type="http://schemas.openxmlformats.org/officeDocument/2006/relationships/hyperlink" Target="https://wol-prod-cdn.literatumonline.com/cms/attachment/dd3c3329-2f18-49c4-8243-cf71a0266f0b/ele_822_f1.gif" TargetMode="External"/><Relationship Id="rId74" Type="http://schemas.openxmlformats.org/officeDocument/2006/relationships/hyperlink" Target="https://onlinelibrary.wiley.com/doi/full/10.1111/j.1461-0248.2005.00822.x" TargetMode="External"/><Relationship Id="rId79" Type="http://schemas.openxmlformats.org/officeDocument/2006/relationships/image" Target="media/image5.gif"/><Relationship Id="rId102" Type="http://schemas.openxmlformats.org/officeDocument/2006/relationships/hyperlink" Target="https://onlinelibrary.wiley.com/doi/full/10.1111/j.1461-0248.2005.00822.x" TargetMode="External"/><Relationship Id="rId5" Type="http://schemas.openxmlformats.org/officeDocument/2006/relationships/styles" Target="styles.xml"/><Relationship Id="rId90" Type="http://schemas.openxmlformats.org/officeDocument/2006/relationships/hyperlink" Target="https://onlinelibrary.wiley.com/doi/full/10.1111/j.1461-0248.2005.00822.x" TargetMode="External"/><Relationship Id="rId95" Type="http://schemas.openxmlformats.org/officeDocument/2006/relationships/hyperlink" Target="https://onlinelibrary.wiley.com/doi/full/10.1111/j.1461-0248.2005.00822.x" TargetMode="External"/><Relationship Id="rId22" Type="http://schemas.openxmlformats.org/officeDocument/2006/relationships/hyperlink" Target="https://onlinelibrary.wiley.com/doi/full/10.1111/j.1461-0248.2005.00822.x" TargetMode="External"/><Relationship Id="rId27" Type="http://schemas.openxmlformats.org/officeDocument/2006/relationships/hyperlink" Target="https://onlinelibrary.wiley.com/doi/full/10.1111/j.1461-0248.2005.00822.x" TargetMode="External"/><Relationship Id="rId43" Type="http://schemas.openxmlformats.org/officeDocument/2006/relationships/hyperlink" Target="https://onlinelibrary.wiley.com/doi/full/10.1111/j.1461-0248.2005.00822.x" TargetMode="External"/><Relationship Id="rId48" Type="http://schemas.openxmlformats.org/officeDocument/2006/relationships/hyperlink" Target="https://onlinelibrary.wiley.com/doi/full/10.1111/j.1461-0248.2005.00822.x" TargetMode="External"/><Relationship Id="rId64" Type="http://schemas.openxmlformats.org/officeDocument/2006/relationships/hyperlink" Target="https://wol-prod-cdn.literatumonline.com/cms/attachment/756b86b3-25f5-4ba1-a56c-27d0b0090436/ele_822_f2.gif" TargetMode="External"/><Relationship Id="rId69" Type="http://schemas.openxmlformats.org/officeDocument/2006/relationships/hyperlink" Target="https://onlinelibrary.wiley.com/doi/full/10.1111/j.1461-0248.2005.00822.x" TargetMode="External"/><Relationship Id="rId113" Type="http://schemas.openxmlformats.org/officeDocument/2006/relationships/hyperlink" Target="https://onlinelibrary.wiley.com/doi/full/10.1111/j.1461-0248.2005.00822.x" TargetMode="External"/><Relationship Id="rId118" Type="http://schemas.openxmlformats.org/officeDocument/2006/relationships/theme" Target="theme/theme1.xml"/><Relationship Id="rId80" Type="http://schemas.openxmlformats.org/officeDocument/2006/relationships/hyperlink" Target="https://onlinelibrary.wiley.com/doi/full/10.1111/j.1461-0248.2005.00822.x" TargetMode="External"/><Relationship Id="rId85" Type="http://schemas.openxmlformats.org/officeDocument/2006/relationships/hyperlink" Target="https://onlinelibrary.wiley.com/doi/full/10.1111/j.1461-0248.2005.00822.x" TargetMode="External"/><Relationship Id="rId12" Type="http://schemas.openxmlformats.org/officeDocument/2006/relationships/hyperlink" Target="https://onlinelibrary.wiley.com/doi/full/10.1111/j.1461-0248.2005.00822.x" TargetMode="External"/><Relationship Id="rId17" Type="http://schemas.openxmlformats.org/officeDocument/2006/relationships/hyperlink" Target="https://onlinelibrary.wiley.com/doi/full/10.1111/j.1461-0248.2005.00822.x" TargetMode="External"/><Relationship Id="rId33" Type="http://schemas.openxmlformats.org/officeDocument/2006/relationships/hyperlink" Target="https://onlinelibrary.wiley.com/doi/full/10.1111/j.1461-0248.2005.00822.x" TargetMode="External"/><Relationship Id="rId38" Type="http://schemas.openxmlformats.org/officeDocument/2006/relationships/hyperlink" Target="https://onlinelibrary.wiley.com/doi/full/10.1111/j.1461-0248.2005.00822.x" TargetMode="External"/><Relationship Id="rId59" Type="http://schemas.openxmlformats.org/officeDocument/2006/relationships/image" Target="media/image1.gif"/><Relationship Id="rId103" Type="http://schemas.openxmlformats.org/officeDocument/2006/relationships/hyperlink" Target="https://onlinelibrary.wiley.com/doi/full/10.1111/j.1461-0248.2005.00822.x" TargetMode="External"/><Relationship Id="rId108" Type="http://schemas.openxmlformats.org/officeDocument/2006/relationships/hyperlink" Target="https://onlinelibrary.wiley.com/doi/full/10.1111/j.1461-0248.2005.00822.x" TargetMode="External"/><Relationship Id="rId54" Type="http://schemas.openxmlformats.org/officeDocument/2006/relationships/hyperlink" Target="https://onlinelibrary.wiley.com/doi/full/10.1111/j.1461-0248.2005.00822.x" TargetMode="External"/><Relationship Id="rId70" Type="http://schemas.openxmlformats.org/officeDocument/2006/relationships/hyperlink" Target="https://onlinelibrary.wiley.com/doi/full/10.1111/j.1461-0248.2005.00822.x" TargetMode="External"/><Relationship Id="rId75" Type="http://schemas.openxmlformats.org/officeDocument/2006/relationships/hyperlink" Target="https://onlinelibrary.wiley.com/doi/full/10.1111/j.1461-0248.2005.00822.x" TargetMode="External"/><Relationship Id="rId91" Type="http://schemas.openxmlformats.org/officeDocument/2006/relationships/hyperlink" Target="https://onlinelibrary.wiley.com/doi/full/10.1111/j.1461-0248.2005.00822.x" TargetMode="External"/><Relationship Id="rId96" Type="http://schemas.openxmlformats.org/officeDocument/2006/relationships/hyperlink" Target="https://onlinelibrary.wiley.com/doi/full/10.1111/j.1461-0248.2005.00822.x"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onlinelibrary.wiley.com/doi/full/10.1111/j.1461-0248.2005.00822.x" TargetMode="External"/><Relationship Id="rId28" Type="http://schemas.openxmlformats.org/officeDocument/2006/relationships/hyperlink" Target="https://onlinelibrary.wiley.com/doi/full/10.1111/j.1461-0248.2005.00822.x" TargetMode="External"/><Relationship Id="rId49" Type="http://schemas.openxmlformats.org/officeDocument/2006/relationships/hyperlink" Target="https://onlinelibrary.wiley.com/doi/full/10.1111/j.1461-0248.2005.00822.x" TargetMode="External"/><Relationship Id="rId114" Type="http://schemas.openxmlformats.org/officeDocument/2006/relationships/hyperlink" Target="https://onlinelibrary.wiley.com/doi/full/10.1111/j.1461-0248.2005.00822.x" TargetMode="External"/><Relationship Id="rId10" Type="http://schemas.openxmlformats.org/officeDocument/2006/relationships/hyperlink" Target="https://onlinelibrary.wiley.com/doi/full/10.1111/j.1461-0248.2005.00822.x" TargetMode="External"/><Relationship Id="rId31" Type="http://schemas.openxmlformats.org/officeDocument/2006/relationships/hyperlink" Target="https://onlinelibrary.wiley.com/doi/full/10.1111/j.1461-0248.2005.00822.x" TargetMode="External"/><Relationship Id="rId44" Type="http://schemas.openxmlformats.org/officeDocument/2006/relationships/hyperlink" Target="https://onlinelibrary.wiley.com/doi/full/10.1111/j.1461-0248.2005.00822.x" TargetMode="External"/><Relationship Id="rId52" Type="http://schemas.openxmlformats.org/officeDocument/2006/relationships/hyperlink" Target="https://onlinelibrary.wiley.com/doi/full/10.1111/j.1461-0248.2005.00822.x" TargetMode="External"/><Relationship Id="rId60" Type="http://schemas.openxmlformats.org/officeDocument/2006/relationships/hyperlink" Target="https://onlinelibrary.wiley.com/doi/full/10.1111/j.1461-0248.2005.00822.x" TargetMode="External"/><Relationship Id="rId65" Type="http://schemas.openxmlformats.org/officeDocument/2006/relationships/image" Target="media/image3.gif"/><Relationship Id="rId73" Type="http://schemas.openxmlformats.org/officeDocument/2006/relationships/hyperlink" Target="https://onlinelibrary.wiley.com/doi/full/10.1111/j.1461-0248.2005.00822.x" TargetMode="External"/><Relationship Id="rId78" Type="http://schemas.openxmlformats.org/officeDocument/2006/relationships/hyperlink" Target="https://wol-prod-cdn.literatumonline.com/cms/attachment/78f770a2-af60-4791-97b7-54d476d18685/ele_822_f3.gif" TargetMode="External"/><Relationship Id="rId81" Type="http://schemas.openxmlformats.org/officeDocument/2006/relationships/hyperlink" Target="https://onlinelibrary.wiley.com/doi/full/10.1111/j.1461-0248.2005.00822.x" TargetMode="External"/><Relationship Id="rId86" Type="http://schemas.openxmlformats.org/officeDocument/2006/relationships/hyperlink" Target="https://onlinelibrary.wiley.com/doi/full/10.1111/j.1461-0248.2005.00822.x" TargetMode="External"/><Relationship Id="rId94" Type="http://schemas.openxmlformats.org/officeDocument/2006/relationships/hyperlink" Target="https://onlinelibrary.wiley.com/doi/full/10.1111/j.1461-0248.2005.00822.x" TargetMode="External"/><Relationship Id="rId99" Type="http://schemas.openxmlformats.org/officeDocument/2006/relationships/hyperlink" Target="https://onlinelibrary.wiley.com/doi/full/10.1111/j.1461-0248.2005.00822.x" TargetMode="External"/><Relationship Id="rId101" Type="http://schemas.openxmlformats.org/officeDocument/2006/relationships/hyperlink" Target="https://onlinelibrary.wiley.com/doi/full/10.1111/j.1461-0248.2005.00822.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doi/full/10.1111/j.1461-0248.2005.00822.x" TargetMode="External"/><Relationship Id="rId18" Type="http://schemas.openxmlformats.org/officeDocument/2006/relationships/hyperlink" Target="https://onlinelibrary.wiley.com/doi/full/10.1111/j.1461-0248.2005.00822.x" TargetMode="External"/><Relationship Id="rId39" Type="http://schemas.openxmlformats.org/officeDocument/2006/relationships/hyperlink" Target="https://onlinelibrary.wiley.com/doi/full/10.1111/j.1461-0248.2005.00822.x" TargetMode="External"/><Relationship Id="rId109" Type="http://schemas.openxmlformats.org/officeDocument/2006/relationships/hyperlink" Target="https://onlinelibrary.wiley.com/doi/full/10.1111/j.1461-0248.2005.00822.x" TargetMode="External"/><Relationship Id="rId34" Type="http://schemas.openxmlformats.org/officeDocument/2006/relationships/hyperlink" Target="https://onlinelibrary.wiley.com/doi/full/10.1111/j.1461-0248.2005.00822.x" TargetMode="External"/><Relationship Id="rId50" Type="http://schemas.openxmlformats.org/officeDocument/2006/relationships/hyperlink" Target="https://onlinelibrary.wiley.com/doi/full/10.1111/j.1461-0248.2005.00822.x" TargetMode="External"/><Relationship Id="rId55" Type="http://schemas.openxmlformats.org/officeDocument/2006/relationships/hyperlink" Target="https://onlinelibrary.wiley.com/doi/full/10.1111/j.1461-0248.2005.00822.x" TargetMode="External"/><Relationship Id="rId76" Type="http://schemas.openxmlformats.org/officeDocument/2006/relationships/hyperlink" Target="https://onlinelibrary.wiley.com/doi/full/10.1111/j.1461-0248.2005.00822.x" TargetMode="External"/><Relationship Id="rId97" Type="http://schemas.openxmlformats.org/officeDocument/2006/relationships/hyperlink" Target="https://onlinelibrary.wiley.com/doi/full/10.1111/j.1461-0248.2005.00822.x" TargetMode="External"/><Relationship Id="rId104" Type="http://schemas.openxmlformats.org/officeDocument/2006/relationships/hyperlink" Target="https://onlinelibrary.wiley.com/doi/full/10.1111/j.1461-0248.2005.00822.x" TargetMode="External"/><Relationship Id="rId7" Type="http://schemas.openxmlformats.org/officeDocument/2006/relationships/webSettings" Target="webSettings.xml"/><Relationship Id="rId71" Type="http://schemas.openxmlformats.org/officeDocument/2006/relationships/hyperlink" Target="https://wol-prod-cdn.literatumonline.com/cms/attachment/3282a858-0b47-48f9-952b-9e027ddcf88b/ele_822_f4.gif" TargetMode="External"/><Relationship Id="rId92" Type="http://schemas.openxmlformats.org/officeDocument/2006/relationships/hyperlink" Target="https://onlinelibrary.wiley.com/doi/full/10.1111/j.1461-0248.2005.00822.x" TargetMode="External"/><Relationship Id="rId2" Type="http://schemas.openxmlformats.org/officeDocument/2006/relationships/customXml" Target="../customXml/item2.xml"/><Relationship Id="rId29" Type="http://schemas.openxmlformats.org/officeDocument/2006/relationships/hyperlink" Target="https://onlinelibrary.wiley.com/doi/full/10.1111/j.1461-0248.2005.00822.x" TargetMode="External"/><Relationship Id="rId24" Type="http://schemas.openxmlformats.org/officeDocument/2006/relationships/hyperlink" Target="https://onlinelibrary.wiley.com/doi/full/10.1111/j.1461-0248.2005.00822.x" TargetMode="External"/><Relationship Id="rId40" Type="http://schemas.openxmlformats.org/officeDocument/2006/relationships/hyperlink" Target="https://onlinelibrary.wiley.com/doi/full/10.1111/j.1461-0248.2005.00822.x" TargetMode="External"/><Relationship Id="rId45" Type="http://schemas.openxmlformats.org/officeDocument/2006/relationships/hyperlink" Target="https://onlinelibrary.wiley.com/doi/full/10.1111/j.1461-0248.2005.00822.x" TargetMode="External"/><Relationship Id="rId66" Type="http://schemas.openxmlformats.org/officeDocument/2006/relationships/hyperlink" Target="https://onlinelibrary.wiley.com/doi/full/10.1111/j.1461-0248.2005.00822.x" TargetMode="External"/><Relationship Id="rId87" Type="http://schemas.openxmlformats.org/officeDocument/2006/relationships/hyperlink" Target="https://onlinelibrary.wiley.com/doi/full/10.1111/j.1461-0248.2005.00822.x" TargetMode="External"/><Relationship Id="rId110" Type="http://schemas.openxmlformats.org/officeDocument/2006/relationships/hyperlink" Target="https://onlinelibrary.wiley.com/doi/full/10.1111/j.1461-0248.2005.00822.x" TargetMode="External"/><Relationship Id="rId115" Type="http://schemas.openxmlformats.org/officeDocument/2006/relationships/hyperlink" Target="https://onlinelibrary.wiley.com/doi/full/10.1111/j.1461-0248.2005.00822.x" TargetMode="External"/><Relationship Id="rId61" Type="http://schemas.openxmlformats.org/officeDocument/2006/relationships/image" Target="media/image2.gif"/><Relationship Id="rId82" Type="http://schemas.openxmlformats.org/officeDocument/2006/relationships/hyperlink" Target="https://onlinelibrary.wiley.com/doi/full/10.1111/j.1461-0248.2005.00822.x" TargetMode="External"/><Relationship Id="rId19" Type="http://schemas.openxmlformats.org/officeDocument/2006/relationships/hyperlink" Target="https://onlinelibrary.wiley.com/doi/full/10.1111/j.1461-0248.2005.00822.x" TargetMode="External"/><Relationship Id="rId14" Type="http://schemas.openxmlformats.org/officeDocument/2006/relationships/hyperlink" Target="https://onlinelibrary.wiley.com/doi/full/10.1111/j.1461-0248.2005.00822.x" TargetMode="External"/><Relationship Id="rId30" Type="http://schemas.openxmlformats.org/officeDocument/2006/relationships/hyperlink" Target="https://onlinelibrary.wiley.com/doi/full/10.1111/j.1461-0248.2005.00822.x" TargetMode="External"/><Relationship Id="rId35" Type="http://schemas.openxmlformats.org/officeDocument/2006/relationships/hyperlink" Target="https://onlinelibrary.wiley.com/doi/full/10.1111/j.1461-0248.2005.00822.x" TargetMode="External"/><Relationship Id="rId56" Type="http://schemas.openxmlformats.org/officeDocument/2006/relationships/hyperlink" Target="https://onlinelibrary.wiley.com/doi/full/10.1111/j.1461-0248.2005.00822.x" TargetMode="External"/><Relationship Id="rId77" Type="http://schemas.openxmlformats.org/officeDocument/2006/relationships/hyperlink" Target="https://onlinelibrary.wiley.com/doi/full/10.1111/j.1461-0248.2005.00822.x" TargetMode="External"/><Relationship Id="rId100" Type="http://schemas.openxmlformats.org/officeDocument/2006/relationships/hyperlink" Target="https://onlinelibrary.wiley.com/doi/full/10.1111/j.1461-0248.2005.00822.x" TargetMode="External"/><Relationship Id="rId105" Type="http://schemas.openxmlformats.org/officeDocument/2006/relationships/hyperlink" Target="https://onlinelibrary.wiley.com/doi/full/10.1111/j.1461-0248.2005.00822.x" TargetMode="External"/><Relationship Id="rId8" Type="http://schemas.openxmlformats.org/officeDocument/2006/relationships/hyperlink" Target="10.1111/j.1461-0248.2005.00822.x" TargetMode="External"/><Relationship Id="rId51" Type="http://schemas.openxmlformats.org/officeDocument/2006/relationships/hyperlink" Target="https://onlinelibrary.wiley.com/doi/full/10.1111/j.1461-0248.2005.00822.x" TargetMode="External"/><Relationship Id="rId72" Type="http://schemas.openxmlformats.org/officeDocument/2006/relationships/image" Target="media/image4.gif"/><Relationship Id="rId93" Type="http://schemas.openxmlformats.org/officeDocument/2006/relationships/hyperlink" Target="https://onlinelibrary.wiley.com/doi/full/10.1111/j.1461-0248.2005.00822.x" TargetMode="External"/><Relationship Id="rId98" Type="http://schemas.openxmlformats.org/officeDocument/2006/relationships/hyperlink" Target="https://onlinelibrary.wiley.com/doi/full/10.1111/j.1461-0248.2005.00822.x" TargetMode="External"/><Relationship Id="rId3" Type="http://schemas.openxmlformats.org/officeDocument/2006/relationships/customXml" Target="../customXml/item3.xml"/><Relationship Id="rId25" Type="http://schemas.openxmlformats.org/officeDocument/2006/relationships/hyperlink" Target="https://onlinelibrary.wiley.com/doi/full/10.1111/j.1461-0248.2005.00822.x" TargetMode="External"/><Relationship Id="rId46" Type="http://schemas.openxmlformats.org/officeDocument/2006/relationships/hyperlink" Target="https://onlinelibrary.wiley.com/doi/full/10.1111/j.1461-0248.2005.00822.x" TargetMode="External"/><Relationship Id="rId67" Type="http://schemas.openxmlformats.org/officeDocument/2006/relationships/hyperlink" Target="https://onlinelibrary.wiley.com/doi/full/10.1111/j.1461-0248.2005.00822.x" TargetMode="External"/><Relationship Id="rId116" Type="http://schemas.openxmlformats.org/officeDocument/2006/relationships/hyperlink" Target="https://onlinelibrary.wiley.com/doi/full/10.1111/j.1461-0248.2005.00822.x" TargetMode="External"/><Relationship Id="rId20" Type="http://schemas.openxmlformats.org/officeDocument/2006/relationships/hyperlink" Target="https://onlinelibrary.wiley.com/doi/full/10.1111/j.1461-0248.2005.00822.x" TargetMode="External"/><Relationship Id="rId41" Type="http://schemas.openxmlformats.org/officeDocument/2006/relationships/hyperlink" Target="https://onlinelibrary.wiley.com/doi/full/10.1111/j.1461-0248.2005.00822.x" TargetMode="External"/><Relationship Id="rId62" Type="http://schemas.openxmlformats.org/officeDocument/2006/relationships/hyperlink" Target="https://onlinelibrary.wiley.com/doi/full/10.1111/j.1461-0248.2005.00822.x" TargetMode="External"/><Relationship Id="rId83" Type="http://schemas.openxmlformats.org/officeDocument/2006/relationships/hyperlink" Target="https://onlinelibrary.wiley.com/doi/full/10.1111/j.1461-0248.2005.00822.x" TargetMode="External"/><Relationship Id="rId88" Type="http://schemas.openxmlformats.org/officeDocument/2006/relationships/hyperlink" Target="https://onlinelibrary.wiley.com/doi/full/10.1111/j.1461-0248.2005.00822.x" TargetMode="External"/><Relationship Id="rId111" Type="http://schemas.openxmlformats.org/officeDocument/2006/relationships/hyperlink" Target="https://onlinelibrary.wiley.com/doi/full/10.1111/j.1461-0248.2005.00822.x" TargetMode="External"/><Relationship Id="rId15" Type="http://schemas.openxmlformats.org/officeDocument/2006/relationships/hyperlink" Target="https://onlinelibrary.wiley.com/doi/full/10.1111/j.1461-0248.2005.00822.x" TargetMode="External"/><Relationship Id="rId36" Type="http://schemas.openxmlformats.org/officeDocument/2006/relationships/hyperlink" Target="https://onlinelibrary.wiley.com/doi/full/10.1111/j.1461-0248.2005.00822.x" TargetMode="External"/><Relationship Id="rId57" Type="http://schemas.openxmlformats.org/officeDocument/2006/relationships/hyperlink" Target="https://onlinelibrary.wiley.com/doi/full/10.1111/j.1461-0248.2005.00822.x" TargetMode="External"/><Relationship Id="rId106" Type="http://schemas.openxmlformats.org/officeDocument/2006/relationships/hyperlink" Target="https://onlinelibrary.wiley.com/doi/full/10.1111/j.1461-0248.2005.00822.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66C8D2-1E65-4245-923E-DCE0C7262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19B998-47AA-4877-B951-2FF09E8143C7}">
  <ds:schemaRefs>
    <ds:schemaRef ds:uri="http://schemas.microsoft.com/sharepoint/v3/contenttype/forms"/>
  </ds:schemaRefs>
</ds:datastoreItem>
</file>

<file path=customXml/itemProps3.xml><?xml version="1.0" encoding="utf-8"?>
<ds:datastoreItem xmlns:ds="http://schemas.openxmlformats.org/officeDocument/2006/customXml" ds:itemID="{563EB1B5-4CFB-4710-9726-D1B2FA8CB4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8602</Words>
  <Characters>47917</Characters>
  <Application>Microsoft Office Word</Application>
  <DocSecurity>8</DocSecurity>
  <Lines>939</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48</cp:revision>
  <dcterms:created xsi:type="dcterms:W3CDTF">2019-10-30T17:16:00Z</dcterms:created>
  <dcterms:modified xsi:type="dcterms:W3CDTF">2019-11-20T19:57:00Z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