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C2BAF"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C2BAF"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C2BAF">
        <w:rPr>
          <w:rFonts w:cstheme="minorHAnsi"/>
          <w:b/>
          <w:bCs/>
          <w:color w:val="316192"/>
          <w:sz w:val="28"/>
          <w:szCs w:val="26"/>
        </w:rPr>
        <w:t>Marquette University</w:t>
      </w:r>
    </w:p>
    <w:p w14:paraId="158D4B9F" w14:textId="77777777" w:rsidR="000A7622" w:rsidRPr="00CC2BAF" w:rsidRDefault="000A7622" w:rsidP="00D14423">
      <w:pPr>
        <w:autoSpaceDE w:val="0"/>
        <w:autoSpaceDN w:val="0"/>
        <w:adjustRightInd w:val="0"/>
        <w:rPr>
          <w:rFonts w:cstheme="minorHAnsi"/>
          <w:b/>
          <w:bCs/>
          <w:color w:val="316192"/>
          <w:sz w:val="40"/>
          <w:szCs w:val="36"/>
        </w:rPr>
      </w:pPr>
      <w:r w:rsidRPr="00CC2BAF">
        <w:rPr>
          <w:rFonts w:cstheme="minorHAnsi"/>
          <w:b/>
          <w:bCs/>
          <w:color w:val="316192"/>
          <w:sz w:val="40"/>
          <w:szCs w:val="36"/>
        </w:rPr>
        <w:t>e-Publications@Marquette</w:t>
      </w:r>
    </w:p>
    <w:p w14:paraId="689ACF87" w14:textId="77777777" w:rsidR="000A7622" w:rsidRPr="00CC2BAF" w:rsidRDefault="000A7622" w:rsidP="00D14423">
      <w:pPr>
        <w:autoSpaceDE w:val="0"/>
        <w:autoSpaceDN w:val="0"/>
        <w:adjustRightInd w:val="0"/>
        <w:rPr>
          <w:rFonts w:cstheme="minorHAnsi"/>
          <w:b/>
          <w:bCs/>
          <w:i/>
          <w:iCs/>
        </w:rPr>
      </w:pPr>
    </w:p>
    <w:p w14:paraId="161853CC" w14:textId="76D913D5" w:rsidR="000A7622" w:rsidRPr="00CC2BAF" w:rsidRDefault="00D220EE" w:rsidP="00D14423">
      <w:pPr>
        <w:autoSpaceDE w:val="0"/>
        <w:autoSpaceDN w:val="0"/>
        <w:adjustRightInd w:val="0"/>
        <w:rPr>
          <w:rFonts w:cstheme="minorHAnsi"/>
          <w:b/>
          <w:bCs/>
          <w:i/>
          <w:iCs/>
          <w:sz w:val="32"/>
          <w:szCs w:val="32"/>
        </w:rPr>
      </w:pPr>
      <w:r w:rsidRPr="00CC2BAF">
        <w:rPr>
          <w:rFonts w:cstheme="minorHAnsi"/>
          <w:b/>
          <w:bCs/>
          <w:i/>
          <w:iCs/>
          <w:sz w:val="32"/>
          <w:szCs w:val="32"/>
        </w:rPr>
        <w:t xml:space="preserve">Biological Sciences </w:t>
      </w:r>
      <w:r w:rsidR="000A7622" w:rsidRPr="00CC2BAF">
        <w:rPr>
          <w:rFonts w:cstheme="minorHAnsi"/>
          <w:b/>
          <w:bCs/>
          <w:i/>
          <w:iCs/>
          <w:sz w:val="32"/>
          <w:szCs w:val="32"/>
        </w:rPr>
        <w:t>Faculty Research and Publications/</w:t>
      </w:r>
      <w:r w:rsidR="009732A9" w:rsidRPr="00CC2BAF">
        <w:rPr>
          <w:rFonts w:cstheme="minorHAnsi"/>
          <w:b/>
          <w:bCs/>
          <w:i/>
          <w:iCs/>
          <w:sz w:val="32"/>
          <w:szCs w:val="32"/>
        </w:rPr>
        <w:t xml:space="preserve">College of </w:t>
      </w:r>
      <w:r w:rsidRPr="00CC2BAF">
        <w:rPr>
          <w:rFonts w:cstheme="minorHAnsi"/>
          <w:b/>
          <w:bCs/>
          <w:i/>
          <w:iCs/>
          <w:sz w:val="32"/>
          <w:szCs w:val="32"/>
        </w:rPr>
        <w:t>Arts and Sciences</w:t>
      </w:r>
    </w:p>
    <w:bookmarkEnd w:id="1"/>
    <w:p w14:paraId="3E538636" w14:textId="77777777" w:rsidR="000A7622" w:rsidRPr="00CC2BAF" w:rsidRDefault="000A7622" w:rsidP="00D14423">
      <w:pPr>
        <w:jc w:val="center"/>
        <w:rPr>
          <w:rFonts w:cstheme="minorHAnsi"/>
          <w:b/>
          <w:bCs/>
          <w:i/>
          <w:iCs/>
        </w:rPr>
      </w:pPr>
    </w:p>
    <w:p w14:paraId="25509BF0" w14:textId="00ABD3FD" w:rsidR="000A7622" w:rsidRPr="00CC2BAF" w:rsidRDefault="000A7622" w:rsidP="00D14423">
      <w:pPr>
        <w:jc w:val="center"/>
        <w:rPr>
          <w:rFonts w:cstheme="minorHAnsi"/>
          <w:sz w:val="24"/>
          <w:szCs w:val="24"/>
        </w:rPr>
      </w:pPr>
      <w:r w:rsidRPr="00CC2BAF">
        <w:rPr>
          <w:rFonts w:cstheme="minorHAnsi"/>
          <w:b/>
          <w:bCs/>
          <w:i/>
          <w:iCs/>
          <w:sz w:val="24"/>
          <w:szCs w:val="24"/>
        </w:rPr>
        <w:t xml:space="preserve">This paper is NOT THE PUBLISHED VERSION; </w:t>
      </w:r>
      <w:r w:rsidRPr="00CC2BAF">
        <w:rPr>
          <w:rFonts w:cstheme="minorHAnsi"/>
          <w:b/>
          <w:bCs/>
          <w:sz w:val="24"/>
          <w:szCs w:val="24"/>
        </w:rPr>
        <w:t xml:space="preserve">but the author’s final, peer-reviewed manuscript. </w:t>
      </w:r>
      <w:r w:rsidRPr="00CC2BAF">
        <w:rPr>
          <w:rFonts w:cstheme="minorHAnsi"/>
          <w:sz w:val="24"/>
          <w:szCs w:val="24"/>
        </w:rPr>
        <w:t>The published version may be accessed by following the link in th</w:t>
      </w:r>
      <w:r w:rsidR="00BA5335" w:rsidRPr="00CC2BAF">
        <w:rPr>
          <w:rFonts w:cstheme="minorHAnsi"/>
          <w:sz w:val="24"/>
          <w:szCs w:val="24"/>
        </w:rPr>
        <w:t>e</w:t>
      </w:r>
      <w:r w:rsidRPr="00CC2BAF">
        <w:rPr>
          <w:rFonts w:cstheme="minorHAnsi"/>
          <w:sz w:val="24"/>
          <w:szCs w:val="24"/>
        </w:rPr>
        <w:t xml:space="preserve"> citation below.</w:t>
      </w:r>
    </w:p>
    <w:p w14:paraId="207B0342" w14:textId="77777777" w:rsidR="000A7622" w:rsidRPr="00CC2BAF" w:rsidRDefault="000A7622" w:rsidP="00D14423">
      <w:pPr>
        <w:jc w:val="center"/>
        <w:rPr>
          <w:rFonts w:cstheme="minorHAnsi"/>
          <w:sz w:val="24"/>
          <w:szCs w:val="24"/>
        </w:rPr>
      </w:pPr>
    </w:p>
    <w:p w14:paraId="2484233B" w14:textId="2CBA94DD" w:rsidR="001763DF" w:rsidRPr="00CC2BAF" w:rsidRDefault="000A7622" w:rsidP="00D14423">
      <w:pPr>
        <w:rPr>
          <w:rFonts w:cstheme="minorHAnsi"/>
          <w:sz w:val="24"/>
          <w:szCs w:val="24"/>
        </w:rPr>
      </w:pPr>
      <w:r w:rsidRPr="00CC2BAF">
        <w:rPr>
          <w:rFonts w:cstheme="minorHAnsi"/>
          <w:i/>
          <w:sz w:val="24"/>
          <w:szCs w:val="24"/>
          <w:lang w:val="fr-FR"/>
        </w:rPr>
        <w:t>Journa</w:t>
      </w:r>
      <w:r w:rsidR="0084614F" w:rsidRPr="00CC2BAF">
        <w:rPr>
          <w:rFonts w:cstheme="minorHAnsi"/>
          <w:i/>
          <w:sz w:val="24"/>
          <w:szCs w:val="24"/>
          <w:lang w:val="fr-FR"/>
        </w:rPr>
        <w:t>l of Tropical Ecology</w:t>
      </w:r>
      <w:r w:rsidRPr="00CC2BAF">
        <w:rPr>
          <w:rFonts w:cstheme="minorHAnsi"/>
          <w:sz w:val="24"/>
          <w:szCs w:val="24"/>
          <w:lang w:val="fr-FR"/>
        </w:rPr>
        <w:t xml:space="preserve">, Vol. </w:t>
      </w:r>
      <w:r w:rsidR="00A8277D" w:rsidRPr="00CC2BAF">
        <w:rPr>
          <w:rFonts w:cstheme="minorHAnsi"/>
          <w:sz w:val="24"/>
          <w:szCs w:val="24"/>
          <w:lang w:val="fr-FR"/>
        </w:rPr>
        <w:t>24</w:t>
      </w:r>
      <w:r w:rsidRPr="00CC2BAF">
        <w:rPr>
          <w:rFonts w:cstheme="minorHAnsi"/>
          <w:sz w:val="24"/>
          <w:szCs w:val="24"/>
          <w:lang w:val="fr-FR"/>
        </w:rPr>
        <w:t xml:space="preserve">, No. </w:t>
      </w:r>
      <w:r w:rsidR="00A8277D" w:rsidRPr="00CC2BAF">
        <w:rPr>
          <w:rFonts w:cstheme="minorHAnsi"/>
          <w:sz w:val="24"/>
          <w:szCs w:val="24"/>
          <w:lang w:val="fr-FR"/>
        </w:rPr>
        <w:t>5</w:t>
      </w:r>
      <w:r w:rsidRPr="00CC2BAF">
        <w:rPr>
          <w:rFonts w:cstheme="minorHAnsi"/>
          <w:sz w:val="24"/>
          <w:szCs w:val="24"/>
          <w:lang w:val="fr-FR"/>
        </w:rPr>
        <w:t xml:space="preserve"> (</w:t>
      </w:r>
      <w:r w:rsidR="000C7511" w:rsidRPr="00CC2BAF">
        <w:rPr>
          <w:rFonts w:cstheme="minorHAnsi"/>
          <w:sz w:val="24"/>
          <w:szCs w:val="24"/>
          <w:lang w:val="fr-FR"/>
        </w:rPr>
        <w:t>September 2018</w:t>
      </w:r>
      <w:r w:rsidRPr="00CC2BAF">
        <w:rPr>
          <w:rFonts w:cstheme="minorHAnsi"/>
          <w:sz w:val="24"/>
          <w:szCs w:val="24"/>
          <w:lang w:val="fr-FR"/>
        </w:rPr>
        <w:t>)</w:t>
      </w:r>
      <w:r w:rsidR="007A3FFC" w:rsidRPr="00CC2BAF">
        <w:rPr>
          <w:rFonts w:cstheme="minorHAnsi"/>
          <w:sz w:val="24"/>
          <w:szCs w:val="24"/>
          <w:lang w:val="fr-FR"/>
        </w:rPr>
        <w:t xml:space="preserve"> </w:t>
      </w:r>
      <w:r w:rsidRPr="00CC2BAF">
        <w:rPr>
          <w:rFonts w:cstheme="minorHAnsi"/>
          <w:sz w:val="24"/>
          <w:szCs w:val="24"/>
          <w:lang w:val="fr-FR"/>
        </w:rPr>
        <w:t xml:space="preserve">: </w:t>
      </w:r>
      <w:r w:rsidR="0099687B" w:rsidRPr="00CC2BAF">
        <w:rPr>
          <w:rFonts w:cstheme="minorHAnsi"/>
          <w:sz w:val="24"/>
          <w:szCs w:val="24"/>
          <w:lang w:val="fr-FR"/>
        </w:rPr>
        <w:t>559</w:t>
      </w:r>
      <w:r w:rsidRPr="00CC2BAF">
        <w:rPr>
          <w:rFonts w:cstheme="minorHAnsi"/>
          <w:sz w:val="24"/>
          <w:szCs w:val="24"/>
          <w:lang w:val="fr-FR"/>
        </w:rPr>
        <w:t>-</w:t>
      </w:r>
      <w:r w:rsidR="0099687B" w:rsidRPr="00CC2BAF">
        <w:rPr>
          <w:rFonts w:cstheme="minorHAnsi"/>
          <w:sz w:val="24"/>
          <w:szCs w:val="24"/>
          <w:lang w:val="fr-FR"/>
        </w:rPr>
        <w:t>562</w:t>
      </w:r>
      <w:r w:rsidRPr="00CC2BAF">
        <w:rPr>
          <w:rFonts w:cstheme="minorHAnsi"/>
          <w:sz w:val="24"/>
          <w:szCs w:val="24"/>
          <w:lang w:val="fr-FR"/>
        </w:rPr>
        <w:t xml:space="preserve">. </w:t>
      </w:r>
      <w:hyperlink r:id="rId8" w:history="1">
        <w:r w:rsidRPr="00CC2BAF">
          <w:rPr>
            <w:rFonts w:cstheme="minorHAnsi"/>
            <w:color w:val="0563C1" w:themeColor="hyperlink"/>
            <w:sz w:val="24"/>
            <w:szCs w:val="24"/>
            <w:u w:val="single"/>
            <w:lang w:val="fr-FR"/>
          </w:rPr>
          <w:t>DOI</w:t>
        </w:r>
      </w:hyperlink>
      <w:r w:rsidRPr="00CC2BAF">
        <w:rPr>
          <w:rFonts w:cstheme="minorHAnsi"/>
          <w:sz w:val="24"/>
          <w:szCs w:val="24"/>
          <w:lang w:val="fr-FR"/>
        </w:rPr>
        <w:t xml:space="preserve">. </w:t>
      </w:r>
      <w:r w:rsidRPr="00CC2BAF">
        <w:rPr>
          <w:rFonts w:cstheme="minorHAnsi"/>
          <w:sz w:val="24"/>
          <w:szCs w:val="24"/>
        </w:rPr>
        <w:t xml:space="preserve">This article is © </w:t>
      </w:r>
      <w:r w:rsidR="00713A06" w:rsidRPr="00CC2BAF">
        <w:rPr>
          <w:rFonts w:cstheme="minorHAnsi"/>
          <w:sz w:val="24"/>
          <w:szCs w:val="24"/>
        </w:rPr>
        <w:t xml:space="preserve">Cambridge </w:t>
      </w:r>
      <w:r w:rsidR="007A3FFC" w:rsidRPr="00CC2BAF">
        <w:rPr>
          <w:rFonts w:cstheme="minorHAnsi"/>
          <w:sz w:val="24"/>
          <w:szCs w:val="24"/>
        </w:rPr>
        <w:t>University Press</w:t>
      </w:r>
      <w:r w:rsidRPr="00CC2BAF">
        <w:rPr>
          <w:rFonts w:cstheme="minorHAnsi"/>
          <w:sz w:val="24"/>
          <w:szCs w:val="24"/>
        </w:rPr>
        <w:t xml:space="preserve"> and permission has been granted for this version to appear in </w:t>
      </w:r>
      <w:hyperlink r:id="rId9" w:history="1">
        <w:r w:rsidRPr="00CC2BAF">
          <w:rPr>
            <w:rFonts w:cstheme="minorHAnsi"/>
            <w:color w:val="0563C1" w:themeColor="hyperlink"/>
            <w:sz w:val="24"/>
            <w:szCs w:val="24"/>
            <w:u w:val="single"/>
          </w:rPr>
          <w:t>e-Publications@Marquette</w:t>
        </w:r>
      </w:hyperlink>
      <w:r w:rsidRPr="00CC2BAF">
        <w:rPr>
          <w:rFonts w:cstheme="minorHAnsi"/>
          <w:sz w:val="24"/>
          <w:szCs w:val="24"/>
        </w:rPr>
        <w:t xml:space="preserve">. </w:t>
      </w:r>
      <w:r w:rsidR="007A3FFC" w:rsidRPr="00CC2BAF">
        <w:rPr>
          <w:rFonts w:cstheme="minorHAnsi"/>
          <w:sz w:val="24"/>
          <w:szCs w:val="24"/>
        </w:rPr>
        <w:t xml:space="preserve">Cambridge University Press </w:t>
      </w:r>
      <w:r w:rsidRPr="00CC2BAF">
        <w:rPr>
          <w:rFonts w:cstheme="minorHAnsi"/>
          <w:sz w:val="24"/>
          <w:szCs w:val="24"/>
        </w:rPr>
        <w:t xml:space="preserve">does not grant permission for this article to be further copied/distributed or hosted elsewhere without the express permission from </w:t>
      </w:r>
      <w:bookmarkEnd w:id="2"/>
      <w:r w:rsidR="007A3FFC" w:rsidRPr="00CC2BAF">
        <w:rPr>
          <w:rFonts w:cstheme="minorHAnsi"/>
          <w:sz w:val="24"/>
          <w:szCs w:val="24"/>
        </w:rPr>
        <w:t>Cambridge University Press.</w:t>
      </w:r>
    </w:p>
    <w:p w14:paraId="166E21C3" w14:textId="1795F0B7" w:rsidR="001763DF" w:rsidRPr="00CC2BAF" w:rsidRDefault="007D502E" w:rsidP="007D502E">
      <w:pPr>
        <w:pStyle w:val="Title"/>
        <w:rPr>
          <w:rFonts w:asciiTheme="minorHAnsi" w:hAnsiTheme="minorHAnsi" w:cstheme="minorHAnsi"/>
        </w:rPr>
      </w:pPr>
      <w:r w:rsidRPr="00CC2BAF">
        <w:rPr>
          <w:rFonts w:asciiTheme="minorHAnsi" w:hAnsiTheme="minorHAnsi" w:cstheme="minorHAnsi"/>
        </w:rPr>
        <w:t>Effects of lianas and Hurricane Wilma on tree damage in the Yucatan Peninsula, Mexico</w:t>
      </w:r>
    </w:p>
    <w:p w14:paraId="4C8B90AD" w14:textId="77777777" w:rsidR="00E02B0D" w:rsidRPr="00CC2BAF" w:rsidRDefault="00E02B0D" w:rsidP="007D502E">
      <w:pPr>
        <w:rPr>
          <w:rFonts w:cstheme="minorHAnsi"/>
          <w:sz w:val="28"/>
          <w:szCs w:val="28"/>
        </w:rPr>
      </w:pPr>
    </w:p>
    <w:p w14:paraId="2A207E2B" w14:textId="77777777" w:rsidR="00CC2BAF" w:rsidRDefault="00820C47" w:rsidP="00CC2BAF">
      <w:pPr>
        <w:spacing w:after="0" w:line="240" w:lineRule="auto"/>
        <w:rPr>
          <w:rFonts w:cstheme="minorHAnsi"/>
          <w:sz w:val="28"/>
          <w:szCs w:val="28"/>
        </w:rPr>
      </w:pPr>
      <w:r w:rsidRPr="00CC2BAF">
        <w:rPr>
          <w:rFonts w:cstheme="minorHAnsi"/>
          <w:sz w:val="28"/>
          <w:szCs w:val="28"/>
        </w:rPr>
        <w:t>Edgardo I. Garrido-Pérez</w:t>
      </w:r>
    </w:p>
    <w:p w14:paraId="20F2F0BA" w14:textId="77559ACC" w:rsidR="00820C47" w:rsidRPr="00CC2BAF" w:rsidRDefault="00014624" w:rsidP="00CC2BAF">
      <w:pPr>
        <w:spacing w:after="0" w:line="240" w:lineRule="auto"/>
        <w:rPr>
          <w:rFonts w:cstheme="minorHAnsi"/>
        </w:rPr>
      </w:pPr>
      <w:r w:rsidRPr="00CC2BAF">
        <w:rPr>
          <w:rFonts w:cstheme="minorHAnsi"/>
        </w:rPr>
        <w:t xml:space="preserve">Centro de </w:t>
      </w:r>
      <w:proofErr w:type="spellStart"/>
      <w:r w:rsidRPr="00CC2BAF">
        <w:rPr>
          <w:rFonts w:cstheme="minorHAnsi"/>
        </w:rPr>
        <w:t>Investigación</w:t>
      </w:r>
      <w:proofErr w:type="spellEnd"/>
      <w:r w:rsidRPr="00CC2BAF">
        <w:rPr>
          <w:rFonts w:cstheme="minorHAnsi"/>
        </w:rPr>
        <w:t xml:space="preserve"> </w:t>
      </w:r>
      <w:proofErr w:type="spellStart"/>
      <w:r w:rsidRPr="00CC2BAF">
        <w:rPr>
          <w:rFonts w:cstheme="minorHAnsi"/>
        </w:rPr>
        <w:t>Científica</w:t>
      </w:r>
      <w:proofErr w:type="spellEnd"/>
      <w:r w:rsidRPr="00CC2BAF">
        <w:rPr>
          <w:rFonts w:cstheme="minorHAnsi"/>
        </w:rPr>
        <w:t xml:space="preserve"> de Yucatán (CICY), Calle 43 #130, Colonia Chuburná de Hidalgo, CP 97200, Mérida, Yucatán, México</w:t>
      </w:r>
    </w:p>
    <w:p w14:paraId="32FA4617" w14:textId="16D1721F" w:rsidR="00CD4A7E" w:rsidRPr="00CC2BAF" w:rsidRDefault="00CD4A7E" w:rsidP="00CC2BAF">
      <w:pPr>
        <w:spacing w:after="0" w:line="240" w:lineRule="auto"/>
        <w:rPr>
          <w:rFonts w:cstheme="minorHAnsi"/>
        </w:rPr>
      </w:pPr>
      <w:r w:rsidRPr="00CC2BAF">
        <w:rPr>
          <w:rFonts w:cstheme="minorHAnsi"/>
        </w:rPr>
        <w:t>Georg-August Universitaet Geographisches Institut Abt. Landschaftsoekologie, Goettingen, Goldschmidtstr.5, PLZ 37077, Goettingen, Germany</w:t>
      </w:r>
    </w:p>
    <w:p w14:paraId="2FE3D7F5" w14:textId="77777777" w:rsidR="00CC2BAF" w:rsidRDefault="00820C47" w:rsidP="00CC2BAF">
      <w:pPr>
        <w:spacing w:after="0" w:line="240" w:lineRule="auto"/>
        <w:rPr>
          <w:rFonts w:cstheme="minorHAnsi"/>
          <w:sz w:val="28"/>
          <w:szCs w:val="28"/>
        </w:rPr>
      </w:pPr>
      <w:r w:rsidRPr="00CC2BAF">
        <w:rPr>
          <w:rFonts w:cstheme="minorHAnsi"/>
          <w:sz w:val="28"/>
          <w:szCs w:val="28"/>
        </w:rPr>
        <w:t>Juan Manuel Dupuy</w:t>
      </w:r>
    </w:p>
    <w:p w14:paraId="4D915B39" w14:textId="3DF30A6D" w:rsidR="00820C47" w:rsidRPr="00CC2BAF" w:rsidRDefault="00F702D8" w:rsidP="00CC2BAF">
      <w:pPr>
        <w:spacing w:after="0" w:line="240" w:lineRule="auto"/>
        <w:rPr>
          <w:rFonts w:cstheme="minorHAnsi"/>
        </w:rPr>
      </w:pPr>
      <w:r w:rsidRPr="00CC2BAF">
        <w:rPr>
          <w:rFonts w:cstheme="minorHAnsi"/>
        </w:rPr>
        <w:t xml:space="preserve">Centro de </w:t>
      </w:r>
      <w:proofErr w:type="spellStart"/>
      <w:r w:rsidRPr="00CC2BAF">
        <w:rPr>
          <w:rFonts w:cstheme="minorHAnsi"/>
        </w:rPr>
        <w:t>Investigación</w:t>
      </w:r>
      <w:proofErr w:type="spellEnd"/>
      <w:r w:rsidRPr="00CC2BAF">
        <w:rPr>
          <w:rFonts w:cstheme="minorHAnsi"/>
        </w:rPr>
        <w:t xml:space="preserve"> </w:t>
      </w:r>
      <w:proofErr w:type="spellStart"/>
      <w:r w:rsidRPr="00CC2BAF">
        <w:rPr>
          <w:rFonts w:cstheme="minorHAnsi"/>
        </w:rPr>
        <w:t>Científica</w:t>
      </w:r>
      <w:proofErr w:type="spellEnd"/>
      <w:r w:rsidRPr="00CC2BAF">
        <w:rPr>
          <w:rFonts w:cstheme="minorHAnsi"/>
        </w:rPr>
        <w:t xml:space="preserve"> de Yucatán (CICY), Calle 43 #130, Colonia Chuburná de Hidalgo, CP 97200, Mérida, Yucatán, México</w:t>
      </w:r>
    </w:p>
    <w:p w14:paraId="093F8C3E" w14:textId="77777777" w:rsidR="00CC2BAF" w:rsidRDefault="00820C47" w:rsidP="00CC2BAF">
      <w:pPr>
        <w:spacing w:after="0" w:line="240" w:lineRule="auto"/>
        <w:rPr>
          <w:rFonts w:cstheme="minorHAnsi"/>
          <w:sz w:val="28"/>
          <w:szCs w:val="28"/>
        </w:rPr>
      </w:pPr>
      <w:r w:rsidRPr="00CC2BAF">
        <w:rPr>
          <w:rFonts w:cstheme="minorHAnsi"/>
          <w:sz w:val="28"/>
          <w:szCs w:val="28"/>
        </w:rPr>
        <w:t>Rafael Durán-García</w:t>
      </w:r>
    </w:p>
    <w:p w14:paraId="3AE37579" w14:textId="3F7F146E" w:rsidR="00820C47" w:rsidRPr="00CC2BAF" w:rsidRDefault="00F702D8" w:rsidP="00CC2BAF">
      <w:pPr>
        <w:spacing w:after="0" w:line="240" w:lineRule="auto"/>
        <w:rPr>
          <w:rFonts w:cstheme="minorHAnsi"/>
        </w:rPr>
      </w:pPr>
      <w:r w:rsidRPr="00CC2BAF">
        <w:rPr>
          <w:rFonts w:cstheme="minorHAnsi"/>
        </w:rPr>
        <w:t xml:space="preserve">Centro de </w:t>
      </w:r>
      <w:proofErr w:type="spellStart"/>
      <w:r w:rsidRPr="00CC2BAF">
        <w:rPr>
          <w:rFonts w:cstheme="minorHAnsi"/>
        </w:rPr>
        <w:t>Investigación</w:t>
      </w:r>
      <w:proofErr w:type="spellEnd"/>
      <w:r w:rsidRPr="00CC2BAF">
        <w:rPr>
          <w:rFonts w:cstheme="minorHAnsi"/>
        </w:rPr>
        <w:t xml:space="preserve"> </w:t>
      </w:r>
      <w:proofErr w:type="spellStart"/>
      <w:r w:rsidRPr="00CC2BAF">
        <w:rPr>
          <w:rFonts w:cstheme="minorHAnsi"/>
        </w:rPr>
        <w:t>Científica</w:t>
      </w:r>
      <w:proofErr w:type="spellEnd"/>
      <w:r w:rsidRPr="00CC2BAF">
        <w:rPr>
          <w:rFonts w:cstheme="minorHAnsi"/>
        </w:rPr>
        <w:t xml:space="preserve"> de Yucatán (CICY), Calle 43 #130, Colonia Chuburná de Hidalgo, CP 97200, Mérida, Yucatán, México</w:t>
      </w:r>
    </w:p>
    <w:p w14:paraId="6C8A1445" w14:textId="77777777" w:rsidR="00CC2BAF" w:rsidRDefault="00820C47" w:rsidP="00CC2BAF">
      <w:pPr>
        <w:spacing w:after="0" w:line="240" w:lineRule="auto"/>
        <w:rPr>
          <w:rFonts w:cstheme="minorHAnsi"/>
          <w:sz w:val="28"/>
          <w:szCs w:val="28"/>
        </w:rPr>
      </w:pPr>
      <w:r w:rsidRPr="00CC2BAF">
        <w:rPr>
          <w:rFonts w:cstheme="minorHAnsi"/>
          <w:sz w:val="28"/>
          <w:szCs w:val="28"/>
        </w:rPr>
        <w:t xml:space="preserve">Mario </w:t>
      </w:r>
      <w:proofErr w:type="spellStart"/>
      <w:r w:rsidRPr="00CC2BAF">
        <w:rPr>
          <w:rFonts w:cstheme="minorHAnsi"/>
          <w:sz w:val="28"/>
          <w:szCs w:val="28"/>
        </w:rPr>
        <w:t>Ucan</w:t>
      </w:r>
      <w:proofErr w:type="spellEnd"/>
      <w:r w:rsidRPr="00CC2BAF">
        <w:rPr>
          <w:rFonts w:cstheme="minorHAnsi"/>
          <w:sz w:val="28"/>
          <w:szCs w:val="28"/>
        </w:rPr>
        <w:t>-May</w:t>
      </w:r>
    </w:p>
    <w:p w14:paraId="01592A4C" w14:textId="3F95AFE7" w:rsidR="00820C47" w:rsidRPr="00CC2BAF" w:rsidRDefault="000D51BA" w:rsidP="00CC2BAF">
      <w:pPr>
        <w:spacing w:after="0" w:line="240" w:lineRule="auto"/>
        <w:rPr>
          <w:rFonts w:cstheme="minorHAnsi"/>
        </w:rPr>
      </w:pPr>
      <w:r w:rsidRPr="00CC2BAF">
        <w:rPr>
          <w:rFonts w:cstheme="minorHAnsi"/>
        </w:rPr>
        <w:t xml:space="preserve">Ejido Solferino, Municipio de </w:t>
      </w:r>
      <w:proofErr w:type="spellStart"/>
      <w:r w:rsidRPr="00CC2BAF">
        <w:rPr>
          <w:rFonts w:cstheme="minorHAnsi"/>
        </w:rPr>
        <w:t>Lázaro</w:t>
      </w:r>
      <w:proofErr w:type="spellEnd"/>
      <w:r w:rsidRPr="00CC2BAF">
        <w:rPr>
          <w:rFonts w:cstheme="minorHAnsi"/>
        </w:rPr>
        <w:t xml:space="preserve"> Cárdenas, Quintana Roo, México</w:t>
      </w:r>
    </w:p>
    <w:p w14:paraId="68AC66D5" w14:textId="77777777" w:rsidR="00CC2BAF" w:rsidRDefault="00820C47" w:rsidP="00CC2BAF">
      <w:pPr>
        <w:spacing w:after="0" w:line="240" w:lineRule="auto"/>
        <w:rPr>
          <w:rFonts w:cstheme="minorHAnsi"/>
          <w:sz w:val="28"/>
          <w:szCs w:val="28"/>
        </w:rPr>
      </w:pPr>
      <w:r w:rsidRPr="00CC2BAF">
        <w:rPr>
          <w:rFonts w:cstheme="minorHAnsi"/>
          <w:sz w:val="28"/>
          <w:szCs w:val="28"/>
        </w:rPr>
        <w:t>Stefan A. Schnitzer</w:t>
      </w:r>
    </w:p>
    <w:p w14:paraId="3F4CD205" w14:textId="660BAB02" w:rsidR="00820C47" w:rsidRPr="00CC2BAF" w:rsidRDefault="00AE4D48" w:rsidP="00CC2BAF">
      <w:pPr>
        <w:spacing w:after="0" w:line="240" w:lineRule="auto"/>
        <w:rPr>
          <w:rFonts w:cstheme="minorHAnsi"/>
        </w:rPr>
      </w:pPr>
      <w:r w:rsidRPr="00CC2BAF">
        <w:rPr>
          <w:rFonts w:cstheme="minorHAnsi"/>
        </w:rPr>
        <w:t>College of Letters and Science, Department of Biological Sciences, University of Wisconsin-Milwaukee</w:t>
      </w:r>
    </w:p>
    <w:p w14:paraId="768BF8E8" w14:textId="77777777" w:rsidR="00CC2BAF" w:rsidRDefault="00820C47" w:rsidP="00CC2BAF">
      <w:pPr>
        <w:spacing w:after="0" w:line="240" w:lineRule="auto"/>
        <w:rPr>
          <w:rFonts w:cstheme="minorHAnsi"/>
          <w:sz w:val="28"/>
          <w:szCs w:val="28"/>
        </w:rPr>
      </w:pPr>
      <w:r w:rsidRPr="00CC2BAF">
        <w:rPr>
          <w:rFonts w:cstheme="minorHAnsi"/>
          <w:sz w:val="28"/>
          <w:szCs w:val="28"/>
        </w:rPr>
        <w:t xml:space="preserve">Gerhard </w:t>
      </w:r>
      <w:proofErr w:type="spellStart"/>
      <w:r w:rsidRPr="00CC2BAF">
        <w:rPr>
          <w:rFonts w:cstheme="minorHAnsi"/>
          <w:sz w:val="28"/>
          <w:szCs w:val="28"/>
        </w:rPr>
        <w:t>Gerold</w:t>
      </w:r>
      <w:proofErr w:type="spellEnd"/>
    </w:p>
    <w:p w14:paraId="6E40647C" w14:textId="52C1F976" w:rsidR="007D502E" w:rsidRPr="00CC2BAF" w:rsidRDefault="00A31ADC" w:rsidP="00CC2BAF">
      <w:pPr>
        <w:spacing w:after="0" w:line="240" w:lineRule="auto"/>
        <w:rPr>
          <w:rFonts w:cstheme="minorHAnsi"/>
        </w:rPr>
      </w:pPr>
      <w:r w:rsidRPr="00CC2BAF">
        <w:rPr>
          <w:rFonts w:cstheme="minorHAnsi"/>
        </w:rPr>
        <w:lastRenderedPageBreak/>
        <w:t xml:space="preserve">Georg-August </w:t>
      </w:r>
      <w:proofErr w:type="spellStart"/>
      <w:r w:rsidRPr="00CC2BAF">
        <w:rPr>
          <w:rFonts w:cstheme="minorHAnsi"/>
        </w:rPr>
        <w:t>Universitaet</w:t>
      </w:r>
      <w:proofErr w:type="spellEnd"/>
      <w:r w:rsidRPr="00CC2BAF">
        <w:rPr>
          <w:rFonts w:cstheme="minorHAnsi"/>
        </w:rPr>
        <w:t xml:space="preserve"> </w:t>
      </w:r>
      <w:proofErr w:type="spellStart"/>
      <w:r w:rsidRPr="00CC2BAF">
        <w:rPr>
          <w:rFonts w:cstheme="minorHAnsi"/>
        </w:rPr>
        <w:t>Geographisches</w:t>
      </w:r>
      <w:proofErr w:type="spellEnd"/>
      <w:r w:rsidRPr="00CC2BAF">
        <w:rPr>
          <w:rFonts w:cstheme="minorHAnsi"/>
        </w:rPr>
        <w:t xml:space="preserve"> </w:t>
      </w:r>
      <w:proofErr w:type="spellStart"/>
      <w:r w:rsidRPr="00CC2BAF">
        <w:rPr>
          <w:rFonts w:cstheme="minorHAnsi"/>
        </w:rPr>
        <w:t>Institut</w:t>
      </w:r>
      <w:proofErr w:type="spellEnd"/>
      <w:r w:rsidRPr="00CC2BAF">
        <w:rPr>
          <w:rFonts w:cstheme="minorHAnsi"/>
        </w:rPr>
        <w:t xml:space="preserve"> Abt. Landschaftsoekologie, Goettingen, Goldschmidtstr.5, PLZ 37077, Goettingen, Germany</w:t>
      </w:r>
    </w:p>
    <w:p w14:paraId="7F005946" w14:textId="77777777" w:rsidR="00BD69B1" w:rsidRPr="00851700" w:rsidRDefault="00BD69B1" w:rsidP="00851700">
      <w:pPr>
        <w:pStyle w:val="Heading1"/>
        <w:rPr>
          <w:rFonts w:asciiTheme="minorHAnsi" w:hAnsiTheme="minorHAnsi" w:cstheme="minorHAnsi"/>
        </w:rPr>
      </w:pPr>
      <w:r w:rsidRPr="00851700">
        <w:rPr>
          <w:rStyle w:val="Heading2Char"/>
          <w:rFonts w:asciiTheme="minorHAnsi" w:hAnsiTheme="minorHAnsi" w:cstheme="minorHAnsi"/>
        </w:rPr>
        <w:t>Key Words:</w:t>
      </w:r>
      <w:r w:rsidRPr="00851700">
        <w:rPr>
          <w:rFonts w:asciiTheme="minorHAnsi" w:hAnsiTheme="minorHAnsi" w:cstheme="minorHAnsi"/>
        </w:rPr>
        <w:t xml:space="preserve"> </w:t>
      </w:r>
    </w:p>
    <w:p w14:paraId="0DD27FDC" w14:textId="32BC5B1E" w:rsidR="00BD69B1" w:rsidRPr="00CC2BAF" w:rsidRDefault="00BD69B1" w:rsidP="007D502E">
      <w:pPr>
        <w:rPr>
          <w:rFonts w:cstheme="minorHAnsi"/>
        </w:rPr>
      </w:pPr>
      <w:r w:rsidRPr="00CC2BAF">
        <w:rPr>
          <w:rFonts w:cstheme="minorHAnsi"/>
        </w:rPr>
        <w:t>canopy stability, liana cutting, secondary succession, tree-fall gaps, tropical dry forest, tropical storms</w:t>
      </w:r>
    </w:p>
    <w:p w14:paraId="1A2BE289" w14:textId="413379A6" w:rsidR="00194730" w:rsidRPr="00CC2BAF" w:rsidRDefault="00851700" w:rsidP="00194730">
      <w:pPr>
        <w:pStyle w:val="Heading1"/>
        <w:rPr>
          <w:rFonts w:asciiTheme="minorHAnsi" w:hAnsiTheme="minorHAnsi" w:cstheme="minorHAnsi"/>
        </w:rPr>
      </w:pPr>
      <w:r>
        <w:rPr>
          <w:rFonts w:asciiTheme="minorHAnsi" w:hAnsiTheme="minorHAnsi" w:cstheme="minorHAnsi"/>
        </w:rPr>
        <w:t>Abstract</w:t>
      </w:r>
    </w:p>
    <w:p w14:paraId="5A045C20" w14:textId="77777777" w:rsidR="001763DF" w:rsidRPr="00CC2BAF" w:rsidRDefault="001763DF" w:rsidP="004406A9">
      <w:pPr>
        <w:rPr>
          <w:rFonts w:cstheme="minorHAnsi"/>
        </w:rPr>
      </w:pPr>
      <w:r w:rsidRPr="00CC2BAF">
        <w:rPr>
          <w:rFonts w:cstheme="minorHAnsi"/>
        </w:rPr>
        <w:t>Climate change may increase the intensity of hurricanes (Emanuel 1987, 2003), and thus the size of disturbance in tropical forests. As a consequence, disturbance-specialist plants, such as lianas, may increase in abundance there (Phillips &amp; Gentry 1994). Putz (1984) hypothesized that lianas create larger treefall gaps by connecting trees together and pulling down multiple trees during storms. This positive-feedback cycle may increase the prevalence of lianas in disturbed tropical forests (Schnitzer &amp; Bongers 2002, Schnitzer &amp; Carson 2001). Alternatively, Putz (1984) proposed that lianas tie and stabilize canopies together, resulting in less disturbance. Forest age may determine the role of lianas during disturbance because liana abundance and composition vary through secondary succession (De Walt </w:t>
      </w:r>
      <w:r w:rsidRPr="00CC2BAF">
        <w:rPr>
          <w:rFonts w:cstheme="minorHAnsi"/>
          <w:i/>
          <w:iCs/>
        </w:rPr>
        <w:t>et al</w:t>
      </w:r>
      <w:r w:rsidRPr="00CC2BAF">
        <w:rPr>
          <w:rFonts w:cstheme="minorHAnsi"/>
        </w:rPr>
        <w:t>. 2000, Schnitzer </w:t>
      </w:r>
      <w:r w:rsidRPr="00CC2BAF">
        <w:rPr>
          <w:rFonts w:cstheme="minorHAnsi"/>
          <w:i/>
          <w:iCs/>
        </w:rPr>
        <w:t>et al</w:t>
      </w:r>
      <w:r w:rsidRPr="00CC2BAF">
        <w:rPr>
          <w:rFonts w:cstheme="minorHAnsi"/>
        </w:rPr>
        <w:t>. 2000). To test the two hypotheses of Putz (1984), we evaluated the effect of liana cutting between forests of different successional ages on tree damage by hurricane Wilma.</w:t>
      </w:r>
    </w:p>
    <w:p w14:paraId="744F22C5" w14:textId="066F7618" w:rsidR="001763DF" w:rsidRPr="00CC2BAF" w:rsidRDefault="001763DF" w:rsidP="004406A9">
      <w:pPr>
        <w:rPr>
          <w:rFonts w:cstheme="minorHAnsi"/>
        </w:rPr>
      </w:pPr>
      <w:r w:rsidRPr="00CC2BAF">
        <w:rPr>
          <w:rFonts w:cstheme="minorHAnsi"/>
        </w:rPr>
        <w:t>Studied areas are around the village of Solferino, north-east Yucatan Peninsula, Mexico, (21°26</w:t>
      </w:r>
      <w:r w:rsidR="002F0B79" w:rsidRPr="00CC2BAF">
        <w:rPr>
          <w:rFonts w:cstheme="minorHAnsi"/>
        </w:rPr>
        <w:t>′</w:t>
      </w:r>
      <w:r w:rsidRPr="00CC2BAF">
        <w:rPr>
          <w:rFonts w:cstheme="minorHAnsi"/>
        </w:rPr>
        <w:t>N, 87°28</w:t>
      </w:r>
      <w:bookmarkStart w:id="3" w:name="_Hlk25223545"/>
      <w:r w:rsidR="00A22B25" w:rsidRPr="00CC2BAF">
        <w:rPr>
          <w:rFonts w:cstheme="minorHAnsi"/>
        </w:rPr>
        <w:t>′</w:t>
      </w:r>
      <w:bookmarkEnd w:id="3"/>
      <w:r w:rsidRPr="00CC2BAF">
        <w:rPr>
          <w:rFonts w:cstheme="minorHAnsi"/>
        </w:rPr>
        <w:t>W; 10 m asl; INEGI 1993). Soils are poorly developed Luvisols, Rendzines and Vertisols upon a calcareous base that emerged after the Pleistocene (Bautista-Zúñiga </w:t>
      </w:r>
      <w:r w:rsidRPr="00CC2BAF">
        <w:rPr>
          <w:rFonts w:cstheme="minorHAnsi"/>
          <w:i/>
          <w:iCs/>
        </w:rPr>
        <w:t>et al</w:t>
      </w:r>
      <w:r w:rsidRPr="00CC2BAF">
        <w:rPr>
          <w:rFonts w:cstheme="minorHAnsi"/>
        </w:rPr>
        <w:t>. 2003, Olmsted </w:t>
      </w:r>
      <w:r w:rsidRPr="00CC2BAF">
        <w:rPr>
          <w:rFonts w:cstheme="minorHAnsi"/>
          <w:i/>
          <w:iCs/>
        </w:rPr>
        <w:t>et al</w:t>
      </w:r>
      <w:r w:rsidRPr="00CC2BAF">
        <w:rPr>
          <w:rFonts w:cstheme="minorHAnsi"/>
        </w:rPr>
        <w:t>. 2000). Topography is flat, annual rainfall averages 1250 mm, most precipitation occurrs from May to November, including large storms and occasional hurricanes (Orellana </w:t>
      </w:r>
      <w:r w:rsidRPr="00CC2BAF">
        <w:rPr>
          <w:rFonts w:cstheme="minorHAnsi"/>
          <w:i/>
          <w:iCs/>
        </w:rPr>
        <w:t>et al</w:t>
      </w:r>
      <w:r w:rsidRPr="00CC2BAF">
        <w:rPr>
          <w:rFonts w:cstheme="minorHAnsi"/>
        </w:rPr>
        <w:t>. 2003). Vegetation is seasonally dry semi-evergreen tropical forest (Tropical Dry Forest </w:t>
      </w:r>
      <w:r w:rsidRPr="00CC2BAF">
        <w:rPr>
          <w:rFonts w:cstheme="minorHAnsi"/>
          <w:i/>
          <w:iCs/>
        </w:rPr>
        <w:t>sensu</w:t>
      </w:r>
      <w:r w:rsidRPr="00CC2BAF">
        <w:rPr>
          <w:rFonts w:cstheme="minorHAnsi"/>
        </w:rPr>
        <w:t> Holdridge </w:t>
      </w:r>
      <w:r w:rsidRPr="00CC2BAF">
        <w:rPr>
          <w:rFonts w:cstheme="minorHAnsi"/>
          <w:i/>
          <w:iCs/>
        </w:rPr>
        <w:t>et al</w:t>
      </w:r>
      <w:r w:rsidRPr="00CC2BAF">
        <w:rPr>
          <w:rFonts w:cstheme="minorHAnsi"/>
        </w:rPr>
        <w:t>. 1971). Between November 2003 and March 2004, twelve 20 × 20-m plots were established in areas with high density of lianas in forests of different ages of abandonment after shifting agriculture (Table 1). Plots were paired in order to establish the experimental treatments (liana cutting and control). Distance between paired plots was &gt; or = 20 m; no branches of lianas in a plot entered any other plot. Within each plot, all trees &gt; or = 10 cm girth (3.16 cm diameter) 1.3 m above ground were tagged and their diameters were measured as well as all climbers &gt; or = 1 cm diameter at ground level. Lianas rooted inside a plot but climbing on trees outside were excluded; lianas rooted outside and climbing on trees inside a plot were included.</w:t>
      </w:r>
    </w:p>
    <w:p w14:paraId="6420AB20" w14:textId="56A2EAD1" w:rsidR="001763DF" w:rsidRPr="00CC2BAF" w:rsidRDefault="001763DF" w:rsidP="00FB5F86">
      <w:pPr>
        <w:pStyle w:val="NoSpacing"/>
      </w:pPr>
      <w:r w:rsidRPr="00CC2BAF">
        <w:t>Table 1.</w:t>
      </w:r>
      <w:r w:rsidR="00FB5F86">
        <w:t xml:space="preserve"> </w:t>
      </w:r>
      <w:r w:rsidRPr="00CC2BAF">
        <w:t>Mean characteristics (± 1 SE) of trees &gt; or = 3.16 cm diameter at breast height and lianas &gt; or = 1 cm diameter at ground level in 12 experimental 20 m × 20-m plots in secondary tropical dry forest stands exposed to Hurricane Wilma in north-east Yucatan Peninsula, Mexico (n = 3).</w:t>
      </w:r>
    </w:p>
    <w:tbl>
      <w:tblPr>
        <w:tblStyle w:val="TableGrid"/>
        <w:tblW w:w="5000" w:type="pct"/>
        <w:tblLook w:val="04A0" w:firstRow="1" w:lastRow="0" w:firstColumn="1" w:lastColumn="0" w:noHBand="0" w:noVBand="1"/>
      </w:tblPr>
      <w:tblGrid>
        <w:gridCol w:w="1133"/>
        <w:gridCol w:w="965"/>
        <w:gridCol w:w="922"/>
        <w:gridCol w:w="890"/>
        <w:gridCol w:w="908"/>
        <w:gridCol w:w="922"/>
        <w:gridCol w:w="1140"/>
        <w:gridCol w:w="890"/>
        <w:gridCol w:w="1227"/>
        <w:gridCol w:w="1073"/>
      </w:tblGrid>
      <w:tr w:rsidR="00D4582C" w:rsidRPr="00FB5F86" w14:paraId="79A34CA1" w14:textId="77777777" w:rsidTr="00FB5F86">
        <w:tc>
          <w:tcPr>
            <w:tcW w:w="562" w:type="pct"/>
          </w:tcPr>
          <w:p w14:paraId="7D57D5E0" w14:textId="71B7C312" w:rsidR="00135666" w:rsidRPr="00FB5F86" w:rsidRDefault="00135666" w:rsidP="00FB5F86">
            <w:pPr>
              <w:pStyle w:val="NoSpacing"/>
              <w:rPr>
                <w:rFonts w:cstheme="minorHAnsi"/>
                <w:sz w:val="20"/>
                <w:szCs w:val="20"/>
              </w:rPr>
            </w:pPr>
            <w:r w:rsidRPr="00FB5F86">
              <w:rPr>
                <w:rFonts w:cstheme="minorHAnsi"/>
                <w:sz w:val="20"/>
                <w:szCs w:val="20"/>
              </w:rPr>
              <w:t>Age (y) and</w:t>
            </w:r>
          </w:p>
          <w:p w14:paraId="371331B5" w14:textId="2DB4E1CB" w:rsidR="00F30DA8" w:rsidRPr="00FB5F86" w:rsidRDefault="00135666" w:rsidP="00FB5F86">
            <w:pPr>
              <w:pStyle w:val="NoSpacing"/>
              <w:rPr>
                <w:rFonts w:cstheme="minorHAnsi"/>
                <w:sz w:val="20"/>
                <w:szCs w:val="20"/>
              </w:rPr>
            </w:pPr>
            <w:r w:rsidRPr="00FB5F86">
              <w:rPr>
                <w:rFonts w:cstheme="minorHAnsi"/>
                <w:sz w:val="20"/>
                <w:szCs w:val="20"/>
              </w:rPr>
              <w:t>treatment</w:t>
            </w:r>
          </w:p>
        </w:tc>
        <w:tc>
          <w:tcPr>
            <w:tcW w:w="479" w:type="pct"/>
          </w:tcPr>
          <w:p w14:paraId="7666C3D1" w14:textId="753A5E3F" w:rsidR="00F30DA8" w:rsidRPr="00FB5F86" w:rsidRDefault="00490C22" w:rsidP="00FB5F86">
            <w:pPr>
              <w:pStyle w:val="NoSpacing"/>
              <w:rPr>
                <w:rFonts w:cstheme="minorHAnsi"/>
                <w:sz w:val="20"/>
                <w:szCs w:val="20"/>
              </w:rPr>
            </w:pPr>
            <w:r w:rsidRPr="00FB5F86">
              <w:rPr>
                <w:rFonts w:cstheme="minorHAnsi"/>
                <w:sz w:val="20"/>
                <w:szCs w:val="20"/>
              </w:rPr>
              <w:t xml:space="preserve">Density (indiv. </w:t>
            </w:r>
            <w:proofErr w:type="gramStart"/>
            <w:r w:rsidRPr="00FB5F86">
              <w:rPr>
                <w:rFonts w:cstheme="minorHAnsi"/>
                <w:sz w:val="20"/>
                <w:szCs w:val="20"/>
              </w:rPr>
              <w:t>ha</w:t>
            </w:r>
            <w:r w:rsidRPr="00FB5F86">
              <w:rPr>
                <w:rFonts w:cstheme="minorHAnsi"/>
                <w:sz w:val="20"/>
                <w:szCs w:val="20"/>
                <w:vertAlign w:val="superscript"/>
              </w:rPr>
              <w:t>−1</w:t>
            </w:r>
            <w:proofErr w:type="gramEnd"/>
            <w:r w:rsidRPr="00FB5F86">
              <w:rPr>
                <w:rFonts w:cstheme="minorHAnsi"/>
                <w:sz w:val="20"/>
                <w:szCs w:val="20"/>
              </w:rPr>
              <w:t>)</w:t>
            </w:r>
          </w:p>
        </w:tc>
        <w:tc>
          <w:tcPr>
            <w:tcW w:w="458" w:type="pct"/>
          </w:tcPr>
          <w:p w14:paraId="5F732BAD" w14:textId="77777777" w:rsidR="00F30DA8" w:rsidRPr="00FB5F86" w:rsidRDefault="00F30DA8" w:rsidP="00FB5F86">
            <w:pPr>
              <w:pStyle w:val="NoSpacing"/>
              <w:rPr>
                <w:rFonts w:cstheme="minorHAnsi"/>
                <w:sz w:val="20"/>
                <w:szCs w:val="20"/>
              </w:rPr>
            </w:pPr>
          </w:p>
        </w:tc>
        <w:tc>
          <w:tcPr>
            <w:tcW w:w="442" w:type="pct"/>
          </w:tcPr>
          <w:p w14:paraId="605F6456" w14:textId="62214A87" w:rsidR="00F30DA8" w:rsidRPr="00FB5F86" w:rsidRDefault="00030305" w:rsidP="00FB5F86">
            <w:pPr>
              <w:pStyle w:val="NoSpacing"/>
              <w:rPr>
                <w:rFonts w:cstheme="minorHAnsi"/>
                <w:sz w:val="20"/>
                <w:szCs w:val="20"/>
              </w:rPr>
            </w:pPr>
            <w:r w:rsidRPr="00FB5F86">
              <w:rPr>
                <w:rFonts w:cstheme="minorHAnsi"/>
                <w:sz w:val="20"/>
                <w:szCs w:val="20"/>
              </w:rPr>
              <w:t xml:space="preserve">Basal area </w:t>
            </w:r>
            <w:r w:rsidR="00C65667" w:rsidRPr="00FB5F86">
              <w:rPr>
                <w:rFonts w:cstheme="minorHAnsi"/>
                <w:sz w:val="20"/>
                <w:szCs w:val="20"/>
              </w:rPr>
              <w:t>(m</w:t>
            </w:r>
            <w:r w:rsidR="00C65667" w:rsidRPr="00FB5F86">
              <w:rPr>
                <w:rFonts w:cstheme="minorHAnsi"/>
                <w:sz w:val="20"/>
                <w:szCs w:val="20"/>
                <w:vertAlign w:val="superscript"/>
              </w:rPr>
              <w:t xml:space="preserve">2 </w:t>
            </w:r>
            <w:proofErr w:type="gramStart"/>
            <w:r w:rsidR="00C65667" w:rsidRPr="00FB5F86">
              <w:rPr>
                <w:rFonts w:cstheme="minorHAnsi"/>
                <w:sz w:val="20"/>
                <w:szCs w:val="20"/>
              </w:rPr>
              <w:t>ha</w:t>
            </w:r>
            <w:r w:rsidR="00C65667" w:rsidRPr="00FB5F86">
              <w:rPr>
                <w:rFonts w:cstheme="minorHAnsi"/>
                <w:sz w:val="20"/>
                <w:szCs w:val="20"/>
                <w:vertAlign w:val="superscript"/>
              </w:rPr>
              <w:t>−1</w:t>
            </w:r>
            <w:proofErr w:type="gramEnd"/>
            <w:r w:rsidR="00C65667" w:rsidRPr="00FB5F86">
              <w:rPr>
                <w:rFonts w:cstheme="minorHAnsi"/>
                <w:sz w:val="20"/>
                <w:szCs w:val="20"/>
              </w:rPr>
              <w:t>)</w:t>
            </w:r>
          </w:p>
        </w:tc>
        <w:tc>
          <w:tcPr>
            <w:tcW w:w="451" w:type="pct"/>
          </w:tcPr>
          <w:p w14:paraId="469924F0" w14:textId="2BA933E1" w:rsidR="00F30DA8" w:rsidRPr="00FB5F86" w:rsidRDefault="00D54064" w:rsidP="00FB5F86">
            <w:pPr>
              <w:pStyle w:val="NoSpacing"/>
              <w:rPr>
                <w:rFonts w:cstheme="minorHAnsi"/>
                <w:sz w:val="20"/>
                <w:szCs w:val="20"/>
              </w:rPr>
            </w:pPr>
            <w:r w:rsidRPr="00FB5F86">
              <w:rPr>
                <w:rFonts w:cstheme="minorHAnsi"/>
                <w:sz w:val="20"/>
                <w:szCs w:val="20"/>
              </w:rPr>
              <w:t>Mean basal area (m2)</w:t>
            </w:r>
          </w:p>
        </w:tc>
        <w:tc>
          <w:tcPr>
            <w:tcW w:w="458" w:type="pct"/>
          </w:tcPr>
          <w:p w14:paraId="7C2AE207" w14:textId="77777777" w:rsidR="00F30DA8" w:rsidRPr="00FB5F86" w:rsidRDefault="00F30DA8" w:rsidP="00FB5F86">
            <w:pPr>
              <w:pStyle w:val="NoSpacing"/>
              <w:rPr>
                <w:rFonts w:cstheme="minorHAnsi"/>
                <w:sz w:val="20"/>
                <w:szCs w:val="20"/>
              </w:rPr>
            </w:pPr>
          </w:p>
        </w:tc>
        <w:tc>
          <w:tcPr>
            <w:tcW w:w="566" w:type="pct"/>
          </w:tcPr>
          <w:p w14:paraId="142E1464" w14:textId="6889559F" w:rsidR="00F30DA8" w:rsidRPr="00FB5F86" w:rsidRDefault="00C85A3F" w:rsidP="00FB5F86">
            <w:pPr>
              <w:pStyle w:val="NoSpacing"/>
              <w:rPr>
                <w:rFonts w:cstheme="minorHAnsi"/>
                <w:sz w:val="20"/>
                <w:szCs w:val="20"/>
              </w:rPr>
            </w:pPr>
            <w:r w:rsidRPr="00FB5F86">
              <w:rPr>
                <w:rFonts w:cstheme="minorHAnsi"/>
                <w:sz w:val="20"/>
                <w:szCs w:val="20"/>
              </w:rPr>
              <w:t>Liana/tree ratios of</w:t>
            </w:r>
          </w:p>
        </w:tc>
        <w:tc>
          <w:tcPr>
            <w:tcW w:w="442" w:type="pct"/>
          </w:tcPr>
          <w:p w14:paraId="46D0FEE5" w14:textId="77777777" w:rsidR="00F30DA8" w:rsidRPr="00FB5F86" w:rsidRDefault="00F30DA8" w:rsidP="00FB5F86">
            <w:pPr>
              <w:pStyle w:val="NoSpacing"/>
              <w:rPr>
                <w:rFonts w:cstheme="minorHAnsi"/>
                <w:sz w:val="20"/>
                <w:szCs w:val="20"/>
              </w:rPr>
            </w:pPr>
          </w:p>
        </w:tc>
        <w:tc>
          <w:tcPr>
            <w:tcW w:w="609" w:type="pct"/>
          </w:tcPr>
          <w:p w14:paraId="5ACF645E" w14:textId="7BFE64E6" w:rsidR="00F30DA8" w:rsidRPr="00FB5F86" w:rsidRDefault="00D4582C" w:rsidP="00FB5F86">
            <w:pPr>
              <w:pStyle w:val="NoSpacing"/>
              <w:rPr>
                <w:rFonts w:cstheme="minorHAnsi"/>
                <w:sz w:val="20"/>
                <w:szCs w:val="20"/>
              </w:rPr>
            </w:pPr>
            <w:r w:rsidRPr="00FB5F86">
              <w:rPr>
                <w:rFonts w:cstheme="minorHAnsi"/>
                <w:sz w:val="20"/>
                <w:szCs w:val="20"/>
              </w:rPr>
              <w:t>Percentage of Trees</w:t>
            </w:r>
          </w:p>
        </w:tc>
        <w:tc>
          <w:tcPr>
            <w:tcW w:w="534" w:type="pct"/>
          </w:tcPr>
          <w:p w14:paraId="614A476F" w14:textId="058C8CB3" w:rsidR="00F30DA8" w:rsidRPr="00FB5F86" w:rsidRDefault="00F30DA8" w:rsidP="00FB5F86">
            <w:pPr>
              <w:pStyle w:val="NoSpacing"/>
              <w:rPr>
                <w:rFonts w:cstheme="minorHAnsi"/>
                <w:sz w:val="20"/>
                <w:szCs w:val="20"/>
              </w:rPr>
            </w:pPr>
          </w:p>
        </w:tc>
      </w:tr>
      <w:tr w:rsidR="00D4582C" w:rsidRPr="00FB5F86" w14:paraId="5427D70E" w14:textId="77777777" w:rsidTr="00FB5F86">
        <w:tc>
          <w:tcPr>
            <w:tcW w:w="562" w:type="pct"/>
          </w:tcPr>
          <w:p w14:paraId="08BFBE7E" w14:textId="77777777" w:rsidR="00F30DA8" w:rsidRPr="00FB5F86" w:rsidRDefault="00F30DA8" w:rsidP="00FB5F86">
            <w:pPr>
              <w:pStyle w:val="NoSpacing"/>
              <w:rPr>
                <w:rFonts w:cstheme="minorHAnsi"/>
                <w:sz w:val="20"/>
                <w:szCs w:val="20"/>
              </w:rPr>
            </w:pPr>
          </w:p>
        </w:tc>
        <w:tc>
          <w:tcPr>
            <w:tcW w:w="479" w:type="pct"/>
          </w:tcPr>
          <w:p w14:paraId="3EFBA0F2" w14:textId="4A55507D" w:rsidR="00F30DA8" w:rsidRPr="00FB5F86" w:rsidRDefault="0002395C" w:rsidP="00FB5F86">
            <w:pPr>
              <w:pStyle w:val="NoSpacing"/>
              <w:rPr>
                <w:rFonts w:cstheme="minorHAnsi"/>
                <w:sz w:val="20"/>
                <w:szCs w:val="20"/>
              </w:rPr>
            </w:pPr>
            <w:r w:rsidRPr="00FB5F86">
              <w:rPr>
                <w:rFonts w:cstheme="minorHAnsi"/>
                <w:sz w:val="20"/>
                <w:szCs w:val="20"/>
              </w:rPr>
              <w:t>Trees</w:t>
            </w:r>
          </w:p>
        </w:tc>
        <w:tc>
          <w:tcPr>
            <w:tcW w:w="458" w:type="pct"/>
          </w:tcPr>
          <w:p w14:paraId="565A2E18" w14:textId="7D3DE4BE" w:rsidR="00F30DA8" w:rsidRPr="00FB5F86" w:rsidRDefault="00B00EAB" w:rsidP="00FB5F86">
            <w:pPr>
              <w:pStyle w:val="NoSpacing"/>
              <w:rPr>
                <w:rFonts w:cstheme="minorHAnsi"/>
                <w:sz w:val="20"/>
                <w:szCs w:val="20"/>
              </w:rPr>
            </w:pPr>
            <w:r w:rsidRPr="00FB5F86">
              <w:rPr>
                <w:rFonts w:cstheme="minorHAnsi"/>
                <w:sz w:val="20"/>
                <w:szCs w:val="20"/>
              </w:rPr>
              <w:t>Lianas</w:t>
            </w:r>
          </w:p>
        </w:tc>
        <w:tc>
          <w:tcPr>
            <w:tcW w:w="442" w:type="pct"/>
          </w:tcPr>
          <w:p w14:paraId="5CA721D0" w14:textId="77777777" w:rsidR="00F30DA8" w:rsidRPr="00FB5F86" w:rsidRDefault="00F30DA8" w:rsidP="00FB5F86">
            <w:pPr>
              <w:pStyle w:val="NoSpacing"/>
              <w:rPr>
                <w:rFonts w:cstheme="minorHAnsi"/>
                <w:sz w:val="20"/>
                <w:szCs w:val="20"/>
              </w:rPr>
            </w:pPr>
          </w:p>
        </w:tc>
        <w:tc>
          <w:tcPr>
            <w:tcW w:w="451" w:type="pct"/>
          </w:tcPr>
          <w:p w14:paraId="12C91343" w14:textId="050E6BA2" w:rsidR="00F30DA8" w:rsidRPr="00FB5F86" w:rsidRDefault="003F521D" w:rsidP="00FB5F86">
            <w:pPr>
              <w:pStyle w:val="NoSpacing"/>
              <w:rPr>
                <w:rFonts w:cstheme="minorHAnsi"/>
                <w:sz w:val="20"/>
                <w:szCs w:val="20"/>
              </w:rPr>
            </w:pPr>
            <w:r w:rsidRPr="00FB5F86">
              <w:rPr>
                <w:rFonts w:cstheme="minorHAnsi"/>
                <w:sz w:val="20"/>
                <w:szCs w:val="20"/>
              </w:rPr>
              <w:t>Trees</w:t>
            </w:r>
          </w:p>
        </w:tc>
        <w:tc>
          <w:tcPr>
            <w:tcW w:w="458" w:type="pct"/>
          </w:tcPr>
          <w:p w14:paraId="46F4BDFE" w14:textId="71727497" w:rsidR="00F30DA8" w:rsidRPr="00FB5F86" w:rsidRDefault="003F521D" w:rsidP="00FB5F86">
            <w:pPr>
              <w:pStyle w:val="NoSpacing"/>
              <w:rPr>
                <w:rFonts w:cstheme="minorHAnsi"/>
                <w:sz w:val="20"/>
                <w:szCs w:val="20"/>
              </w:rPr>
            </w:pPr>
            <w:r w:rsidRPr="00FB5F86">
              <w:rPr>
                <w:rFonts w:cstheme="minorHAnsi"/>
                <w:sz w:val="20"/>
                <w:szCs w:val="20"/>
              </w:rPr>
              <w:t>Lianas</w:t>
            </w:r>
          </w:p>
        </w:tc>
        <w:tc>
          <w:tcPr>
            <w:tcW w:w="566" w:type="pct"/>
          </w:tcPr>
          <w:p w14:paraId="36298C25" w14:textId="79FC7355" w:rsidR="00F30DA8" w:rsidRPr="00FB5F86" w:rsidRDefault="00C85A3F" w:rsidP="00FB5F86">
            <w:pPr>
              <w:pStyle w:val="NoSpacing"/>
              <w:rPr>
                <w:rFonts w:cstheme="minorHAnsi"/>
                <w:sz w:val="20"/>
                <w:szCs w:val="20"/>
              </w:rPr>
            </w:pPr>
            <w:r w:rsidRPr="00FB5F86">
              <w:rPr>
                <w:rFonts w:cstheme="minorHAnsi"/>
                <w:sz w:val="20"/>
                <w:szCs w:val="20"/>
              </w:rPr>
              <w:t>Density</w:t>
            </w:r>
          </w:p>
        </w:tc>
        <w:tc>
          <w:tcPr>
            <w:tcW w:w="442" w:type="pct"/>
          </w:tcPr>
          <w:p w14:paraId="72F23D3B" w14:textId="643D4D5F" w:rsidR="00F30DA8" w:rsidRPr="00FB5F86" w:rsidRDefault="00E6715B" w:rsidP="00FB5F86">
            <w:pPr>
              <w:pStyle w:val="NoSpacing"/>
              <w:rPr>
                <w:rFonts w:cstheme="minorHAnsi"/>
                <w:sz w:val="20"/>
                <w:szCs w:val="20"/>
              </w:rPr>
            </w:pPr>
            <w:r w:rsidRPr="00FB5F86">
              <w:rPr>
                <w:rFonts w:cstheme="minorHAnsi"/>
                <w:sz w:val="20"/>
                <w:szCs w:val="20"/>
              </w:rPr>
              <w:t>Basal area</w:t>
            </w:r>
          </w:p>
        </w:tc>
        <w:tc>
          <w:tcPr>
            <w:tcW w:w="609" w:type="pct"/>
          </w:tcPr>
          <w:p w14:paraId="5223FFD0" w14:textId="0F15DAFE" w:rsidR="00F30DA8" w:rsidRPr="00FB5F86" w:rsidRDefault="00E17614" w:rsidP="00FB5F86">
            <w:pPr>
              <w:pStyle w:val="NoSpacing"/>
              <w:rPr>
                <w:rFonts w:cstheme="minorHAnsi"/>
                <w:sz w:val="20"/>
                <w:szCs w:val="20"/>
              </w:rPr>
            </w:pPr>
            <w:r w:rsidRPr="00FB5F86">
              <w:rPr>
                <w:rFonts w:cstheme="minorHAnsi"/>
                <w:sz w:val="20"/>
                <w:szCs w:val="20"/>
              </w:rPr>
              <w:t>hosting lianas</w:t>
            </w:r>
          </w:p>
        </w:tc>
        <w:tc>
          <w:tcPr>
            <w:tcW w:w="534" w:type="pct"/>
          </w:tcPr>
          <w:p w14:paraId="4A19A04F" w14:textId="5FD43C87" w:rsidR="00F30DA8" w:rsidRPr="00FB5F86" w:rsidRDefault="00D4582C" w:rsidP="00FB5F86">
            <w:pPr>
              <w:pStyle w:val="NoSpacing"/>
              <w:rPr>
                <w:rFonts w:cstheme="minorHAnsi"/>
                <w:sz w:val="20"/>
                <w:szCs w:val="20"/>
              </w:rPr>
            </w:pPr>
            <w:r w:rsidRPr="00FB5F86">
              <w:rPr>
                <w:rFonts w:cstheme="minorHAnsi"/>
                <w:sz w:val="20"/>
                <w:szCs w:val="20"/>
              </w:rPr>
              <w:t>felled by</w:t>
            </w:r>
            <w:r w:rsidR="00EC4042" w:rsidRPr="00FB5F86">
              <w:rPr>
                <w:rFonts w:cstheme="minorHAnsi"/>
                <w:sz w:val="20"/>
                <w:szCs w:val="20"/>
              </w:rPr>
              <w:t xml:space="preserve"> hurricane</w:t>
            </w:r>
          </w:p>
        </w:tc>
      </w:tr>
      <w:tr w:rsidR="00D4582C" w:rsidRPr="00FB5F86" w14:paraId="087DAB8E" w14:textId="77777777" w:rsidTr="00FB5F86">
        <w:tc>
          <w:tcPr>
            <w:tcW w:w="562" w:type="pct"/>
          </w:tcPr>
          <w:p w14:paraId="1772248E" w14:textId="383992B4" w:rsidR="00F30DA8" w:rsidRPr="00FB5F86" w:rsidRDefault="000725BB" w:rsidP="00FB5F86">
            <w:pPr>
              <w:pStyle w:val="NoSpacing"/>
              <w:rPr>
                <w:rFonts w:cstheme="minorHAnsi"/>
                <w:sz w:val="20"/>
                <w:szCs w:val="20"/>
              </w:rPr>
            </w:pPr>
            <w:r w:rsidRPr="00FB5F86">
              <w:rPr>
                <w:rFonts w:cstheme="minorHAnsi"/>
                <w:sz w:val="20"/>
                <w:szCs w:val="20"/>
              </w:rPr>
              <w:t>≥55 cut</w:t>
            </w:r>
          </w:p>
        </w:tc>
        <w:tc>
          <w:tcPr>
            <w:tcW w:w="479" w:type="pct"/>
          </w:tcPr>
          <w:p w14:paraId="10F127B7" w14:textId="27CB5E37" w:rsidR="00F30DA8" w:rsidRPr="00FB5F86" w:rsidRDefault="00E45C3A" w:rsidP="00FB5F86">
            <w:pPr>
              <w:pStyle w:val="NoSpacing"/>
              <w:rPr>
                <w:rFonts w:cstheme="minorHAnsi"/>
                <w:sz w:val="20"/>
                <w:szCs w:val="20"/>
              </w:rPr>
            </w:pPr>
            <w:r w:rsidRPr="00FB5F86">
              <w:rPr>
                <w:rFonts w:cstheme="minorHAnsi"/>
                <w:sz w:val="20"/>
                <w:szCs w:val="20"/>
              </w:rPr>
              <w:t>3375 ± 527</w:t>
            </w:r>
          </w:p>
        </w:tc>
        <w:tc>
          <w:tcPr>
            <w:tcW w:w="458" w:type="pct"/>
          </w:tcPr>
          <w:p w14:paraId="0E8D5FF1" w14:textId="5C7682D4" w:rsidR="00F30DA8" w:rsidRPr="00FB5F86" w:rsidRDefault="009F47E4" w:rsidP="00FB5F86">
            <w:pPr>
              <w:pStyle w:val="NoSpacing"/>
              <w:rPr>
                <w:rFonts w:cstheme="minorHAnsi"/>
                <w:sz w:val="20"/>
                <w:szCs w:val="20"/>
              </w:rPr>
            </w:pPr>
            <w:r w:rsidRPr="00FB5F86">
              <w:rPr>
                <w:rFonts w:cstheme="minorHAnsi"/>
                <w:sz w:val="20"/>
                <w:szCs w:val="20"/>
              </w:rPr>
              <w:t>4483 ± 129</w:t>
            </w:r>
          </w:p>
        </w:tc>
        <w:tc>
          <w:tcPr>
            <w:tcW w:w="442" w:type="pct"/>
          </w:tcPr>
          <w:p w14:paraId="60A64676" w14:textId="334CE51C" w:rsidR="00F30DA8" w:rsidRPr="00FB5F86" w:rsidRDefault="00414527" w:rsidP="00FB5F86">
            <w:pPr>
              <w:pStyle w:val="NoSpacing"/>
              <w:rPr>
                <w:rFonts w:cstheme="minorHAnsi"/>
                <w:sz w:val="20"/>
                <w:szCs w:val="20"/>
              </w:rPr>
            </w:pPr>
            <w:r w:rsidRPr="00FB5F86">
              <w:rPr>
                <w:rFonts w:cstheme="minorHAnsi"/>
                <w:sz w:val="20"/>
                <w:szCs w:val="20"/>
              </w:rPr>
              <w:t>24.9 ± 2.9</w:t>
            </w:r>
          </w:p>
        </w:tc>
        <w:tc>
          <w:tcPr>
            <w:tcW w:w="451" w:type="pct"/>
          </w:tcPr>
          <w:p w14:paraId="65EA199F" w14:textId="4EF3FBBB" w:rsidR="00F30DA8" w:rsidRPr="00FB5F86" w:rsidRDefault="00600DE5" w:rsidP="00FB5F86">
            <w:pPr>
              <w:pStyle w:val="NoSpacing"/>
              <w:rPr>
                <w:rFonts w:cstheme="minorHAnsi"/>
                <w:sz w:val="20"/>
                <w:szCs w:val="20"/>
              </w:rPr>
            </w:pPr>
            <w:r w:rsidRPr="00FB5F86">
              <w:rPr>
                <w:rFonts w:cstheme="minorHAnsi"/>
                <w:sz w:val="20"/>
                <w:szCs w:val="20"/>
              </w:rPr>
              <w:t>0.17 ± 0.03</w:t>
            </w:r>
          </w:p>
        </w:tc>
        <w:tc>
          <w:tcPr>
            <w:tcW w:w="458" w:type="pct"/>
          </w:tcPr>
          <w:p w14:paraId="60E5D329" w14:textId="1678AD27" w:rsidR="00F30DA8" w:rsidRPr="00FB5F86" w:rsidRDefault="009F6D41" w:rsidP="00FB5F86">
            <w:pPr>
              <w:pStyle w:val="NoSpacing"/>
              <w:rPr>
                <w:rFonts w:cstheme="minorHAnsi"/>
                <w:sz w:val="20"/>
                <w:szCs w:val="20"/>
              </w:rPr>
            </w:pPr>
            <w:r w:rsidRPr="00FB5F86">
              <w:rPr>
                <w:rFonts w:cstheme="minorHAnsi"/>
                <w:sz w:val="20"/>
                <w:szCs w:val="20"/>
              </w:rPr>
              <w:t>0.01 ± 0.005</w:t>
            </w:r>
          </w:p>
        </w:tc>
        <w:tc>
          <w:tcPr>
            <w:tcW w:w="566" w:type="pct"/>
          </w:tcPr>
          <w:p w14:paraId="6BE2A309" w14:textId="04563B1E" w:rsidR="00F30DA8" w:rsidRPr="00FB5F86" w:rsidRDefault="0045743A" w:rsidP="00FB5F86">
            <w:pPr>
              <w:pStyle w:val="NoSpacing"/>
              <w:rPr>
                <w:rFonts w:cstheme="minorHAnsi"/>
                <w:sz w:val="20"/>
                <w:szCs w:val="20"/>
              </w:rPr>
            </w:pPr>
            <w:r w:rsidRPr="00FB5F86">
              <w:rPr>
                <w:rFonts w:cstheme="minorHAnsi"/>
                <w:sz w:val="20"/>
                <w:szCs w:val="20"/>
              </w:rPr>
              <w:t>1.2 ± 0.06</w:t>
            </w:r>
          </w:p>
        </w:tc>
        <w:tc>
          <w:tcPr>
            <w:tcW w:w="442" w:type="pct"/>
          </w:tcPr>
          <w:p w14:paraId="7095739F" w14:textId="4B5AF8EF" w:rsidR="00F30DA8" w:rsidRPr="00FB5F86" w:rsidRDefault="00EC60C6" w:rsidP="00FB5F86">
            <w:pPr>
              <w:pStyle w:val="NoSpacing"/>
              <w:rPr>
                <w:rFonts w:cstheme="minorHAnsi"/>
                <w:sz w:val="20"/>
                <w:szCs w:val="20"/>
              </w:rPr>
            </w:pPr>
            <w:r w:rsidRPr="00FB5F86">
              <w:rPr>
                <w:rFonts w:cstheme="minorHAnsi"/>
                <w:sz w:val="20"/>
                <w:szCs w:val="20"/>
              </w:rPr>
              <w:t>0.5 ± 0.2</w:t>
            </w:r>
          </w:p>
        </w:tc>
        <w:tc>
          <w:tcPr>
            <w:tcW w:w="609" w:type="pct"/>
          </w:tcPr>
          <w:p w14:paraId="30819592" w14:textId="66DFB4CD" w:rsidR="00F30DA8" w:rsidRPr="00FB5F86" w:rsidRDefault="00FB062A" w:rsidP="00FB5F86">
            <w:pPr>
              <w:pStyle w:val="NoSpacing"/>
              <w:rPr>
                <w:rFonts w:cstheme="minorHAnsi"/>
                <w:sz w:val="20"/>
                <w:szCs w:val="20"/>
              </w:rPr>
            </w:pPr>
            <w:r w:rsidRPr="00FB5F86">
              <w:rPr>
                <w:rFonts w:cstheme="minorHAnsi"/>
                <w:sz w:val="20"/>
                <w:szCs w:val="20"/>
              </w:rPr>
              <w:t>61.0 ± 2.4</w:t>
            </w:r>
          </w:p>
        </w:tc>
        <w:tc>
          <w:tcPr>
            <w:tcW w:w="534" w:type="pct"/>
          </w:tcPr>
          <w:p w14:paraId="7653D0C9" w14:textId="26589DE4" w:rsidR="00F30DA8" w:rsidRPr="00FB5F86" w:rsidRDefault="00E70CF5" w:rsidP="00FB5F86">
            <w:pPr>
              <w:pStyle w:val="NoSpacing"/>
              <w:rPr>
                <w:rFonts w:cstheme="minorHAnsi"/>
                <w:sz w:val="20"/>
                <w:szCs w:val="20"/>
              </w:rPr>
            </w:pPr>
            <w:r w:rsidRPr="00FB5F86">
              <w:rPr>
                <w:rFonts w:cstheme="minorHAnsi"/>
                <w:sz w:val="20"/>
                <w:szCs w:val="20"/>
              </w:rPr>
              <w:t>4.5 ± 0.06</w:t>
            </w:r>
          </w:p>
        </w:tc>
      </w:tr>
      <w:tr w:rsidR="00D4582C" w:rsidRPr="00FB5F86" w14:paraId="4652B30E" w14:textId="77777777" w:rsidTr="00FB5F86">
        <w:tc>
          <w:tcPr>
            <w:tcW w:w="562" w:type="pct"/>
          </w:tcPr>
          <w:p w14:paraId="582B15DD" w14:textId="71FB0B4B" w:rsidR="00F30DA8" w:rsidRPr="00FB5F86" w:rsidRDefault="00B67D7B" w:rsidP="00FB5F86">
            <w:pPr>
              <w:pStyle w:val="NoSpacing"/>
              <w:rPr>
                <w:rFonts w:cstheme="minorHAnsi"/>
                <w:sz w:val="20"/>
                <w:szCs w:val="20"/>
              </w:rPr>
            </w:pPr>
            <w:r w:rsidRPr="00FB5F86">
              <w:rPr>
                <w:rFonts w:cstheme="minorHAnsi"/>
                <w:sz w:val="20"/>
                <w:szCs w:val="20"/>
              </w:rPr>
              <w:t>≥55 uncut</w:t>
            </w:r>
          </w:p>
        </w:tc>
        <w:tc>
          <w:tcPr>
            <w:tcW w:w="479" w:type="pct"/>
          </w:tcPr>
          <w:p w14:paraId="07F2B0BB" w14:textId="43DC0970" w:rsidR="00F30DA8" w:rsidRPr="00FB5F86" w:rsidRDefault="00155BD8" w:rsidP="00FB5F86">
            <w:pPr>
              <w:pStyle w:val="NoSpacing"/>
              <w:rPr>
                <w:rFonts w:cstheme="minorHAnsi"/>
                <w:sz w:val="20"/>
                <w:szCs w:val="20"/>
              </w:rPr>
            </w:pPr>
            <w:r w:rsidRPr="00FB5F86">
              <w:rPr>
                <w:rFonts w:cstheme="minorHAnsi"/>
                <w:sz w:val="20"/>
                <w:szCs w:val="20"/>
              </w:rPr>
              <w:t xml:space="preserve">3375 ± 435 </w:t>
            </w:r>
          </w:p>
        </w:tc>
        <w:tc>
          <w:tcPr>
            <w:tcW w:w="458" w:type="pct"/>
          </w:tcPr>
          <w:p w14:paraId="0472A990" w14:textId="0B662A61" w:rsidR="00F30DA8" w:rsidRPr="00FB5F86" w:rsidRDefault="005A521D" w:rsidP="00FB5F86">
            <w:pPr>
              <w:pStyle w:val="NoSpacing"/>
              <w:rPr>
                <w:rFonts w:cstheme="minorHAnsi"/>
                <w:sz w:val="20"/>
                <w:szCs w:val="20"/>
              </w:rPr>
            </w:pPr>
            <w:r w:rsidRPr="00FB5F86">
              <w:rPr>
                <w:rFonts w:cstheme="minorHAnsi"/>
                <w:sz w:val="20"/>
                <w:szCs w:val="20"/>
              </w:rPr>
              <w:t>3433 ± 621</w:t>
            </w:r>
          </w:p>
        </w:tc>
        <w:tc>
          <w:tcPr>
            <w:tcW w:w="442" w:type="pct"/>
          </w:tcPr>
          <w:p w14:paraId="3DDFB28F" w14:textId="3015D87C" w:rsidR="00F30DA8" w:rsidRPr="00FB5F86" w:rsidRDefault="004A2619" w:rsidP="00FB5F86">
            <w:pPr>
              <w:pStyle w:val="NoSpacing"/>
              <w:rPr>
                <w:rFonts w:cstheme="minorHAnsi"/>
                <w:sz w:val="20"/>
                <w:szCs w:val="20"/>
              </w:rPr>
            </w:pPr>
            <w:r w:rsidRPr="00FB5F86">
              <w:rPr>
                <w:rFonts w:cstheme="minorHAnsi"/>
                <w:sz w:val="20"/>
                <w:szCs w:val="20"/>
              </w:rPr>
              <w:t>26.4 ± 6.3</w:t>
            </w:r>
          </w:p>
        </w:tc>
        <w:tc>
          <w:tcPr>
            <w:tcW w:w="451" w:type="pct"/>
          </w:tcPr>
          <w:p w14:paraId="49D1E919" w14:textId="5443B036" w:rsidR="00F30DA8" w:rsidRPr="00FB5F86" w:rsidRDefault="007B650B" w:rsidP="00FB5F86">
            <w:pPr>
              <w:pStyle w:val="NoSpacing"/>
              <w:rPr>
                <w:rFonts w:cstheme="minorHAnsi"/>
                <w:sz w:val="20"/>
                <w:szCs w:val="20"/>
              </w:rPr>
            </w:pPr>
            <w:r w:rsidRPr="00FB5F86">
              <w:rPr>
                <w:rFonts w:cstheme="minorHAnsi"/>
                <w:sz w:val="20"/>
                <w:szCs w:val="20"/>
              </w:rPr>
              <w:t>0.19 ± 0.03</w:t>
            </w:r>
          </w:p>
        </w:tc>
        <w:tc>
          <w:tcPr>
            <w:tcW w:w="458" w:type="pct"/>
          </w:tcPr>
          <w:p w14:paraId="14E8330F" w14:textId="45E96A01" w:rsidR="00F30DA8" w:rsidRPr="00FB5F86" w:rsidRDefault="00292AAD" w:rsidP="00FB5F86">
            <w:pPr>
              <w:pStyle w:val="NoSpacing"/>
              <w:rPr>
                <w:rFonts w:cstheme="minorHAnsi"/>
                <w:sz w:val="20"/>
                <w:szCs w:val="20"/>
              </w:rPr>
            </w:pPr>
            <w:r w:rsidRPr="00FB5F86">
              <w:rPr>
                <w:rFonts w:cstheme="minorHAnsi"/>
                <w:sz w:val="20"/>
                <w:szCs w:val="20"/>
              </w:rPr>
              <w:t>0.01 ± 0.001</w:t>
            </w:r>
          </w:p>
        </w:tc>
        <w:tc>
          <w:tcPr>
            <w:tcW w:w="566" w:type="pct"/>
          </w:tcPr>
          <w:p w14:paraId="2AFB8B29" w14:textId="4785D3C8" w:rsidR="00F30DA8" w:rsidRPr="00FB5F86" w:rsidRDefault="00BC607D" w:rsidP="00FB5F86">
            <w:pPr>
              <w:pStyle w:val="NoSpacing"/>
              <w:rPr>
                <w:rFonts w:cstheme="minorHAnsi"/>
                <w:sz w:val="20"/>
                <w:szCs w:val="20"/>
              </w:rPr>
            </w:pPr>
            <w:r w:rsidRPr="00FB5F86">
              <w:rPr>
                <w:rFonts w:cstheme="minorHAnsi"/>
                <w:sz w:val="20"/>
                <w:szCs w:val="20"/>
              </w:rPr>
              <w:t>1.03 ± 0.2</w:t>
            </w:r>
          </w:p>
        </w:tc>
        <w:tc>
          <w:tcPr>
            <w:tcW w:w="442" w:type="pct"/>
          </w:tcPr>
          <w:p w14:paraId="0F166D07" w14:textId="2D86B904" w:rsidR="00F30DA8" w:rsidRPr="00FB5F86" w:rsidRDefault="0058504A" w:rsidP="00FB5F86">
            <w:pPr>
              <w:pStyle w:val="NoSpacing"/>
              <w:rPr>
                <w:rFonts w:cstheme="minorHAnsi"/>
                <w:sz w:val="20"/>
                <w:szCs w:val="20"/>
              </w:rPr>
            </w:pPr>
            <w:r w:rsidRPr="00FB5F86">
              <w:rPr>
                <w:rFonts w:cstheme="minorHAnsi"/>
                <w:sz w:val="20"/>
                <w:szCs w:val="20"/>
              </w:rPr>
              <w:t>0.2 ± 0.2</w:t>
            </w:r>
          </w:p>
        </w:tc>
        <w:tc>
          <w:tcPr>
            <w:tcW w:w="609" w:type="pct"/>
          </w:tcPr>
          <w:p w14:paraId="6A6163CE" w14:textId="38179677" w:rsidR="00F30DA8" w:rsidRPr="00FB5F86" w:rsidRDefault="00FD2827" w:rsidP="00FB5F86">
            <w:pPr>
              <w:pStyle w:val="NoSpacing"/>
              <w:rPr>
                <w:rFonts w:cstheme="minorHAnsi"/>
                <w:sz w:val="20"/>
                <w:szCs w:val="20"/>
              </w:rPr>
            </w:pPr>
            <w:r w:rsidRPr="00FB5F86">
              <w:rPr>
                <w:rFonts w:cstheme="minorHAnsi"/>
                <w:sz w:val="20"/>
                <w:szCs w:val="20"/>
              </w:rPr>
              <w:t>61.7 ± 7.8</w:t>
            </w:r>
          </w:p>
        </w:tc>
        <w:tc>
          <w:tcPr>
            <w:tcW w:w="534" w:type="pct"/>
          </w:tcPr>
          <w:p w14:paraId="353ED3DE" w14:textId="40BC9EA5" w:rsidR="00F30DA8" w:rsidRPr="00FB5F86" w:rsidRDefault="006243F9" w:rsidP="00FB5F86">
            <w:pPr>
              <w:pStyle w:val="NoSpacing"/>
              <w:rPr>
                <w:rFonts w:cstheme="minorHAnsi"/>
                <w:sz w:val="20"/>
                <w:szCs w:val="20"/>
              </w:rPr>
            </w:pPr>
            <w:r w:rsidRPr="00FB5F86">
              <w:rPr>
                <w:rFonts w:cstheme="minorHAnsi"/>
                <w:sz w:val="20"/>
                <w:szCs w:val="20"/>
              </w:rPr>
              <w:t>10.9 ± 2.2</w:t>
            </w:r>
            <w:r w:rsidRPr="00FB5F86">
              <w:rPr>
                <w:rFonts w:cstheme="minorHAnsi"/>
                <w:sz w:val="20"/>
                <w:szCs w:val="20"/>
              </w:rPr>
              <w:tab/>
            </w:r>
          </w:p>
        </w:tc>
      </w:tr>
      <w:tr w:rsidR="00D4582C" w:rsidRPr="00FB5F86" w14:paraId="672EC417" w14:textId="77777777" w:rsidTr="00FB5F86">
        <w:tc>
          <w:tcPr>
            <w:tcW w:w="562" w:type="pct"/>
          </w:tcPr>
          <w:p w14:paraId="6DABFDE5" w14:textId="5FC7D95F" w:rsidR="00F30DA8" w:rsidRPr="00FB5F86" w:rsidRDefault="00B67D7B" w:rsidP="00FB5F86">
            <w:pPr>
              <w:pStyle w:val="NoSpacing"/>
              <w:rPr>
                <w:rFonts w:cstheme="minorHAnsi"/>
                <w:sz w:val="20"/>
                <w:szCs w:val="20"/>
              </w:rPr>
            </w:pPr>
            <w:r w:rsidRPr="00FB5F86">
              <w:rPr>
                <w:rFonts w:cstheme="minorHAnsi"/>
                <w:sz w:val="20"/>
                <w:szCs w:val="20"/>
              </w:rPr>
              <w:t>10–18 cut</w:t>
            </w:r>
          </w:p>
        </w:tc>
        <w:tc>
          <w:tcPr>
            <w:tcW w:w="479" w:type="pct"/>
          </w:tcPr>
          <w:p w14:paraId="7A3823E9" w14:textId="62DB50B8" w:rsidR="00F30DA8" w:rsidRPr="00FB5F86" w:rsidRDefault="00BD7C0B" w:rsidP="00FB5F86">
            <w:pPr>
              <w:pStyle w:val="NoSpacing"/>
              <w:rPr>
                <w:rFonts w:cstheme="minorHAnsi"/>
                <w:sz w:val="20"/>
                <w:szCs w:val="20"/>
              </w:rPr>
            </w:pPr>
            <w:r w:rsidRPr="00FB5F86">
              <w:rPr>
                <w:rFonts w:cstheme="minorHAnsi"/>
                <w:sz w:val="20"/>
                <w:szCs w:val="20"/>
              </w:rPr>
              <w:t>3408 ± 621</w:t>
            </w:r>
          </w:p>
        </w:tc>
        <w:tc>
          <w:tcPr>
            <w:tcW w:w="458" w:type="pct"/>
          </w:tcPr>
          <w:p w14:paraId="56C6AD3C" w14:textId="4B52FE6F" w:rsidR="00F30DA8" w:rsidRPr="00FB5F86" w:rsidRDefault="005A521D" w:rsidP="00FB5F86">
            <w:pPr>
              <w:pStyle w:val="NoSpacing"/>
              <w:rPr>
                <w:rFonts w:cstheme="minorHAnsi"/>
                <w:sz w:val="20"/>
                <w:szCs w:val="20"/>
              </w:rPr>
            </w:pPr>
            <w:r w:rsidRPr="00FB5F86">
              <w:rPr>
                <w:rFonts w:cstheme="minorHAnsi"/>
                <w:sz w:val="20"/>
                <w:szCs w:val="20"/>
              </w:rPr>
              <w:t>2617 ± 530</w:t>
            </w:r>
          </w:p>
        </w:tc>
        <w:tc>
          <w:tcPr>
            <w:tcW w:w="442" w:type="pct"/>
          </w:tcPr>
          <w:p w14:paraId="1EF0BFEC" w14:textId="1076F17B" w:rsidR="00F30DA8" w:rsidRPr="00FB5F86" w:rsidRDefault="004A2619" w:rsidP="00FB5F86">
            <w:pPr>
              <w:pStyle w:val="NoSpacing"/>
              <w:rPr>
                <w:rFonts w:cstheme="minorHAnsi"/>
                <w:sz w:val="20"/>
                <w:szCs w:val="20"/>
              </w:rPr>
            </w:pPr>
            <w:r w:rsidRPr="00FB5F86">
              <w:rPr>
                <w:rFonts w:cstheme="minorHAnsi"/>
                <w:sz w:val="20"/>
                <w:szCs w:val="20"/>
              </w:rPr>
              <w:t>13.5 ± 1.6</w:t>
            </w:r>
          </w:p>
        </w:tc>
        <w:tc>
          <w:tcPr>
            <w:tcW w:w="451" w:type="pct"/>
          </w:tcPr>
          <w:p w14:paraId="14FF9482" w14:textId="7389A40E" w:rsidR="00F30DA8" w:rsidRPr="00FB5F86" w:rsidRDefault="007B650B" w:rsidP="00FB5F86">
            <w:pPr>
              <w:pStyle w:val="NoSpacing"/>
              <w:rPr>
                <w:rFonts w:cstheme="minorHAnsi"/>
                <w:sz w:val="20"/>
                <w:szCs w:val="20"/>
              </w:rPr>
            </w:pPr>
            <w:r w:rsidRPr="00FB5F86">
              <w:rPr>
                <w:rFonts w:cstheme="minorHAnsi"/>
                <w:sz w:val="20"/>
                <w:szCs w:val="20"/>
              </w:rPr>
              <w:t>0.10 ± 0.006</w:t>
            </w:r>
          </w:p>
        </w:tc>
        <w:tc>
          <w:tcPr>
            <w:tcW w:w="458" w:type="pct"/>
          </w:tcPr>
          <w:p w14:paraId="2BF0F58D" w14:textId="084E5134" w:rsidR="00F30DA8" w:rsidRPr="00FB5F86" w:rsidRDefault="00292AAD" w:rsidP="00FB5F86">
            <w:pPr>
              <w:pStyle w:val="NoSpacing"/>
              <w:rPr>
                <w:rFonts w:cstheme="minorHAnsi"/>
                <w:sz w:val="20"/>
                <w:szCs w:val="20"/>
              </w:rPr>
            </w:pPr>
            <w:r w:rsidRPr="00FB5F86">
              <w:rPr>
                <w:rFonts w:cstheme="minorHAnsi"/>
                <w:sz w:val="20"/>
                <w:szCs w:val="20"/>
              </w:rPr>
              <w:t>0.02 ± 0.006</w:t>
            </w:r>
          </w:p>
        </w:tc>
        <w:tc>
          <w:tcPr>
            <w:tcW w:w="566" w:type="pct"/>
          </w:tcPr>
          <w:p w14:paraId="5608F026" w14:textId="05791351" w:rsidR="00F30DA8" w:rsidRPr="00FB5F86" w:rsidRDefault="00BC607D" w:rsidP="00FB5F86">
            <w:pPr>
              <w:pStyle w:val="NoSpacing"/>
              <w:rPr>
                <w:rFonts w:cstheme="minorHAnsi"/>
                <w:sz w:val="20"/>
                <w:szCs w:val="20"/>
              </w:rPr>
            </w:pPr>
            <w:r w:rsidRPr="00FB5F86">
              <w:rPr>
                <w:rFonts w:cstheme="minorHAnsi"/>
                <w:sz w:val="20"/>
                <w:szCs w:val="20"/>
              </w:rPr>
              <w:t>0.8 ± 0.2</w:t>
            </w:r>
          </w:p>
        </w:tc>
        <w:tc>
          <w:tcPr>
            <w:tcW w:w="442" w:type="pct"/>
          </w:tcPr>
          <w:p w14:paraId="2FF1B80C" w14:textId="470B54A3" w:rsidR="00F30DA8" w:rsidRPr="00FB5F86" w:rsidRDefault="0058504A" w:rsidP="00FB5F86">
            <w:pPr>
              <w:pStyle w:val="NoSpacing"/>
              <w:rPr>
                <w:rFonts w:cstheme="minorHAnsi"/>
                <w:sz w:val="20"/>
                <w:szCs w:val="20"/>
              </w:rPr>
            </w:pPr>
            <w:r w:rsidRPr="00FB5F86">
              <w:rPr>
                <w:rFonts w:cstheme="minorHAnsi"/>
                <w:sz w:val="20"/>
                <w:szCs w:val="20"/>
              </w:rPr>
              <w:t>0.2 ± 0.1</w:t>
            </w:r>
          </w:p>
        </w:tc>
        <w:tc>
          <w:tcPr>
            <w:tcW w:w="609" w:type="pct"/>
          </w:tcPr>
          <w:p w14:paraId="672E80D2" w14:textId="1E033046" w:rsidR="00F30DA8" w:rsidRPr="00FB5F86" w:rsidRDefault="00FD2827" w:rsidP="00FB5F86">
            <w:pPr>
              <w:pStyle w:val="NoSpacing"/>
              <w:rPr>
                <w:rFonts w:cstheme="minorHAnsi"/>
                <w:sz w:val="20"/>
                <w:szCs w:val="20"/>
              </w:rPr>
            </w:pPr>
            <w:r w:rsidRPr="00FB5F86">
              <w:rPr>
                <w:rFonts w:cstheme="minorHAnsi"/>
                <w:sz w:val="20"/>
                <w:szCs w:val="20"/>
              </w:rPr>
              <w:t>78.2 ± 13.8</w:t>
            </w:r>
          </w:p>
        </w:tc>
        <w:tc>
          <w:tcPr>
            <w:tcW w:w="534" w:type="pct"/>
          </w:tcPr>
          <w:p w14:paraId="7E10D7AB" w14:textId="779267BB" w:rsidR="00F30DA8" w:rsidRPr="00FB5F86" w:rsidRDefault="004D4B01" w:rsidP="00FB5F86">
            <w:pPr>
              <w:pStyle w:val="NoSpacing"/>
              <w:rPr>
                <w:rFonts w:cstheme="minorHAnsi"/>
                <w:sz w:val="20"/>
                <w:szCs w:val="20"/>
              </w:rPr>
            </w:pPr>
            <w:r w:rsidRPr="00FB5F86">
              <w:rPr>
                <w:rFonts w:cstheme="minorHAnsi"/>
                <w:sz w:val="20"/>
                <w:szCs w:val="20"/>
              </w:rPr>
              <w:t>11.9 ± 4.0</w:t>
            </w:r>
          </w:p>
        </w:tc>
      </w:tr>
      <w:tr w:rsidR="00B67D7B" w:rsidRPr="00FB5F86" w14:paraId="647C370B" w14:textId="77777777" w:rsidTr="00FB5F86">
        <w:tc>
          <w:tcPr>
            <w:tcW w:w="562" w:type="pct"/>
          </w:tcPr>
          <w:p w14:paraId="587F8BC0" w14:textId="2CB5F744" w:rsidR="00B67D7B" w:rsidRPr="00FB5F86" w:rsidRDefault="00E45C3A" w:rsidP="00FB5F86">
            <w:pPr>
              <w:pStyle w:val="NoSpacing"/>
              <w:rPr>
                <w:rFonts w:cstheme="minorHAnsi"/>
                <w:sz w:val="20"/>
                <w:szCs w:val="20"/>
              </w:rPr>
            </w:pPr>
            <w:r w:rsidRPr="00FB5F86">
              <w:rPr>
                <w:rFonts w:cstheme="minorHAnsi"/>
                <w:sz w:val="20"/>
                <w:szCs w:val="20"/>
              </w:rPr>
              <w:t>10–18 uncut</w:t>
            </w:r>
          </w:p>
        </w:tc>
        <w:tc>
          <w:tcPr>
            <w:tcW w:w="479" w:type="pct"/>
          </w:tcPr>
          <w:p w14:paraId="30213CA3" w14:textId="1D32C325" w:rsidR="00B67D7B" w:rsidRPr="00FB5F86" w:rsidRDefault="00BD7C0B" w:rsidP="00FB5F86">
            <w:pPr>
              <w:pStyle w:val="NoSpacing"/>
              <w:rPr>
                <w:rFonts w:cstheme="minorHAnsi"/>
                <w:sz w:val="20"/>
                <w:szCs w:val="20"/>
              </w:rPr>
            </w:pPr>
            <w:r w:rsidRPr="00FB5F86">
              <w:rPr>
                <w:rFonts w:cstheme="minorHAnsi"/>
                <w:sz w:val="20"/>
                <w:szCs w:val="20"/>
              </w:rPr>
              <w:t>4275 ± 354</w:t>
            </w:r>
          </w:p>
        </w:tc>
        <w:tc>
          <w:tcPr>
            <w:tcW w:w="458" w:type="pct"/>
          </w:tcPr>
          <w:p w14:paraId="062004AC" w14:textId="394B88E3" w:rsidR="00B67D7B" w:rsidRPr="00FB5F86" w:rsidRDefault="00414527" w:rsidP="00FB5F86">
            <w:pPr>
              <w:pStyle w:val="NoSpacing"/>
              <w:rPr>
                <w:rFonts w:cstheme="minorHAnsi"/>
                <w:sz w:val="20"/>
                <w:szCs w:val="20"/>
              </w:rPr>
            </w:pPr>
            <w:r w:rsidRPr="00FB5F86">
              <w:rPr>
                <w:rFonts w:cstheme="minorHAnsi"/>
                <w:sz w:val="20"/>
                <w:szCs w:val="20"/>
              </w:rPr>
              <w:t>3517 ± 720.6</w:t>
            </w:r>
          </w:p>
        </w:tc>
        <w:tc>
          <w:tcPr>
            <w:tcW w:w="442" w:type="pct"/>
          </w:tcPr>
          <w:p w14:paraId="155FEA97" w14:textId="015AF76A" w:rsidR="00B67D7B" w:rsidRPr="00FB5F86" w:rsidRDefault="00600DE5" w:rsidP="00FB5F86">
            <w:pPr>
              <w:pStyle w:val="NoSpacing"/>
              <w:rPr>
                <w:rFonts w:cstheme="minorHAnsi"/>
                <w:sz w:val="20"/>
                <w:szCs w:val="20"/>
              </w:rPr>
            </w:pPr>
            <w:r w:rsidRPr="00FB5F86">
              <w:rPr>
                <w:rFonts w:cstheme="minorHAnsi"/>
                <w:sz w:val="20"/>
                <w:szCs w:val="20"/>
              </w:rPr>
              <w:t>16.9 ± 3.9</w:t>
            </w:r>
          </w:p>
        </w:tc>
        <w:tc>
          <w:tcPr>
            <w:tcW w:w="451" w:type="pct"/>
          </w:tcPr>
          <w:p w14:paraId="1BB76DDC" w14:textId="7E7F9723" w:rsidR="00B67D7B" w:rsidRPr="00FB5F86" w:rsidRDefault="009F6D41" w:rsidP="00FB5F86">
            <w:pPr>
              <w:pStyle w:val="NoSpacing"/>
              <w:rPr>
                <w:rFonts w:cstheme="minorHAnsi"/>
                <w:sz w:val="20"/>
                <w:szCs w:val="20"/>
              </w:rPr>
            </w:pPr>
            <w:r w:rsidRPr="00FB5F86">
              <w:rPr>
                <w:rFonts w:cstheme="minorHAnsi"/>
                <w:sz w:val="20"/>
                <w:szCs w:val="20"/>
              </w:rPr>
              <w:t>0.10 ± 0.02</w:t>
            </w:r>
          </w:p>
        </w:tc>
        <w:tc>
          <w:tcPr>
            <w:tcW w:w="458" w:type="pct"/>
          </w:tcPr>
          <w:p w14:paraId="66FE63F1" w14:textId="3F178FCC" w:rsidR="00B67D7B" w:rsidRPr="00FB5F86" w:rsidRDefault="0045743A" w:rsidP="00FB5F86">
            <w:pPr>
              <w:pStyle w:val="NoSpacing"/>
              <w:rPr>
                <w:rFonts w:cstheme="minorHAnsi"/>
                <w:sz w:val="20"/>
                <w:szCs w:val="20"/>
              </w:rPr>
            </w:pPr>
            <w:r w:rsidRPr="00FB5F86">
              <w:rPr>
                <w:rFonts w:cstheme="minorHAnsi"/>
                <w:sz w:val="20"/>
                <w:szCs w:val="20"/>
              </w:rPr>
              <w:t>0.02 ± 0.005</w:t>
            </w:r>
          </w:p>
        </w:tc>
        <w:tc>
          <w:tcPr>
            <w:tcW w:w="566" w:type="pct"/>
          </w:tcPr>
          <w:p w14:paraId="484CF848" w14:textId="4D91317B" w:rsidR="00B67D7B" w:rsidRPr="00FB5F86" w:rsidRDefault="00EC60C6" w:rsidP="00FB5F86">
            <w:pPr>
              <w:pStyle w:val="NoSpacing"/>
              <w:rPr>
                <w:rFonts w:cstheme="minorHAnsi"/>
                <w:sz w:val="20"/>
                <w:szCs w:val="20"/>
              </w:rPr>
            </w:pPr>
            <w:r w:rsidRPr="00FB5F86">
              <w:rPr>
                <w:rFonts w:cstheme="minorHAnsi"/>
                <w:sz w:val="20"/>
                <w:szCs w:val="20"/>
              </w:rPr>
              <w:t>0.8 ± 0.2</w:t>
            </w:r>
          </w:p>
        </w:tc>
        <w:tc>
          <w:tcPr>
            <w:tcW w:w="442" w:type="pct"/>
          </w:tcPr>
          <w:p w14:paraId="4BDDB2EE" w14:textId="020DACE6" w:rsidR="00B67D7B" w:rsidRPr="00FB5F86" w:rsidRDefault="00FB062A" w:rsidP="00FB5F86">
            <w:pPr>
              <w:pStyle w:val="NoSpacing"/>
              <w:rPr>
                <w:rFonts w:cstheme="minorHAnsi"/>
                <w:sz w:val="20"/>
                <w:szCs w:val="20"/>
              </w:rPr>
            </w:pPr>
            <w:r w:rsidRPr="00FB5F86">
              <w:rPr>
                <w:rFonts w:cstheme="minorHAnsi"/>
                <w:sz w:val="20"/>
                <w:szCs w:val="20"/>
              </w:rPr>
              <w:t>0.2 ± 0.06</w:t>
            </w:r>
          </w:p>
        </w:tc>
        <w:tc>
          <w:tcPr>
            <w:tcW w:w="609" w:type="pct"/>
          </w:tcPr>
          <w:p w14:paraId="132626F6" w14:textId="0789D4A4" w:rsidR="00B67D7B" w:rsidRPr="00FB5F86" w:rsidRDefault="00E70CF5" w:rsidP="00FB5F86">
            <w:pPr>
              <w:pStyle w:val="NoSpacing"/>
              <w:rPr>
                <w:rFonts w:cstheme="minorHAnsi"/>
                <w:sz w:val="20"/>
                <w:szCs w:val="20"/>
              </w:rPr>
            </w:pPr>
            <w:r w:rsidRPr="00FB5F86">
              <w:rPr>
                <w:rFonts w:cstheme="minorHAnsi"/>
                <w:sz w:val="20"/>
                <w:szCs w:val="20"/>
              </w:rPr>
              <w:t>85.9 ± 6.8</w:t>
            </w:r>
          </w:p>
        </w:tc>
        <w:tc>
          <w:tcPr>
            <w:tcW w:w="534" w:type="pct"/>
          </w:tcPr>
          <w:p w14:paraId="39B15E52" w14:textId="606478E4" w:rsidR="00B67D7B" w:rsidRPr="00FB5F86" w:rsidRDefault="004D4B01" w:rsidP="00FB5F86">
            <w:pPr>
              <w:pStyle w:val="NoSpacing"/>
              <w:rPr>
                <w:rFonts w:cstheme="minorHAnsi"/>
                <w:sz w:val="20"/>
                <w:szCs w:val="20"/>
              </w:rPr>
            </w:pPr>
            <w:r w:rsidRPr="00FB5F86">
              <w:rPr>
                <w:rFonts w:cstheme="minorHAnsi"/>
                <w:sz w:val="20"/>
                <w:szCs w:val="20"/>
              </w:rPr>
              <w:t>4.5 ± 2.7</w:t>
            </w:r>
          </w:p>
        </w:tc>
      </w:tr>
    </w:tbl>
    <w:p w14:paraId="2453CA57" w14:textId="77777777" w:rsidR="007C7689" w:rsidRPr="00CC2BAF" w:rsidRDefault="007C7689" w:rsidP="001763DF">
      <w:pPr>
        <w:rPr>
          <w:rFonts w:cstheme="minorHAnsi"/>
          <w:sz w:val="24"/>
          <w:szCs w:val="24"/>
        </w:rPr>
      </w:pPr>
    </w:p>
    <w:p w14:paraId="5451C9A2" w14:textId="77777777" w:rsidR="001763DF" w:rsidRPr="00CC2BAF" w:rsidRDefault="001763DF" w:rsidP="0059512C">
      <w:pPr>
        <w:rPr>
          <w:rFonts w:cstheme="minorHAnsi"/>
        </w:rPr>
      </w:pPr>
      <w:r w:rsidRPr="00CC2BAF">
        <w:rPr>
          <w:rFonts w:cstheme="minorHAnsi"/>
        </w:rPr>
        <w:t>On 22-23 May 2004 all climbers were cut in one of each of the paired of plots without removing cut lianas to avoid damaging trees. On 21 August 2005 all trees were re-visited to confirm that hurricane Emily (18 July 2005) did not affect tree mortality. On 23 October 2005 (17 mo after the initial census) hurricane Wilma, the most powerful registered to date in the Caribbean (minimum central pressure = 882 hPa; maximum winds = 295 km h </w:t>
      </w:r>
      <w:r w:rsidRPr="00CC2BAF">
        <w:rPr>
          <w:rFonts w:cstheme="minorHAnsi"/>
          <w:vertAlign w:val="superscript"/>
        </w:rPr>
        <w:t>-1</w:t>
      </w:r>
      <w:r w:rsidRPr="00CC2BAF">
        <w:rPr>
          <w:rFonts w:cstheme="minorHAnsi"/>
        </w:rPr>
        <w:t>), struck our plots. On 16-25 January 2006, all plots were re-visited and all substantially damaged (snapped or uprooted) trees quantified, to calculate the percentage of hurricane-felled trees per plot (%HFT; 100% = all trees that were alive and undamaged 2 mo before the hurricane). The effects of liana treatment (cutting </w:t>
      </w:r>
      <w:r w:rsidRPr="00CC2BAF">
        <w:rPr>
          <w:rFonts w:cstheme="minorHAnsi"/>
          <w:i/>
          <w:iCs/>
        </w:rPr>
        <w:t>vs</w:t>
      </w:r>
      <w:r w:rsidRPr="00CC2BAF">
        <w:rPr>
          <w:rFonts w:cstheme="minorHAnsi"/>
        </w:rPr>
        <w:t> control) and forest age (10-18 y old </w:t>
      </w:r>
      <w:r w:rsidRPr="00CC2BAF">
        <w:rPr>
          <w:rFonts w:cstheme="minorHAnsi"/>
          <w:i/>
          <w:iCs/>
        </w:rPr>
        <w:t>vs</w:t>
      </w:r>
      <w:r w:rsidRPr="00CC2BAF">
        <w:rPr>
          <w:rFonts w:cstheme="minorHAnsi"/>
        </w:rPr>
        <w:t> &gt; or = 55 y old) on plot-level parameters, including %HFT were evaluated using generalized linear models (factorial ANOVA). Among-plot differences in density, total and mean basal area of trees and lianas can influence damages to trees, so they were included as covariables (ANCOVA). General regression was used to explore relationships among the following variables: density, basal area and mean basal area (basal area/number of individuals) of trees and lianas, liana/tree ratios of density and basal area, and percentage of trees hosting lianas. When necessary, variables were transformed to meet normality and homoscedasticity.</w:t>
      </w:r>
    </w:p>
    <w:p w14:paraId="60B131FA" w14:textId="77777777" w:rsidR="001763DF" w:rsidRPr="00CC2BAF" w:rsidRDefault="001763DF" w:rsidP="0059512C">
      <w:pPr>
        <w:rPr>
          <w:rFonts w:cstheme="minorHAnsi"/>
        </w:rPr>
      </w:pPr>
      <w:r w:rsidRPr="00CC2BAF">
        <w:rPr>
          <w:rFonts w:cstheme="minorHAnsi"/>
        </w:rPr>
        <w:t>Total and mean basal area of trees were significantly higher in &gt; or = 55-y-old forest stands compared to 10-18-y-old stands (Table 1; F</w:t>
      </w:r>
      <w:r w:rsidRPr="00CC2BAF">
        <w:rPr>
          <w:rFonts w:cstheme="minorHAnsi"/>
          <w:vertAlign w:val="subscript"/>
        </w:rPr>
        <w:t>1, 8</w:t>
      </w:r>
      <w:r w:rsidRPr="00CC2BAF">
        <w:rPr>
          <w:rFonts w:cstheme="minorHAnsi"/>
        </w:rPr>
        <w:t> = 6.7, P &lt; 0.05, F</w:t>
      </w:r>
      <w:r w:rsidRPr="00CC2BAF">
        <w:rPr>
          <w:rFonts w:cstheme="minorHAnsi"/>
          <w:vertAlign w:val="subscript"/>
        </w:rPr>
        <w:t>1, 8</w:t>
      </w:r>
      <w:r w:rsidRPr="00CC2BAF">
        <w:rPr>
          <w:rFonts w:cstheme="minorHAnsi"/>
        </w:rPr>
        <w:t> = 11.4, P &lt; 0.01, respectively). In contrast, mean liana basal area, liana-to-tree basal area ratio, and the percentage of trees hosting lianas were all greater in young than in old forest (F</w:t>
      </w:r>
      <w:r w:rsidRPr="00CC2BAF">
        <w:rPr>
          <w:rFonts w:cstheme="minorHAnsi"/>
          <w:vertAlign w:val="subscript"/>
        </w:rPr>
        <w:t>1, 8</w:t>
      </w:r>
      <w:r w:rsidRPr="00CC2BAF">
        <w:rPr>
          <w:rFonts w:cstheme="minorHAnsi"/>
        </w:rPr>
        <w:t> = 21.8, P &lt; 0.005, F</w:t>
      </w:r>
      <w:r w:rsidRPr="00CC2BAF">
        <w:rPr>
          <w:rFonts w:cstheme="minorHAnsi"/>
          <w:vertAlign w:val="subscript"/>
        </w:rPr>
        <w:t>1, 8</w:t>
      </w:r>
      <w:r w:rsidRPr="00CC2BAF">
        <w:rPr>
          <w:rFonts w:cstheme="minorHAnsi"/>
        </w:rPr>
        <w:t> = 5.3, P &lt; 0.05, F</w:t>
      </w:r>
      <w:r w:rsidRPr="00CC2BAF">
        <w:rPr>
          <w:rFonts w:cstheme="minorHAnsi"/>
          <w:vertAlign w:val="subscript"/>
        </w:rPr>
        <w:t>1, 8</w:t>
      </w:r>
      <w:r w:rsidRPr="00CC2BAF">
        <w:rPr>
          <w:rFonts w:cstheme="minorHAnsi"/>
        </w:rPr>
        <w:t> = 5.6, P &lt; 0.05, respectively). The frequency distribution pattern for the number of hosted lianas per tree also differed between forest ages (Figure 1). In young forest, 82% of trees hosted 1-9 liana individuals, while few trees hosted either no lianas (17%) or &gt; or = 10 lianas (1%). In contrast, older forest had comparatively fewer trees hosting 1-9 lianas (56%), and more trees hosting either no lianas (38%) or &gt; or = 10 lianas (6%; Figure 1).</w:t>
      </w:r>
    </w:p>
    <w:p w14:paraId="7FD8718A" w14:textId="6F724173" w:rsidR="00D83B61" w:rsidRPr="00CC2BAF" w:rsidRDefault="00D83B61" w:rsidP="00FB5F86">
      <w:pPr>
        <w:spacing w:after="0"/>
        <w:rPr>
          <w:rFonts w:cstheme="minorHAnsi"/>
          <w:sz w:val="24"/>
          <w:szCs w:val="24"/>
        </w:rPr>
      </w:pPr>
      <w:r w:rsidRPr="00CC2BAF">
        <w:rPr>
          <w:rFonts w:cstheme="minorHAnsi"/>
          <w:noProof/>
        </w:rPr>
        <w:drawing>
          <wp:inline distT="0" distB="0" distL="0" distR="0" wp14:anchorId="4C825616" wp14:editId="33A92528">
            <wp:extent cx="2743200" cy="1472184"/>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472184"/>
                    </a:xfrm>
                    <a:prstGeom prst="rect">
                      <a:avLst/>
                    </a:prstGeom>
                    <a:noFill/>
                    <a:ln>
                      <a:noFill/>
                    </a:ln>
                  </pic:spPr>
                </pic:pic>
              </a:graphicData>
            </a:graphic>
          </wp:inline>
        </w:drawing>
      </w:r>
    </w:p>
    <w:p w14:paraId="42E9A7EA" w14:textId="016BE2AD" w:rsidR="001763DF" w:rsidRPr="00CC2BAF" w:rsidRDefault="001763DF" w:rsidP="001763DF">
      <w:pPr>
        <w:rPr>
          <w:rFonts w:cstheme="minorHAnsi"/>
          <w:sz w:val="24"/>
          <w:szCs w:val="24"/>
        </w:rPr>
      </w:pPr>
      <w:r w:rsidRPr="00CC2BAF">
        <w:rPr>
          <w:rFonts w:cstheme="minorHAnsi"/>
          <w:sz w:val="24"/>
          <w:szCs w:val="24"/>
        </w:rPr>
        <w:t>Figure 1.</w:t>
      </w:r>
      <w:r w:rsidR="00FB5F86">
        <w:rPr>
          <w:rFonts w:cstheme="minorHAnsi"/>
          <w:sz w:val="24"/>
          <w:szCs w:val="24"/>
        </w:rPr>
        <w:t xml:space="preserve"> </w:t>
      </w:r>
      <w:r w:rsidRPr="00CC2BAF">
        <w:rPr>
          <w:rFonts w:cstheme="minorHAnsi"/>
          <w:sz w:val="24"/>
          <w:szCs w:val="24"/>
        </w:rPr>
        <w:t>Frequency distribution of number of hosted lianas &gt; or = 1cm diameter at ground level per tree for trees &gt; or = 3.16 cm dbh in &gt;55-y-old (white bars) and 10-18-y-old (dark bars) stands of secondary tropical dry forests in the Yucatan Peninsula (1 SE of the mean; n = six plots 20 × 20 m in both cases). Asterisks denote significant differences between forest successional ages (P &lt; 0.05).</w:t>
      </w:r>
    </w:p>
    <w:p w14:paraId="18DBA150" w14:textId="77777777" w:rsidR="001763DF" w:rsidRPr="00CC2BAF" w:rsidRDefault="001763DF" w:rsidP="0059512C">
      <w:pPr>
        <w:rPr>
          <w:rFonts w:cstheme="minorHAnsi"/>
        </w:rPr>
      </w:pPr>
      <w:r w:rsidRPr="00CC2BAF">
        <w:rPr>
          <w:rFonts w:cstheme="minorHAnsi"/>
        </w:rPr>
        <w:t>Interestingly, we found a significant interaction between liana cutting and forest age on %HFT (F</w:t>
      </w:r>
      <w:r w:rsidRPr="00CC2BAF">
        <w:rPr>
          <w:rFonts w:cstheme="minorHAnsi"/>
          <w:vertAlign w:val="subscript"/>
        </w:rPr>
        <w:t>1, 8</w:t>
      </w:r>
      <w:r w:rsidRPr="00CC2BAF">
        <w:rPr>
          <w:rFonts w:cstheme="minorHAnsi"/>
        </w:rPr>
        <w:t> = 6.5, P &lt; 0.05). The percentage of hurricane-felled trees was reduced by cutting lianas in &gt; or = 55-y-old forest, but enhanced in 10-18-y-old forest (Table 1). Lianas thus appear to increase tree-fall gap formation in old forest stands (consistent with hypothesis 1), but reduce gap formation in young stands (consistent with hypothesis 2). When we included either tree density, liana density, or mean liana basal area as a covariable, the interacting effect of liana cutting and forest age was no longer significant (F </w:t>
      </w:r>
      <w:r w:rsidRPr="00CC2BAF">
        <w:rPr>
          <w:rFonts w:cstheme="minorHAnsi"/>
          <w:vertAlign w:val="subscript"/>
        </w:rPr>
        <w:t>1, 7</w:t>
      </w:r>
      <w:r w:rsidRPr="00CC2BAF">
        <w:rPr>
          <w:rFonts w:cstheme="minorHAnsi"/>
        </w:rPr>
        <w:t> &gt; or = 3.6, P &gt; 0.1 in all cases), suggesting that this interaction is related to among-plot differences in these covariables. The percentage of hurricane-felled trees was overall negatively dependent on tree density (R</w:t>
      </w:r>
      <w:r w:rsidRPr="00CC2BAF">
        <w:rPr>
          <w:rFonts w:cstheme="minorHAnsi"/>
          <w:vertAlign w:val="superscript"/>
        </w:rPr>
        <w:t>2</w:t>
      </w:r>
      <w:r w:rsidRPr="00CC2BAF">
        <w:rPr>
          <w:rFonts w:cstheme="minorHAnsi"/>
        </w:rPr>
        <w:t> = 0.52, P &lt; 0.01).</w:t>
      </w:r>
    </w:p>
    <w:p w14:paraId="3CC843B8" w14:textId="77777777" w:rsidR="001763DF" w:rsidRPr="00CC2BAF" w:rsidRDefault="001763DF" w:rsidP="0059512C">
      <w:pPr>
        <w:rPr>
          <w:rFonts w:cstheme="minorHAnsi"/>
        </w:rPr>
      </w:pPr>
      <w:r w:rsidRPr="00CC2BAF">
        <w:rPr>
          <w:rFonts w:cstheme="minorHAnsi"/>
        </w:rPr>
        <w:t>The latter finding suggests that high densities of trees may help reduce tree felling by acting as a buffer against strong hurricane winds, regardless of forest age and liana size and distribution. Differences in total and mean tree basal area between young and old forests were consistent with the pattern reported in studies reviewed by Guariguata &amp; Ostertag (2001). The greater ratio of liana-to-tree basal area, and percentage of trees hosting lianas in young than in old stands is also consistent with the greater abundance of lianas found in young compared with old forest (DeWalt </w:t>
      </w:r>
      <w:r w:rsidRPr="00CC2BAF">
        <w:rPr>
          <w:rFonts w:cstheme="minorHAnsi"/>
          <w:i/>
          <w:iCs/>
        </w:rPr>
        <w:t>et al</w:t>
      </w:r>
      <w:r w:rsidRPr="00CC2BAF">
        <w:rPr>
          <w:rFonts w:cstheme="minorHAnsi"/>
        </w:rPr>
        <w:t>. 2000). But contrary to the findings of DeWalt </w:t>
      </w:r>
      <w:r w:rsidRPr="00CC2BAF">
        <w:rPr>
          <w:rFonts w:cstheme="minorHAnsi"/>
          <w:i/>
          <w:iCs/>
        </w:rPr>
        <w:t>et al</w:t>
      </w:r>
      <w:r w:rsidRPr="00CC2BAF">
        <w:rPr>
          <w:rFonts w:cstheme="minorHAnsi"/>
        </w:rPr>
        <w:t>. (2000), mean liana basal area was higher in our young than in older stands. This result may be related to differences in land-use and liana species composition between our stands. According to local inhabitants, </w:t>
      </w:r>
      <w:r w:rsidRPr="00CC2BAF">
        <w:rPr>
          <w:rFonts w:cstheme="minorHAnsi"/>
          <w:i/>
          <w:iCs/>
        </w:rPr>
        <w:t>Dalbergia glabra</w:t>
      </w:r>
      <w:r w:rsidRPr="00CC2BAF">
        <w:rPr>
          <w:rFonts w:cstheme="minorHAnsi"/>
        </w:rPr>
        <w:t> Standl. is resistant to and proliferates after forest fires (Ermilio Rosado, pers. comm.). Slash-and-burn agriculture, which is common to the study region, may thus help explain the high relative abundance and size of </w:t>
      </w:r>
      <w:r w:rsidRPr="00CC2BAF">
        <w:rPr>
          <w:rFonts w:cstheme="minorHAnsi"/>
          <w:i/>
          <w:iCs/>
        </w:rPr>
        <w:t>D. glabra</w:t>
      </w:r>
      <w:r w:rsidRPr="00CC2BAF">
        <w:rPr>
          <w:rFonts w:cstheme="minorHAnsi"/>
        </w:rPr>
        <w:t>, by far the dominant liana species in our young stands. In contrast, our old forest was used for selective logging and latex extraction from </w:t>
      </w:r>
      <w:r w:rsidRPr="00CC2BAF">
        <w:rPr>
          <w:rFonts w:cstheme="minorHAnsi"/>
          <w:i/>
          <w:iCs/>
        </w:rPr>
        <w:t>Manilkara zapota</w:t>
      </w:r>
      <w:r w:rsidRPr="00CC2BAF">
        <w:rPr>
          <w:rFonts w:cstheme="minorHAnsi"/>
        </w:rPr>
        <w:t> (L.) P. Royen for chewing gum. Farmers cut lianas around these valuable trees (Garrido-Pérez &amp; Gerold unpubl. data), which may explain the unexpected lower mean size of lianas in our older stands.</w:t>
      </w:r>
    </w:p>
    <w:p w14:paraId="69DAB286" w14:textId="77777777" w:rsidR="001763DF" w:rsidRPr="00CC2BAF" w:rsidRDefault="001763DF" w:rsidP="0059512C">
      <w:pPr>
        <w:rPr>
          <w:rFonts w:cstheme="minorHAnsi"/>
        </w:rPr>
      </w:pPr>
      <w:r w:rsidRPr="00CC2BAF">
        <w:rPr>
          <w:rFonts w:cstheme="minorHAnsi"/>
        </w:rPr>
        <w:t>The interacting effect of forest age and liana-cutting treatment on %HFT supports both hypotheses of Putz (1984), and suggests that the impact of lianas on tree damage and forest disturbance depends on forest successional age. Differences in mean liana size, mechanical properties, and per-tree liana load distribution between young and older forest may help interpret these seemingly contradictory results. The 10-18-y-old stands had a high ratio of liana-to-tree basal area, and were dominated by comparatively large, heavy-wooded lianas representing on average (± SE) 79.3% (± 6.8%; n = 6) of the total basal area of lianas. These young stands were dominated by </w:t>
      </w:r>
      <w:r w:rsidRPr="00CC2BAF">
        <w:rPr>
          <w:rFonts w:cstheme="minorHAnsi"/>
          <w:i/>
          <w:iCs/>
        </w:rPr>
        <w:t>Dalbergia glabra</w:t>
      </w:r>
      <w:r w:rsidRPr="00CC2BAF">
        <w:rPr>
          <w:rFonts w:cstheme="minorHAnsi"/>
        </w:rPr>
        <w:t> (Leguminosae - Papilionoideae), but also by species of the genera: </w:t>
      </w:r>
      <w:r w:rsidRPr="00CC2BAF">
        <w:rPr>
          <w:rFonts w:cstheme="minorHAnsi"/>
          <w:i/>
          <w:iCs/>
        </w:rPr>
        <w:t>Celtis</w:t>
      </w:r>
      <w:r w:rsidRPr="00CC2BAF">
        <w:rPr>
          <w:rFonts w:cstheme="minorHAnsi"/>
        </w:rPr>
        <w:t> (Ulmaceae), </w:t>
      </w:r>
      <w:r w:rsidRPr="00CC2BAF">
        <w:rPr>
          <w:rFonts w:cstheme="minorHAnsi"/>
          <w:i/>
          <w:iCs/>
        </w:rPr>
        <w:t>Tournefortia</w:t>
      </w:r>
      <w:r w:rsidRPr="00CC2BAF">
        <w:rPr>
          <w:rFonts w:cstheme="minorHAnsi"/>
        </w:rPr>
        <w:t> (Boraginaceae) and </w:t>
      </w:r>
      <w:r w:rsidRPr="00CC2BAF">
        <w:rPr>
          <w:rFonts w:cstheme="minorHAnsi"/>
          <w:i/>
          <w:iCs/>
        </w:rPr>
        <w:t>Otopappus</w:t>
      </w:r>
      <w:r w:rsidRPr="00CC2BAF">
        <w:rPr>
          <w:rFonts w:cstheme="minorHAnsi"/>
        </w:rPr>
        <w:t> (Asteraceae). These lianas were fairly evenly distributed over trees (Figure 1), and could have formed a strong network binding canopies together (E. I. Garrido-Pérez, pers. obs.), thereby reducing tree uprooting and trunk snapping (hypothesis 2). Under these circumstances, the silvicultural practice of cutting large, heavy-wooded lianas without removing them can result in greater damage to trees during a hurricane compared with non-cutting, since the force exerted by large, heavy (and now loosely connected) lianas could exacerbate the force exerted by strong wind gusts. Cutting and removing such lianas may also be impractical and expensive (Parren &amp; Bongers 2001, Pérez-Salicrup </w:t>
      </w:r>
      <w:r w:rsidRPr="00CC2BAF">
        <w:rPr>
          <w:rFonts w:cstheme="minorHAnsi"/>
          <w:i/>
          <w:iCs/>
        </w:rPr>
        <w:t>et al</w:t>
      </w:r>
      <w:r w:rsidRPr="00CC2BAF">
        <w:rPr>
          <w:rFonts w:cstheme="minorHAnsi"/>
        </w:rPr>
        <w:t>. 2001). In contrast, the &gt; or = 55-y-old stands had a relatively low liana-to-tree basal area ratio, and were dominated by small, light-wooded lianas representing on average 79.9% (± 7.6%; n = 6) of the total basal area of lianas. They included species of </w:t>
      </w:r>
      <w:r w:rsidRPr="00CC2BAF">
        <w:rPr>
          <w:rFonts w:cstheme="minorHAnsi"/>
          <w:i/>
          <w:iCs/>
        </w:rPr>
        <w:t>Cydista</w:t>
      </w:r>
      <w:r w:rsidRPr="00CC2BAF">
        <w:rPr>
          <w:rFonts w:cstheme="minorHAnsi"/>
        </w:rPr>
        <w:t>, </w:t>
      </w:r>
      <w:r w:rsidRPr="00CC2BAF">
        <w:rPr>
          <w:rFonts w:cstheme="minorHAnsi"/>
          <w:i/>
          <w:iCs/>
        </w:rPr>
        <w:t>Arrabidaea</w:t>
      </w:r>
      <w:r w:rsidRPr="00CC2BAF">
        <w:rPr>
          <w:rFonts w:cstheme="minorHAnsi"/>
        </w:rPr>
        <w:t>, </w:t>
      </w:r>
      <w:r w:rsidRPr="00CC2BAF">
        <w:rPr>
          <w:rFonts w:cstheme="minorHAnsi"/>
          <w:i/>
          <w:iCs/>
        </w:rPr>
        <w:t>Melloa</w:t>
      </w:r>
      <w:r w:rsidRPr="00CC2BAF">
        <w:rPr>
          <w:rFonts w:cstheme="minorHAnsi"/>
        </w:rPr>
        <w:t> (Bignoniaceae), </w:t>
      </w:r>
      <w:r w:rsidRPr="00CC2BAF">
        <w:rPr>
          <w:rFonts w:cstheme="minorHAnsi"/>
          <w:i/>
          <w:iCs/>
        </w:rPr>
        <w:t>Serjania</w:t>
      </w:r>
      <w:r w:rsidRPr="00CC2BAF">
        <w:rPr>
          <w:rFonts w:cstheme="minorHAnsi"/>
        </w:rPr>
        <w:t> (Sapindaceae) and </w:t>
      </w:r>
      <w:r w:rsidRPr="00CC2BAF">
        <w:rPr>
          <w:rFonts w:cstheme="minorHAnsi"/>
          <w:i/>
          <w:iCs/>
        </w:rPr>
        <w:t>Cissus</w:t>
      </w:r>
      <w:r w:rsidRPr="00CC2BAF">
        <w:rPr>
          <w:rFonts w:cstheme="minorHAnsi"/>
        </w:rPr>
        <w:t> (Vitaceae). These lianas were patchily distributed over tree canopies (Figure 1, E. I. Garrido-Pérez, pers. obs.), were thereby less likely to form a stabilizing network, and could even contribute to treefall-gap formation, as predicted by hypothesis 1 (Putz 1984). In this case, liana cutting is recommended because it can reduce tree-felling during a hurricane.</w:t>
      </w:r>
    </w:p>
    <w:p w14:paraId="05FF9FDE" w14:textId="77777777" w:rsidR="001763DF" w:rsidRPr="00CC2BAF" w:rsidRDefault="001763DF" w:rsidP="0059512C">
      <w:pPr>
        <w:rPr>
          <w:rFonts w:cstheme="minorHAnsi"/>
        </w:rPr>
      </w:pPr>
      <w:r w:rsidRPr="00CC2BAF">
        <w:rPr>
          <w:rFonts w:cstheme="minorHAnsi"/>
        </w:rPr>
        <w:t>Whigham </w:t>
      </w:r>
      <w:r w:rsidRPr="00CC2BAF">
        <w:rPr>
          <w:rFonts w:cstheme="minorHAnsi"/>
          <w:i/>
          <w:iCs/>
        </w:rPr>
        <w:t>et al</w:t>
      </w:r>
      <w:r w:rsidRPr="00CC2BAF">
        <w:rPr>
          <w:rFonts w:cstheme="minorHAnsi"/>
        </w:rPr>
        <w:t>. (1991) proposed that forests in hurricane zones do not reach successional maturity due to high levels of disturbance. Our results suggest that lianas may reduce hurricane-induced disturbance in young secondary forests. But in our older stands, this reduction is no longer present and lianas may increase gap dynamics, potentially increasing the relative abundance of both lianas and pioneer tree species (Schnitzer &amp; Carson 2001, Schnitzer </w:t>
      </w:r>
      <w:r w:rsidRPr="00CC2BAF">
        <w:rPr>
          <w:rFonts w:cstheme="minorHAnsi"/>
          <w:i/>
          <w:iCs/>
        </w:rPr>
        <w:t>et al</w:t>
      </w:r>
      <w:r w:rsidRPr="00CC2BAF">
        <w:rPr>
          <w:rFonts w:cstheme="minorHAnsi"/>
        </w:rPr>
        <w:t>. 2000). Thus, the increasing frequency of secondary forests (Cramer </w:t>
      </w:r>
      <w:r w:rsidRPr="00CC2BAF">
        <w:rPr>
          <w:rFonts w:cstheme="minorHAnsi"/>
          <w:i/>
          <w:iCs/>
        </w:rPr>
        <w:t>et al</w:t>
      </w:r>
      <w:r w:rsidRPr="00CC2BAF">
        <w:rPr>
          <w:rFonts w:cstheme="minorHAnsi"/>
        </w:rPr>
        <w:t>. 2008), increasing abundance and size of lianas (Phillips </w:t>
      </w:r>
      <w:r w:rsidRPr="00CC2BAF">
        <w:rPr>
          <w:rFonts w:cstheme="minorHAnsi"/>
          <w:i/>
          <w:iCs/>
        </w:rPr>
        <w:t>et al</w:t>
      </w:r>
      <w:r w:rsidRPr="00CC2BAF">
        <w:rPr>
          <w:rFonts w:cstheme="minorHAnsi"/>
        </w:rPr>
        <w:t>. 2002), and increasing intensity of large storms (Emanuel 2003) may affect tropical forest disturbance, dynamics and species turnover in a number of different ways, each of which may depend on local factors, such as liana composition, their mechanical properties, and their spatial distribution, making it difficult to generalize predictions to all forest types.</w:t>
      </w:r>
    </w:p>
    <w:p w14:paraId="3AA4AB51" w14:textId="77777777" w:rsidR="001763DF" w:rsidRPr="00CC2BAF" w:rsidRDefault="001763DF" w:rsidP="00EC1C7E">
      <w:pPr>
        <w:pStyle w:val="Heading1"/>
        <w:rPr>
          <w:rFonts w:asciiTheme="minorHAnsi" w:hAnsiTheme="minorHAnsi" w:cstheme="minorHAnsi"/>
        </w:rPr>
      </w:pPr>
      <w:r w:rsidRPr="00CC2BAF">
        <w:rPr>
          <w:rFonts w:asciiTheme="minorHAnsi" w:hAnsiTheme="minorHAnsi" w:cstheme="minorHAnsi"/>
        </w:rPr>
        <w:t>ACKNOWLEDGEMENTS</w:t>
      </w:r>
    </w:p>
    <w:p w14:paraId="5A4D0795" w14:textId="77777777" w:rsidR="001763DF" w:rsidRPr="00CC2BAF" w:rsidRDefault="001763DF" w:rsidP="00EC1C7E">
      <w:pPr>
        <w:rPr>
          <w:rFonts w:cstheme="minorHAnsi"/>
        </w:rPr>
      </w:pPr>
      <w:r w:rsidRPr="00CC2BAF">
        <w:rPr>
          <w:rFonts w:cstheme="minorHAnsi"/>
        </w:rPr>
        <w:t>Land owners are Mario Ucan, Rosendo Can, Saúl Ancona, José 'Pepe' Quintal and Roberto Antonio Lara. Luz María Calvo and José Luis Hernández made helpful suggestions on statistical analyses. Sponsors were the Organization of American States (OAS), the Mexican Council for Science and Technology (CONACYT), the German Service for Academic Exchange (DAAD), and Mrs Kathrin Pahl. E. Garrido-Pérez also thanks Balbina Ancona de Ucan and his Maya friends Chak Mool and Alux Ob for their crucial help in the field.</w:t>
      </w:r>
    </w:p>
    <w:p w14:paraId="5828D211" w14:textId="77777777" w:rsidR="001763DF" w:rsidRPr="00CC2BAF" w:rsidRDefault="001763DF" w:rsidP="00EC1C7E">
      <w:pPr>
        <w:pStyle w:val="Heading1"/>
        <w:rPr>
          <w:rFonts w:asciiTheme="minorHAnsi" w:hAnsiTheme="minorHAnsi" w:cstheme="minorHAnsi"/>
        </w:rPr>
      </w:pPr>
      <w:r w:rsidRPr="00CC2BAF">
        <w:rPr>
          <w:rFonts w:asciiTheme="minorHAnsi" w:hAnsiTheme="minorHAnsi" w:cstheme="minorHAnsi"/>
        </w:rPr>
        <w:t>References</w:t>
      </w:r>
    </w:p>
    <w:p w14:paraId="310FC871" w14:textId="77777777" w:rsidR="001763DF" w:rsidRPr="00CC2BAF" w:rsidRDefault="001763DF" w:rsidP="00132330">
      <w:pPr>
        <w:pStyle w:val="Heading2"/>
        <w:rPr>
          <w:rFonts w:asciiTheme="minorHAnsi" w:hAnsiTheme="minorHAnsi" w:cstheme="minorHAnsi"/>
        </w:rPr>
      </w:pPr>
      <w:r w:rsidRPr="00CC2BAF">
        <w:rPr>
          <w:rFonts w:asciiTheme="minorHAnsi" w:hAnsiTheme="minorHAnsi" w:cstheme="minorHAnsi"/>
        </w:rPr>
        <w:t>LITERATURE CITED</w:t>
      </w:r>
    </w:p>
    <w:p w14:paraId="458970F7" w14:textId="77777777" w:rsidR="001763DF" w:rsidRPr="00CC2BAF" w:rsidRDefault="001763DF" w:rsidP="00FB5F86">
      <w:pPr>
        <w:spacing w:after="0"/>
        <w:ind w:left="720" w:hanging="720"/>
        <w:rPr>
          <w:rFonts w:cstheme="minorHAnsi"/>
        </w:rPr>
      </w:pPr>
      <w:r w:rsidRPr="00CC2BAF">
        <w:rPr>
          <w:rFonts w:cstheme="minorHAnsi"/>
        </w:rPr>
        <w:t>F. BAUTISTA-ZÚÑIGA, E. BATLLORI-SAMPEDRO, M. A. ORTÍZ-PÉREZ, G. PALACIO-APONTE &amp; M. CASTILLO-GONZÁLEZ 2003. Geoformas, agua y suelo en la pasado, presente y futuro. Pp. 21-35 in P. Colunga Garciamarín &amp; A. Larqué-Saavedra (eds.). Naturaleza y sociedad en el área maya. Academia Mexicana de Ciencias and Centro de Investigación Cientifica de Yucatán, México DF.</w:t>
      </w:r>
    </w:p>
    <w:p w14:paraId="44BF8C5F" w14:textId="77777777" w:rsidR="001763DF" w:rsidRPr="00CC2BAF" w:rsidRDefault="001763DF" w:rsidP="00FB5F86">
      <w:pPr>
        <w:spacing w:after="0"/>
        <w:ind w:left="720" w:hanging="720"/>
        <w:rPr>
          <w:rFonts w:cstheme="minorHAnsi"/>
        </w:rPr>
      </w:pPr>
      <w:r w:rsidRPr="00CC2BAF">
        <w:rPr>
          <w:rFonts w:cstheme="minorHAnsi"/>
        </w:rPr>
        <w:t>V. CRAMER, R. J. HOBBS &amp; R. J. STANDISH 2008. What's new about old fields? Land abandonment and ecosystem assembly. Trends in Ecology and Evolution 23:104-112.</w:t>
      </w:r>
    </w:p>
    <w:p w14:paraId="0378EDC9" w14:textId="77777777" w:rsidR="001763DF" w:rsidRPr="00CC2BAF" w:rsidRDefault="001763DF" w:rsidP="00FB5F86">
      <w:pPr>
        <w:spacing w:after="0"/>
        <w:ind w:left="720" w:hanging="720"/>
        <w:rPr>
          <w:rFonts w:cstheme="minorHAnsi"/>
        </w:rPr>
      </w:pPr>
      <w:r w:rsidRPr="00CC2BAF">
        <w:rPr>
          <w:rFonts w:cstheme="minorHAnsi"/>
        </w:rPr>
        <w:t>S. J. DE WALT, S. A. SCHNITZER &amp; J. S. DENSLOW 2000. Density and diversity of lianas along a chronosequence in a central Panamanian lowland forest. Journal of Tropical Ecology 16:1-19.</w:t>
      </w:r>
    </w:p>
    <w:p w14:paraId="5146E041" w14:textId="77777777" w:rsidR="001763DF" w:rsidRPr="00CC2BAF" w:rsidRDefault="001763DF" w:rsidP="00FB5F86">
      <w:pPr>
        <w:spacing w:after="0"/>
        <w:ind w:left="720" w:hanging="720"/>
        <w:rPr>
          <w:rFonts w:cstheme="minorHAnsi"/>
        </w:rPr>
      </w:pPr>
      <w:r w:rsidRPr="00CC2BAF">
        <w:rPr>
          <w:rFonts w:cstheme="minorHAnsi"/>
        </w:rPr>
        <w:t>K. A. EMANUEL 1987. The dependence of hurricane intensity on climate. Nature 326:483-485.</w:t>
      </w:r>
    </w:p>
    <w:p w14:paraId="27160C36" w14:textId="77777777" w:rsidR="001763DF" w:rsidRPr="00CC2BAF" w:rsidRDefault="001763DF" w:rsidP="00FB5F86">
      <w:pPr>
        <w:spacing w:after="0"/>
        <w:ind w:left="720" w:hanging="720"/>
        <w:rPr>
          <w:rFonts w:cstheme="minorHAnsi"/>
        </w:rPr>
      </w:pPr>
      <w:r w:rsidRPr="00CC2BAF">
        <w:rPr>
          <w:rFonts w:cstheme="minorHAnsi"/>
        </w:rPr>
        <w:t>K. A. EMANUEL 2003. Tropical cyclones. Annual Review of Earth Planet Science 31:75-104.</w:t>
      </w:r>
    </w:p>
    <w:p w14:paraId="13DF2AFE" w14:textId="77777777" w:rsidR="001763DF" w:rsidRPr="00CC2BAF" w:rsidRDefault="001763DF" w:rsidP="00FB5F86">
      <w:pPr>
        <w:spacing w:after="0"/>
        <w:ind w:left="720" w:hanging="720"/>
        <w:rPr>
          <w:rFonts w:cstheme="minorHAnsi"/>
        </w:rPr>
      </w:pPr>
      <w:r w:rsidRPr="00CC2BAF">
        <w:rPr>
          <w:rFonts w:cstheme="minorHAnsi"/>
        </w:rPr>
        <w:t>M. R. GUARIGUATA &amp; R. OSTERTAG 2001. Neotropical secondary forest succession: changes in structural and functional characteristics. Forest Ecology and Management 148:185-206.</w:t>
      </w:r>
    </w:p>
    <w:p w14:paraId="73810EAA" w14:textId="77777777" w:rsidR="001763DF" w:rsidRPr="00CC2BAF" w:rsidRDefault="001763DF" w:rsidP="00FB5F86">
      <w:pPr>
        <w:spacing w:after="0"/>
        <w:ind w:left="720" w:hanging="720"/>
        <w:rPr>
          <w:rFonts w:cstheme="minorHAnsi"/>
        </w:rPr>
      </w:pPr>
      <w:r w:rsidRPr="00CC2BAF">
        <w:rPr>
          <w:rFonts w:cstheme="minorHAnsi"/>
        </w:rPr>
        <w:t>L. HOLDRIDGE, W. GRENKE, W. HATHEWAY, T. LIAN &amp; J. TOSI 1971. Forest environments in tropical life zones: a pilot study. Pergamon Press, Oxford. 747 pp.</w:t>
      </w:r>
    </w:p>
    <w:p w14:paraId="391C7908" w14:textId="77777777" w:rsidR="001763DF" w:rsidRPr="00CC2BAF" w:rsidRDefault="001763DF" w:rsidP="00FB5F86">
      <w:pPr>
        <w:spacing w:after="0"/>
        <w:ind w:left="720" w:hanging="720"/>
        <w:rPr>
          <w:rFonts w:cstheme="minorHAnsi"/>
        </w:rPr>
      </w:pPr>
      <w:r w:rsidRPr="00CC2BAF">
        <w:rPr>
          <w:rFonts w:cstheme="minorHAnsi"/>
        </w:rPr>
        <w:t>INSTITUTO NACIONAL DE ESTADISTICA, GEOGRAFIA E INFORMATICA (INEGI), GOBIERNO DEL ESTADO DE QUINTANA ROO, &amp; HONORABLE AYUNTAMIENTO DE LÁZARO CÁRDENAS (NATIONAL INSTITUTE OF STATISTICS, GEOGRAPHY AND INFORMATICS, GOVERNMENT OF THE STATE OF QUINTANA ROO, &amp; HONOURABLE MUNICIPALITY OF LAZARO CARDENAS). 1993. Cuaderno estadístico municipal. Aguascalientes, México.</w:t>
      </w:r>
    </w:p>
    <w:p w14:paraId="145C09B1" w14:textId="77777777" w:rsidR="001763DF" w:rsidRPr="00CC2BAF" w:rsidRDefault="001763DF" w:rsidP="00FB5F86">
      <w:pPr>
        <w:spacing w:after="0"/>
        <w:ind w:left="720" w:hanging="720"/>
        <w:rPr>
          <w:rFonts w:cstheme="minorHAnsi"/>
        </w:rPr>
      </w:pPr>
      <w:r w:rsidRPr="00CC2BAF">
        <w:rPr>
          <w:rFonts w:cstheme="minorHAnsi"/>
        </w:rPr>
        <w:t>I. OLMSTED, R. DURÁN, J. A. GONZÁLEZ-ITURBE, L. M. CALVO, F. REMOLINA &amp; J. CANELA ROJO 2000. Programa de Manejo del área de protección de flora y fauna silvestre Yum Balam, Informe final. Centro de Investigación Científica de Yucatán, Mérida, Yucatán, México. 217 pp.</w:t>
      </w:r>
    </w:p>
    <w:p w14:paraId="29EC805A" w14:textId="77777777" w:rsidR="001763DF" w:rsidRPr="00CC2BAF" w:rsidRDefault="001763DF" w:rsidP="00FB5F86">
      <w:pPr>
        <w:spacing w:after="0"/>
        <w:ind w:left="720" w:hanging="720"/>
        <w:rPr>
          <w:rFonts w:cstheme="minorHAnsi"/>
        </w:rPr>
      </w:pPr>
      <w:r w:rsidRPr="00CC2BAF">
        <w:rPr>
          <w:rFonts w:cstheme="minorHAnsi"/>
        </w:rPr>
        <w:t>R. ORELLANA, G. ISLEBE &amp; C. ESPADAS 2003. Presente, pasado y futuro de los Climas de la Penísula de Yucatán. Pp. 37-52 in P. Colunga Garciamarín &amp; A. Larqué Saavedra (eds.). Naturaleza y sociedad en el área maya. Academia Mexicana de Ciencias and Centro de Investigación Cientifica de Yucatán. México DF.</w:t>
      </w:r>
    </w:p>
    <w:p w14:paraId="7104C73F" w14:textId="77777777" w:rsidR="001763DF" w:rsidRPr="00CC2BAF" w:rsidRDefault="001763DF" w:rsidP="00FB5F86">
      <w:pPr>
        <w:spacing w:after="0"/>
        <w:ind w:left="720" w:hanging="720"/>
        <w:rPr>
          <w:rFonts w:cstheme="minorHAnsi"/>
        </w:rPr>
      </w:pPr>
      <w:r w:rsidRPr="00CC2BAF">
        <w:rPr>
          <w:rFonts w:cstheme="minorHAnsi"/>
        </w:rPr>
        <w:t>M. PARREN &amp; F. BONGERS 2001. Does climber cutting reduce felling damage in southern Cameroon? Forest Ecology and Management 141:175-188.</w:t>
      </w:r>
    </w:p>
    <w:p w14:paraId="5F5CB1D3" w14:textId="77777777" w:rsidR="001763DF" w:rsidRPr="00CC2BAF" w:rsidRDefault="001763DF" w:rsidP="00FB5F86">
      <w:pPr>
        <w:spacing w:after="0"/>
        <w:ind w:left="720" w:hanging="720"/>
        <w:rPr>
          <w:rFonts w:cstheme="minorHAnsi"/>
        </w:rPr>
      </w:pPr>
      <w:r w:rsidRPr="00CC2BAF">
        <w:rPr>
          <w:rFonts w:cstheme="minorHAnsi"/>
        </w:rPr>
        <w:t>D. R. PÉREZ-SALICRUP, A. CARLOS, R. GUZMÁN, J. C. LICONA, F. LEDEZMA, M. A. PINARD &amp; F. A. PUTZ 2001. Cost and efficiency of cutting lianas in a lowland liana forest of Bolivia. Biotropica 33:324-329.</w:t>
      </w:r>
    </w:p>
    <w:p w14:paraId="021EC1E6" w14:textId="77777777" w:rsidR="001763DF" w:rsidRPr="00CC2BAF" w:rsidRDefault="001763DF" w:rsidP="00FB5F86">
      <w:pPr>
        <w:spacing w:after="0"/>
        <w:ind w:left="720" w:hanging="720"/>
        <w:rPr>
          <w:rFonts w:cstheme="minorHAnsi"/>
        </w:rPr>
      </w:pPr>
      <w:r w:rsidRPr="00CC2BAF">
        <w:rPr>
          <w:rFonts w:cstheme="minorHAnsi"/>
        </w:rPr>
        <w:t>O. L. PHILLIPS &amp; A. H. GENTRY 1994. Increasing turnover through time in tropical forests. Science 263:954-958.</w:t>
      </w:r>
    </w:p>
    <w:p w14:paraId="71014AA6" w14:textId="77777777" w:rsidR="001763DF" w:rsidRPr="00CC2BAF" w:rsidRDefault="001763DF" w:rsidP="00FB5F86">
      <w:pPr>
        <w:spacing w:after="0"/>
        <w:ind w:left="720" w:hanging="720"/>
        <w:rPr>
          <w:rFonts w:cstheme="minorHAnsi"/>
        </w:rPr>
      </w:pPr>
      <w:r w:rsidRPr="00CC2BAF">
        <w:rPr>
          <w:rFonts w:cstheme="minorHAnsi"/>
        </w:rPr>
        <w:t>O. L. PHILLIPS, R. VÁSQUEZ MARTINEZ, L. ARROYO, T. R. BAKER, T. KILLEEN, S. L. LEWIS, Y. MALHI, A. MONTEAGUDO MENDOZA, D. NEILL, P. NÚÑEZ VARGAS, M. ALEXIADES, C. CERÓN, A. DI FIORE, T. ERWIN, A. JARDIM, W. PALACIOS, M. SALDIAS &amp; B. VINCETI 2002. Increasing dominance of large lianas in Amazonian forests. Nature 418:770-774.</w:t>
      </w:r>
    </w:p>
    <w:p w14:paraId="5999C80E" w14:textId="77777777" w:rsidR="001763DF" w:rsidRPr="00CC2BAF" w:rsidRDefault="001763DF" w:rsidP="00FB5F86">
      <w:pPr>
        <w:spacing w:after="0"/>
        <w:ind w:left="720" w:hanging="720"/>
        <w:rPr>
          <w:rFonts w:cstheme="minorHAnsi"/>
        </w:rPr>
      </w:pPr>
      <w:r w:rsidRPr="00CC2BAF">
        <w:rPr>
          <w:rFonts w:cstheme="minorHAnsi"/>
        </w:rPr>
        <w:t>F. E. PUTZ 1984. The natural history of lianas on Barro Colorado Island, Panama. Ecology 65:1713-1724.</w:t>
      </w:r>
    </w:p>
    <w:p w14:paraId="7B9C9454" w14:textId="77777777" w:rsidR="001763DF" w:rsidRPr="00CC2BAF" w:rsidRDefault="001763DF" w:rsidP="00FB5F86">
      <w:pPr>
        <w:spacing w:after="0"/>
        <w:ind w:left="720" w:hanging="720"/>
        <w:rPr>
          <w:rFonts w:cstheme="minorHAnsi"/>
        </w:rPr>
      </w:pPr>
      <w:r w:rsidRPr="00CC2BAF">
        <w:rPr>
          <w:rFonts w:cstheme="minorHAnsi"/>
        </w:rPr>
        <w:t>S. A. SCHNITZER &amp; F. BONGERS 2002. The ecology of lianas and their role in forests. Trends in Ecology and Evolution 17:223-230.</w:t>
      </w:r>
    </w:p>
    <w:p w14:paraId="40F35327" w14:textId="77777777" w:rsidR="001763DF" w:rsidRPr="00CC2BAF" w:rsidRDefault="001763DF" w:rsidP="00FB5F86">
      <w:pPr>
        <w:spacing w:after="0"/>
        <w:ind w:left="720" w:hanging="720"/>
        <w:rPr>
          <w:rFonts w:cstheme="minorHAnsi"/>
        </w:rPr>
      </w:pPr>
      <w:r w:rsidRPr="00CC2BAF">
        <w:rPr>
          <w:rFonts w:cstheme="minorHAnsi"/>
        </w:rPr>
        <w:t>S. A. SCHNITZER &amp; W. P. CARSON 2001. Treefall gaps and the maintenance of species diversity in a tropical forest. Ecology 84:913-919.</w:t>
      </w:r>
    </w:p>
    <w:p w14:paraId="51C9C3BA" w14:textId="77777777" w:rsidR="001763DF" w:rsidRPr="00CC2BAF" w:rsidRDefault="001763DF" w:rsidP="00FB5F86">
      <w:pPr>
        <w:spacing w:after="0"/>
        <w:ind w:left="720" w:hanging="720"/>
        <w:rPr>
          <w:rFonts w:cstheme="minorHAnsi"/>
        </w:rPr>
      </w:pPr>
      <w:r w:rsidRPr="00CC2BAF">
        <w:rPr>
          <w:rFonts w:cstheme="minorHAnsi"/>
        </w:rPr>
        <w:t>S. A. SCHNITZER, J. W. DALLING &amp; W. P. CARSON 2000. The impact of lianas on tree regeneration in tropical forest canopy gaps: evidence for an alternative pathway of gap phase regeneration. Journal of Ecology 88:655-666.</w:t>
      </w:r>
    </w:p>
    <w:p w14:paraId="44669821" w14:textId="77777777" w:rsidR="001763DF" w:rsidRPr="00CC2BAF" w:rsidRDefault="001763DF" w:rsidP="00FB5F86">
      <w:pPr>
        <w:spacing w:after="0"/>
        <w:ind w:left="720" w:hanging="720"/>
        <w:rPr>
          <w:rFonts w:cstheme="minorHAnsi"/>
        </w:rPr>
      </w:pPr>
      <w:r w:rsidRPr="00CC2BAF">
        <w:rPr>
          <w:rFonts w:cstheme="minorHAnsi"/>
        </w:rPr>
        <w:t>D. F. WHIGHAM, I. OLMSTED, E. CABRERA CANO &amp; M. E. HARMON 1991. The impact of Hurricane Gilbert on trees, litterfall, and woody debris in a dry tropical forest in the northeastern Yucatan Peninsula. Biotropica 23:434-441.</w:t>
      </w:r>
    </w:p>
    <w:p w14:paraId="59055BEA" w14:textId="44677A60" w:rsidR="001763DF" w:rsidRPr="00CC2BAF" w:rsidRDefault="001763DF" w:rsidP="00FB5F86">
      <w:pPr>
        <w:spacing w:after="0"/>
        <w:rPr>
          <w:rFonts w:cstheme="minorHAnsi"/>
          <w:sz w:val="24"/>
          <w:szCs w:val="24"/>
        </w:rPr>
      </w:pPr>
    </w:p>
    <w:p w14:paraId="0B18253E" w14:textId="77777777" w:rsidR="001763DF" w:rsidRPr="00CC2BAF" w:rsidRDefault="001763DF" w:rsidP="00FB5F86">
      <w:pPr>
        <w:spacing w:after="0"/>
        <w:rPr>
          <w:rFonts w:cstheme="minorHAnsi"/>
          <w:sz w:val="24"/>
          <w:szCs w:val="24"/>
        </w:rPr>
      </w:pPr>
    </w:p>
    <w:sectPr w:rsidR="001763DF" w:rsidRPr="00CC2BAF"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ocumentProtection w:edit="readOnly" w:formatting="1" w:enforcement="1" w:cryptProviderType="rsaAES" w:cryptAlgorithmClass="hash" w:cryptAlgorithmType="typeAny" w:cryptAlgorithmSid="14" w:cryptSpinCount="100000" w:hash="uHTMoU+4NCy1R24Ps/9ptyur0ozeq1OYSwsQJJ8dYv1x6iFNdW4RIvI4dXbsqzEuu4wo5IBYV2BoVZcihHIxJQ==" w:salt="ZE+iTMfRX+d0OR6QkRYmO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624"/>
    <w:rsid w:val="00014F38"/>
    <w:rsid w:val="000233C1"/>
    <w:rsid w:val="0002395C"/>
    <w:rsid w:val="00024048"/>
    <w:rsid w:val="00026BC7"/>
    <w:rsid w:val="00030305"/>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5BB"/>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C7511"/>
    <w:rsid w:val="000D3573"/>
    <w:rsid w:val="000D4F0B"/>
    <w:rsid w:val="000D51BA"/>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2330"/>
    <w:rsid w:val="00134CF7"/>
    <w:rsid w:val="00135666"/>
    <w:rsid w:val="0014182B"/>
    <w:rsid w:val="0014490B"/>
    <w:rsid w:val="00146A5C"/>
    <w:rsid w:val="00146E50"/>
    <w:rsid w:val="00150DB6"/>
    <w:rsid w:val="00154D34"/>
    <w:rsid w:val="00155BD8"/>
    <w:rsid w:val="00160E1F"/>
    <w:rsid w:val="00161372"/>
    <w:rsid w:val="001622DB"/>
    <w:rsid w:val="00163F71"/>
    <w:rsid w:val="00173556"/>
    <w:rsid w:val="001763DF"/>
    <w:rsid w:val="0018114F"/>
    <w:rsid w:val="00181ADF"/>
    <w:rsid w:val="00183A38"/>
    <w:rsid w:val="001854EA"/>
    <w:rsid w:val="00185C26"/>
    <w:rsid w:val="00194730"/>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AAD"/>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2F0B7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3F521D"/>
    <w:rsid w:val="004010E3"/>
    <w:rsid w:val="004055B8"/>
    <w:rsid w:val="0040709D"/>
    <w:rsid w:val="004122F9"/>
    <w:rsid w:val="004124D3"/>
    <w:rsid w:val="004139BA"/>
    <w:rsid w:val="00414527"/>
    <w:rsid w:val="00421CBC"/>
    <w:rsid w:val="0043008C"/>
    <w:rsid w:val="00430B91"/>
    <w:rsid w:val="004374EF"/>
    <w:rsid w:val="004406A9"/>
    <w:rsid w:val="00440F61"/>
    <w:rsid w:val="004441CB"/>
    <w:rsid w:val="00450DB8"/>
    <w:rsid w:val="0045303F"/>
    <w:rsid w:val="00453D2C"/>
    <w:rsid w:val="00454851"/>
    <w:rsid w:val="00456070"/>
    <w:rsid w:val="00456B26"/>
    <w:rsid w:val="004570E7"/>
    <w:rsid w:val="0045743A"/>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0C22"/>
    <w:rsid w:val="004932A8"/>
    <w:rsid w:val="00497E47"/>
    <w:rsid w:val="004A0368"/>
    <w:rsid w:val="004A2619"/>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4B01"/>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04A"/>
    <w:rsid w:val="0058724D"/>
    <w:rsid w:val="0059512C"/>
    <w:rsid w:val="00596593"/>
    <w:rsid w:val="00596A35"/>
    <w:rsid w:val="005979CD"/>
    <w:rsid w:val="005A12F0"/>
    <w:rsid w:val="005A521D"/>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29A"/>
    <w:rsid w:val="005F7A68"/>
    <w:rsid w:val="00600DE5"/>
    <w:rsid w:val="00601980"/>
    <w:rsid w:val="0060332C"/>
    <w:rsid w:val="00604C5A"/>
    <w:rsid w:val="00607F1D"/>
    <w:rsid w:val="006106F3"/>
    <w:rsid w:val="00612DE8"/>
    <w:rsid w:val="00615A83"/>
    <w:rsid w:val="00620EA0"/>
    <w:rsid w:val="00623E47"/>
    <w:rsid w:val="006243F9"/>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3A06"/>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A3FFC"/>
    <w:rsid w:val="007B0BBA"/>
    <w:rsid w:val="007B650B"/>
    <w:rsid w:val="007C16F7"/>
    <w:rsid w:val="007C7689"/>
    <w:rsid w:val="007C7C53"/>
    <w:rsid w:val="007D25DB"/>
    <w:rsid w:val="007D502E"/>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0C47"/>
    <w:rsid w:val="00822617"/>
    <w:rsid w:val="00824B15"/>
    <w:rsid w:val="008322E3"/>
    <w:rsid w:val="00834DF7"/>
    <w:rsid w:val="00836F01"/>
    <w:rsid w:val="008406F5"/>
    <w:rsid w:val="00841F1E"/>
    <w:rsid w:val="00842203"/>
    <w:rsid w:val="0084614F"/>
    <w:rsid w:val="00850E3E"/>
    <w:rsid w:val="0085170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F09"/>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9687B"/>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7E4"/>
    <w:rsid w:val="009F4BDF"/>
    <w:rsid w:val="009F60BA"/>
    <w:rsid w:val="009F6D41"/>
    <w:rsid w:val="009F7F44"/>
    <w:rsid w:val="00A01B8D"/>
    <w:rsid w:val="00A034AE"/>
    <w:rsid w:val="00A035F5"/>
    <w:rsid w:val="00A11F34"/>
    <w:rsid w:val="00A1350A"/>
    <w:rsid w:val="00A227D5"/>
    <w:rsid w:val="00A22B25"/>
    <w:rsid w:val="00A231A4"/>
    <w:rsid w:val="00A310DA"/>
    <w:rsid w:val="00A31ADC"/>
    <w:rsid w:val="00A32FCB"/>
    <w:rsid w:val="00A3561C"/>
    <w:rsid w:val="00A400BC"/>
    <w:rsid w:val="00A40701"/>
    <w:rsid w:val="00A42169"/>
    <w:rsid w:val="00A424F1"/>
    <w:rsid w:val="00A426B2"/>
    <w:rsid w:val="00A45EE8"/>
    <w:rsid w:val="00A465FC"/>
    <w:rsid w:val="00A47B50"/>
    <w:rsid w:val="00A50459"/>
    <w:rsid w:val="00A506CB"/>
    <w:rsid w:val="00A50C8C"/>
    <w:rsid w:val="00A52369"/>
    <w:rsid w:val="00A52A88"/>
    <w:rsid w:val="00A53301"/>
    <w:rsid w:val="00A55701"/>
    <w:rsid w:val="00A56ED1"/>
    <w:rsid w:val="00A648A4"/>
    <w:rsid w:val="00A650B2"/>
    <w:rsid w:val="00A7290A"/>
    <w:rsid w:val="00A75006"/>
    <w:rsid w:val="00A81E28"/>
    <w:rsid w:val="00A8277D"/>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4D48"/>
    <w:rsid w:val="00AE69D7"/>
    <w:rsid w:val="00AE71AA"/>
    <w:rsid w:val="00AF1374"/>
    <w:rsid w:val="00AF1E8A"/>
    <w:rsid w:val="00AF2DE8"/>
    <w:rsid w:val="00AF5947"/>
    <w:rsid w:val="00AF692A"/>
    <w:rsid w:val="00AF6D69"/>
    <w:rsid w:val="00AF7626"/>
    <w:rsid w:val="00B00EAB"/>
    <w:rsid w:val="00B03D08"/>
    <w:rsid w:val="00B05BF7"/>
    <w:rsid w:val="00B05C0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67D7B"/>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607D"/>
    <w:rsid w:val="00BC7302"/>
    <w:rsid w:val="00BD01F3"/>
    <w:rsid w:val="00BD0D8D"/>
    <w:rsid w:val="00BD439F"/>
    <w:rsid w:val="00BD4F14"/>
    <w:rsid w:val="00BD69B1"/>
    <w:rsid w:val="00BD7C0B"/>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5667"/>
    <w:rsid w:val="00C6619F"/>
    <w:rsid w:val="00C6624A"/>
    <w:rsid w:val="00C742C3"/>
    <w:rsid w:val="00C75559"/>
    <w:rsid w:val="00C76D88"/>
    <w:rsid w:val="00C7785D"/>
    <w:rsid w:val="00C77A26"/>
    <w:rsid w:val="00C85A3F"/>
    <w:rsid w:val="00C85BDD"/>
    <w:rsid w:val="00C86B81"/>
    <w:rsid w:val="00C91557"/>
    <w:rsid w:val="00C92F74"/>
    <w:rsid w:val="00CA0F28"/>
    <w:rsid w:val="00CA1C19"/>
    <w:rsid w:val="00CA204D"/>
    <w:rsid w:val="00CA2E14"/>
    <w:rsid w:val="00CA60CD"/>
    <w:rsid w:val="00CB10E9"/>
    <w:rsid w:val="00CB11D6"/>
    <w:rsid w:val="00CB5475"/>
    <w:rsid w:val="00CB665E"/>
    <w:rsid w:val="00CB6E09"/>
    <w:rsid w:val="00CC09A7"/>
    <w:rsid w:val="00CC0FD9"/>
    <w:rsid w:val="00CC1F8F"/>
    <w:rsid w:val="00CC2BAF"/>
    <w:rsid w:val="00CD139B"/>
    <w:rsid w:val="00CD4A7E"/>
    <w:rsid w:val="00CD5E59"/>
    <w:rsid w:val="00CD7831"/>
    <w:rsid w:val="00CE05D4"/>
    <w:rsid w:val="00CE4712"/>
    <w:rsid w:val="00CF53EE"/>
    <w:rsid w:val="00D01E5B"/>
    <w:rsid w:val="00D02378"/>
    <w:rsid w:val="00D02BE9"/>
    <w:rsid w:val="00D0741A"/>
    <w:rsid w:val="00D101DD"/>
    <w:rsid w:val="00D14423"/>
    <w:rsid w:val="00D15F27"/>
    <w:rsid w:val="00D17394"/>
    <w:rsid w:val="00D17B7F"/>
    <w:rsid w:val="00D21541"/>
    <w:rsid w:val="00D220EE"/>
    <w:rsid w:val="00D23FFF"/>
    <w:rsid w:val="00D2778A"/>
    <w:rsid w:val="00D31043"/>
    <w:rsid w:val="00D32077"/>
    <w:rsid w:val="00D324C0"/>
    <w:rsid w:val="00D34A13"/>
    <w:rsid w:val="00D3640D"/>
    <w:rsid w:val="00D42AE0"/>
    <w:rsid w:val="00D43F4A"/>
    <w:rsid w:val="00D45330"/>
    <w:rsid w:val="00D45705"/>
    <w:rsid w:val="00D4582C"/>
    <w:rsid w:val="00D45A48"/>
    <w:rsid w:val="00D45DB8"/>
    <w:rsid w:val="00D45FAE"/>
    <w:rsid w:val="00D505CD"/>
    <w:rsid w:val="00D50821"/>
    <w:rsid w:val="00D52D25"/>
    <w:rsid w:val="00D54064"/>
    <w:rsid w:val="00D65A57"/>
    <w:rsid w:val="00D66306"/>
    <w:rsid w:val="00D66B18"/>
    <w:rsid w:val="00D726DB"/>
    <w:rsid w:val="00D73164"/>
    <w:rsid w:val="00D77E53"/>
    <w:rsid w:val="00D8135F"/>
    <w:rsid w:val="00D81DD5"/>
    <w:rsid w:val="00D83B61"/>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02B0D"/>
    <w:rsid w:val="00E13E05"/>
    <w:rsid w:val="00E15784"/>
    <w:rsid w:val="00E16734"/>
    <w:rsid w:val="00E17614"/>
    <w:rsid w:val="00E179BE"/>
    <w:rsid w:val="00E20401"/>
    <w:rsid w:val="00E264D8"/>
    <w:rsid w:val="00E319F9"/>
    <w:rsid w:val="00E331C7"/>
    <w:rsid w:val="00E35240"/>
    <w:rsid w:val="00E36E18"/>
    <w:rsid w:val="00E37099"/>
    <w:rsid w:val="00E40A15"/>
    <w:rsid w:val="00E40CCE"/>
    <w:rsid w:val="00E43654"/>
    <w:rsid w:val="00E459FA"/>
    <w:rsid w:val="00E45A4B"/>
    <w:rsid w:val="00E45C3A"/>
    <w:rsid w:val="00E46996"/>
    <w:rsid w:val="00E50522"/>
    <w:rsid w:val="00E52F87"/>
    <w:rsid w:val="00E6120D"/>
    <w:rsid w:val="00E61D06"/>
    <w:rsid w:val="00E6715B"/>
    <w:rsid w:val="00E7043E"/>
    <w:rsid w:val="00E70CF5"/>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1C7E"/>
    <w:rsid w:val="00EC4042"/>
    <w:rsid w:val="00EC4C2A"/>
    <w:rsid w:val="00EC60C6"/>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772C"/>
    <w:rsid w:val="00F30DA8"/>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02D8"/>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062A"/>
    <w:rsid w:val="00FB3A37"/>
    <w:rsid w:val="00FB5F86"/>
    <w:rsid w:val="00FB635D"/>
    <w:rsid w:val="00FB6BC1"/>
    <w:rsid w:val="00FC0EED"/>
    <w:rsid w:val="00FC11D2"/>
    <w:rsid w:val="00FC1405"/>
    <w:rsid w:val="00FD0FFF"/>
    <w:rsid w:val="00FD282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8567">
      <w:bodyDiv w:val="1"/>
      <w:marLeft w:val="0"/>
      <w:marRight w:val="0"/>
      <w:marTop w:val="0"/>
      <w:marBottom w:val="0"/>
      <w:divBdr>
        <w:top w:val="none" w:sz="0" w:space="0" w:color="auto"/>
        <w:left w:val="none" w:sz="0" w:space="0" w:color="auto"/>
        <w:bottom w:val="none" w:sz="0" w:space="0" w:color="auto"/>
        <w:right w:val="none" w:sz="0" w:space="0" w:color="auto"/>
      </w:divBdr>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071394416">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829634429">
      <w:bodyDiv w:val="1"/>
      <w:marLeft w:val="0"/>
      <w:marRight w:val="0"/>
      <w:marTop w:val="0"/>
      <w:marBottom w:val="0"/>
      <w:divBdr>
        <w:top w:val="none" w:sz="0" w:space="0" w:color="auto"/>
        <w:left w:val="none" w:sz="0" w:space="0" w:color="auto"/>
        <w:bottom w:val="none" w:sz="0" w:space="0" w:color="auto"/>
        <w:right w:val="none" w:sz="0" w:space="0" w:color="auto"/>
      </w:divBdr>
      <w:divsChild>
        <w:div w:id="1947958813">
          <w:marLeft w:val="0"/>
          <w:marRight w:val="0"/>
          <w:marTop w:val="0"/>
          <w:marBottom w:val="0"/>
          <w:divBdr>
            <w:top w:val="none" w:sz="0" w:space="0" w:color="auto"/>
            <w:left w:val="none" w:sz="0" w:space="0" w:color="auto"/>
            <w:bottom w:val="none" w:sz="0" w:space="0" w:color="auto"/>
            <w:right w:val="none" w:sz="0" w:space="0" w:color="auto"/>
          </w:divBdr>
          <w:divsChild>
            <w:div w:id="863639246">
              <w:marLeft w:val="0"/>
              <w:marRight w:val="0"/>
              <w:marTop w:val="0"/>
              <w:marBottom w:val="0"/>
              <w:divBdr>
                <w:top w:val="none" w:sz="0" w:space="0" w:color="auto"/>
                <w:left w:val="none" w:sz="0" w:space="0" w:color="auto"/>
                <w:bottom w:val="none" w:sz="0" w:space="0" w:color="auto"/>
                <w:right w:val="none" w:sz="0" w:space="0" w:color="auto"/>
              </w:divBdr>
              <w:divsChild>
                <w:div w:id="734665574">
                  <w:marLeft w:val="0"/>
                  <w:marRight w:val="0"/>
                  <w:marTop w:val="0"/>
                  <w:marBottom w:val="0"/>
                  <w:divBdr>
                    <w:top w:val="none" w:sz="0" w:space="0" w:color="auto"/>
                    <w:left w:val="none" w:sz="0" w:space="0" w:color="auto"/>
                    <w:bottom w:val="none" w:sz="0" w:space="0" w:color="auto"/>
                    <w:right w:val="none" w:sz="0" w:space="0" w:color="auto"/>
                  </w:divBdr>
                  <w:divsChild>
                    <w:div w:id="511262110">
                      <w:marLeft w:val="0"/>
                      <w:marRight w:val="0"/>
                      <w:marTop w:val="0"/>
                      <w:marBottom w:val="0"/>
                      <w:divBdr>
                        <w:top w:val="none" w:sz="0" w:space="0" w:color="auto"/>
                        <w:left w:val="none" w:sz="0" w:space="0" w:color="auto"/>
                        <w:bottom w:val="none" w:sz="0" w:space="0" w:color="auto"/>
                        <w:right w:val="none" w:sz="0" w:space="0" w:color="auto"/>
                      </w:divBdr>
                    </w:div>
                    <w:div w:id="1837383862">
                      <w:marLeft w:val="0"/>
                      <w:marRight w:val="0"/>
                      <w:marTop w:val="0"/>
                      <w:marBottom w:val="0"/>
                      <w:divBdr>
                        <w:top w:val="none" w:sz="0" w:space="0" w:color="auto"/>
                        <w:left w:val="none" w:sz="0" w:space="0" w:color="auto"/>
                        <w:bottom w:val="none" w:sz="0" w:space="0" w:color="auto"/>
                        <w:right w:val="none" w:sz="0" w:space="0" w:color="auto"/>
                      </w:divBdr>
                      <w:divsChild>
                        <w:div w:id="18483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86572">
                  <w:marLeft w:val="0"/>
                  <w:marRight w:val="0"/>
                  <w:marTop w:val="0"/>
                  <w:marBottom w:val="0"/>
                  <w:divBdr>
                    <w:top w:val="none" w:sz="0" w:space="0" w:color="auto"/>
                    <w:left w:val="none" w:sz="0" w:space="0" w:color="auto"/>
                    <w:bottom w:val="none" w:sz="0" w:space="0" w:color="auto"/>
                    <w:right w:val="none" w:sz="0" w:space="0" w:color="auto"/>
                  </w:divBdr>
                  <w:divsChild>
                    <w:div w:id="454180821">
                      <w:marLeft w:val="0"/>
                      <w:marRight w:val="0"/>
                      <w:marTop w:val="0"/>
                      <w:marBottom w:val="0"/>
                      <w:divBdr>
                        <w:top w:val="none" w:sz="0" w:space="0" w:color="auto"/>
                        <w:left w:val="none" w:sz="0" w:space="0" w:color="auto"/>
                        <w:bottom w:val="none" w:sz="0" w:space="0" w:color="auto"/>
                        <w:right w:val="none" w:sz="0" w:space="0" w:color="auto"/>
                      </w:divBdr>
                    </w:div>
                    <w:div w:id="1416240695">
                      <w:marLeft w:val="0"/>
                      <w:marRight w:val="0"/>
                      <w:marTop w:val="0"/>
                      <w:marBottom w:val="0"/>
                      <w:divBdr>
                        <w:top w:val="none" w:sz="0" w:space="0" w:color="auto"/>
                        <w:left w:val="none" w:sz="0" w:space="0" w:color="auto"/>
                        <w:bottom w:val="none" w:sz="0" w:space="0" w:color="auto"/>
                        <w:right w:val="none" w:sz="0" w:space="0" w:color="auto"/>
                      </w:divBdr>
                      <w:divsChild>
                        <w:div w:id="165710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77262">
                  <w:marLeft w:val="0"/>
                  <w:marRight w:val="0"/>
                  <w:marTop w:val="0"/>
                  <w:marBottom w:val="0"/>
                  <w:divBdr>
                    <w:top w:val="none" w:sz="0" w:space="0" w:color="auto"/>
                    <w:left w:val="none" w:sz="0" w:space="0" w:color="auto"/>
                    <w:bottom w:val="none" w:sz="0" w:space="0" w:color="auto"/>
                    <w:right w:val="none" w:sz="0" w:space="0" w:color="auto"/>
                  </w:divBdr>
                  <w:divsChild>
                    <w:div w:id="14076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68072">
          <w:marLeft w:val="0"/>
          <w:marRight w:val="0"/>
          <w:marTop w:val="0"/>
          <w:marBottom w:val="0"/>
          <w:divBdr>
            <w:top w:val="none" w:sz="0" w:space="0" w:color="auto"/>
            <w:left w:val="none" w:sz="0" w:space="0" w:color="auto"/>
            <w:bottom w:val="none" w:sz="0" w:space="0" w:color="auto"/>
            <w:right w:val="none" w:sz="0" w:space="0" w:color="auto"/>
          </w:divBdr>
        </w:div>
      </w:divsChild>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bridge.org/core/journals/journal-of-tropical-ecology/article/effects-of-lianas-and-hurricane-wilma-on-tree-damage-in-the-yucatan-peninsula-mexico/FEB472A2200E7A2C2FAA455BAE6F3B6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66EE52-E570-4850-AE74-4ED3FECF0247}">
  <ds:schemaRefs>
    <ds:schemaRef ds:uri="http://schemas.microsoft.com/sharepoint/v3/contenttype/forms"/>
  </ds:schemaRefs>
</ds:datastoreItem>
</file>

<file path=customXml/itemProps2.xml><?xml version="1.0" encoding="utf-8"?>
<ds:datastoreItem xmlns:ds="http://schemas.openxmlformats.org/officeDocument/2006/customXml" ds:itemID="{73BE9068-42C2-4893-9971-40E788275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E7E2DB-6666-4A27-9CBB-7532B15E81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2841</Words>
  <Characters>15063</Characters>
  <Application>Microsoft Office Word</Application>
  <DocSecurity>8</DocSecurity>
  <Lines>307</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76</cp:revision>
  <dcterms:created xsi:type="dcterms:W3CDTF">2019-09-25T19:38:00Z</dcterms:created>
  <dcterms:modified xsi:type="dcterms:W3CDTF">2019-11-25T15:56:00Z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