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1D009927" w:rsidR="000A7622" w:rsidRPr="00C04F25" w:rsidRDefault="008E3C57" w:rsidP="00D14423">
      <w:pPr>
        <w:autoSpaceDE w:val="0"/>
        <w:autoSpaceDN w:val="0"/>
        <w:adjustRightInd w:val="0"/>
        <w:rPr>
          <w:rFonts w:cstheme="minorHAnsi"/>
          <w:b/>
          <w:bCs/>
          <w:i/>
          <w:iCs/>
          <w:sz w:val="32"/>
          <w:szCs w:val="32"/>
        </w:rPr>
      </w:pPr>
      <w:r>
        <w:rPr>
          <w:rFonts w:cstheme="minorHAnsi"/>
          <w:b/>
          <w:bCs/>
          <w:i/>
          <w:iCs/>
          <w:sz w:val="32"/>
          <w:szCs w:val="32"/>
        </w:rPr>
        <w:t xml:space="preserve">Theology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25509BF0" w14:textId="3FC0B04E"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 xml:space="preserve">The published version may be accessed by following the link in </w:t>
      </w:r>
      <w:proofErr w:type="spellStart"/>
      <w:r w:rsidRPr="00C04F25">
        <w:rPr>
          <w:rFonts w:cstheme="minorHAnsi"/>
          <w:sz w:val="24"/>
          <w:szCs w:val="24"/>
        </w:rPr>
        <w:t>th</w:t>
      </w:r>
      <w:proofErr w:type="spellEnd"/>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2A38AFE1" w14:textId="3BEF51A8" w:rsidR="000A7622" w:rsidRDefault="00D40AD4" w:rsidP="00D14423">
      <w:pPr>
        <w:rPr>
          <w:rFonts w:cstheme="minorHAnsi"/>
          <w:sz w:val="24"/>
          <w:szCs w:val="24"/>
        </w:rPr>
      </w:pPr>
      <w:proofErr w:type="spellStart"/>
      <w:r>
        <w:rPr>
          <w:rFonts w:cstheme="minorHAnsi"/>
          <w:i/>
          <w:sz w:val="24"/>
          <w:szCs w:val="24"/>
          <w:lang w:val="fr-FR"/>
        </w:rPr>
        <w:t>Classical</w:t>
      </w:r>
      <w:proofErr w:type="spellEnd"/>
      <w:r>
        <w:rPr>
          <w:rFonts w:cstheme="minorHAnsi"/>
          <w:i/>
          <w:sz w:val="24"/>
          <w:szCs w:val="24"/>
          <w:lang w:val="fr-FR"/>
        </w:rPr>
        <w:t xml:space="preserve"> World</w:t>
      </w:r>
      <w:r w:rsidR="000A7622" w:rsidRPr="00C04F25">
        <w:rPr>
          <w:rFonts w:cstheme="minorHAnsi"/>
          <w:sz w:val="24"/>
          <w:szCs w:val="24"/>
          <w:lang w:val="fr-FR"/>
        </w:rPr>
        <w:t xml:space="preserve">, Vol. </w:t>
      </w:r>
      <w:r>
        <w:rPr>
          <w:rFonts w:cstheme="minorHAnsi"/>
          <w:sz w:val="24"/>
          <w:szCs w:val="24"/>
          <w:lang w:val="fr-FR"/>
        </w:rPr>
        <w:t>112</w:t>
      </w:r>
      <w:r w:rsidR="000A7622" w:rsidRPr="00C04F25">
        <w:rPr>
          <w:rFonts w:cstheme="minorHAnsi"/>
          <w:sz w:val="24"/>
          <w:szCs w:val="24"/>
          <w:lang w:val="fr-FR"/>
        </w:rPr>
        <w:t xml:space="preserve">, No. </w:t>
      </w:r>
      <w:r>
        <w:rPr>
          <w:rFonts w:cstheme="minorHAnsi"/>
          <w:sz w:val="24"/>
          <w:szCs w:val="24"/>
          <w:lang w:val="fr-FR"/>
        </w:rPr>
        <w:t>1</w:t>
      </w:r>
      <w:r w:rsidR="000A7622" w:rsidRPr="00C04F25">
        <w:rPr>
          <w:rFonts w:cstheme="minorHAnsi"/>
          <w:sz w:val="24"/>
          <w:szCs w:val="24"/>
          <w:lang w:val="fr-FR"/>
        </w:rPr>
        <w:t xml:space="preserve"> (</w:t>
      </w:r>
      <w:proofErr w:type="spellStart"/>
      <w:r>
        <w:rPr>
          <w:rFonts w:cstheme="minorHAnsi"/>
          <w:sz w:val="24"/>
          <w:szCs w:val="24"/>
          <w:lang w:val="fr-FR"/>
        </w:rPr>
        <w:t>Fall</w:t>
      </w:r>
      <w:proofErr w:type="spellEnd"/>
      <w:r>
        <w:rPr>
          <w:rFonts w:cstheme="minorHAnsi"/>
          <w:sz w:val="24"/>
          <w:szCs w:val="24"/>
          <w:lang w:val="fr-FR"/>
        </w:rPr>
        <w:t xml:space="preserve"> 2018</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E40075">
        <w:rPr>
          <w:rFonts w:cstheme="minorHAnsi"/>
          <w:sz w:val="24"/>
          <w:szCs w:val="24"/>
          <w:lang w:val="fr-FR"/>
        </w:rPr>
        <w:t>735-737</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BF59C4" w:rsidRPr="00BF59C4">
        <w:rPr>
          <w:rFonts w:cstheme="minorHAnsi"/>
          <w:sz w:val="24"/>
          <w:szCs w:val="24"/>
        </w:rPr>
        <w:t>Johns Hopkins University Press</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BF59C4" w:rsidRPr="00BF59C4">
        <w:rPr>
          <w:rFonts w:cstheme="minorHAnsi"/>
          <w:sz w:val="24"/>
          <w:szCs w:val="24"/>
        </w:rPr>
        <w:t>Johns Hopkins University Press</w:t>
      </w:r>
      <w:r w:rsidR="000A7622" w:rsidRPr="00C04F25">
        <w:rPr>
          <w:rFonts w:cstheme="minorHAnsi"/>
          <w:sz w:val="24"/>
          <w:szCs w:val="24"/>
        </w:rPr>
        <w:t xml:space="preserve"> does not grant permission for this article to be further copied/distributed or hosted elsewhere without the express permis</w:t>
      </w:r>
      <w:bookmarkStart w:id="2" w:name="_GoBack"/>
      <w:bookmarkEnd w:id="2"/>
      <w:r w:rsidR="000A7622" w:rsidRPr="00C04F25">
        <w:rPr>
          <w:rFonts w:cstheme="minorHAnsi"/>
          <w:sz w:val="24"/>
          <w:szCs w:val="24"/>
        </w:rPr>
        <w:t xml:space="preserve">sion from </w:t>
      </w:r>
      <w:r w:rsidR="00BF59C4" w:rsidRPr="00BF59C4">
        <w:rPr>
          <w:rFonts w:cstheme="minorHAnsi"/>
          <w:sz w:val="24"/>
          <w:szCs w:val="24"/>
        </w:rPr>
        <w:t>Johns Hopkins University Press</w:t>
      </w:r>
      <w:r w:rsidR="000A7622" w:rsidRPr="00C04F25">
        <w:rPr>
          <w:rFonts w:cstheme="minorHAnsi"/>
          <w:sz w:val="24"/>
          <w:szCs w:val="24"/>
        </w:rPr>
        <w:t xml:space="preserve">. </w:t>
      </w:r>
    </w:p>
    <w:p w14:paraId="671C74D8" w14:textId="77777777" w:rsidR="00BF59C4" w:rsidRDefault="00BF59C4" w:rsidP="00D14423">
      <w:pPr>
        <w:rPr>
          <w:rFonts w:cstheme="minorHAnsi"/>
          <w:sz w:val="24"/>
          <w:szCs w:val="24"/>
        </w:rPr>
      </w:pPr>
    </w:p>
    <w:p w14:paraId="0EE4F42F" w14:textId="3E6DBE0F" w:rsidR="008E3C57" w:rsidRDefault="008E3C57" w:rsidP="004575F0">
      <w:pPr>
        <w:pStyle w:val="Title"/>
        <w:rPr>
          <w:sz w:val="44"/>
          <w:szCs w:val="44"/>
          <w:shd w:val="clear" w:color="auto" w:fill="FFFFFF"/>
        </w:rPr>
      </w:pPr>
      <w:r w:rsidRPr="004575F0">
        <w:rPr>
          <w:rFonts w:cstheme="minorHAnsi"/>
          <w:sz w:val="44"/>
          <w:szCs w:val="44"/>
        </w:rPr>
        <w:t xml:space="preserve">Review of </w:t>
      </w:r>
      <w:r w:rsidR="004575F0" w:rsidRPr="004575F0">
        <w:rPr>
          <w:i/>
          <w:iCs/>
          <w:sz w:val="44"/>
          <w:szCs w:val="44"/>
          <w:shd w:val="clear" w:color="auto" w:fill="FFFFFF"/>
        </w:rPr>
        <w:t>Philo of Alexandria: An Intellectual Biograph</w:t>
      </w:r>
      <w:r w:rsidR="004575F0" w:rsidRPr="004575F0">
        <w:rPr>
          <w:i/>
          <w:iCs/>
          <w:sz w:val="44"/>
          <w:szCs w:val="44"/>
          <w:shd w:val="clear" w:color="auto" w:fill="FFFFFF"/>
        </w:rPr>
        <w:t>y</w:t>
      </w:r>
      <w:r w:rsidR="004575F0" w:rsidRPr="004575F0">
        <w:rPr>
          <w:sz w:val="44"/>
          <w:szCs w:val="44"/>
          <w:shd w:val="clear" w:color="auto" w:fill="FFFFFF"/>
        </w:rPr>
        <w:t xml:space="preserve"> by Maren R. </w:t>
      </w:r>
      <w:proofErr w:type="spellStart"/>
      <w:r w:rsidR="004575F0" w:rsidRPr="004575F0">
        <w:rPr>
          <w:sz w:val="44"/>
          <w:szCs w:val="44"/>
          <w:shd w:val="clear" w:color="auto" w:fill="FFFFFF"/>
        </w:rPr>
        <w:t>Niehoff</w:t>
      </w:r>
      <w:proofErr w:type="spellEnd"/>
    </w:p>
    <w:p w14:paraId="13211567" w14:textId="77777777" w:rsidR="004575F0" w:rsidRPr="004575F0" w:rsidRDefault="004575F0" w:rsidP="004575F0"/>
    <w:p w14:paraId="3796A724" w14:textId="0D3506DF" w:rsidR="004575F0" w:rsidRPr="004575F0" w:rsidRDefault="004575F0" w:rsidP="004575F0">
      <w:pPr>
        <w:pStyle w:val="NoSpacing"/>
        <w:rPr>
          <w:sz w:val="32"/>
          <w:szCs w:val="32"/>
          <w:shd w:val="clear" w:color="auto" w:fill="FFFFFF"/>
        </w:rPr>
      </w:pPr>
      <w:r w:rsidRPr="004575F0">
        <w:rPr>
          <w:sz w:val="32"/>
          <w:szCs w:val="32"/>
          <w:shd w:val="clear" w:color="auto" w:fill="FFFFFF"/>
        </w:rPr>
        <w:t>Michael Cover</w:t>
      </w:r>
    </w:p>
    <w:p w14:paraId="46556417" w14:textId="377BCD2C" w:rsidR="004575F0" w:rsidRPr="004575F0" w:rsidRDefault="004575F0" w:rsidP="004575F0">
      <w:pPr>
        <w:pStyle w:val="NoSpacing"/>
        <w:rPr>
          <w:rFonts w:cstheme="minorHAnsi"/>
          <w:sz w:val="24"/>
          <w:szCs w:val="24"/>
        </w:rPr>
      </w:pPr>
      <w:r w:rsidRPr="004575F0">
        <w:rPr>
          <w:sz w:val="24"/>
          <w:szCs w:val="24"/>
          <w:shd w:val="clear" w:color="auto" w:fill="FFFFFF"/>
        </w:rPr>
        <w:t>Theology, Marquette University, Milwaukee, WI</w:t>
      </w:r>
    </w:p>
    <w:bookmarkEnd w:id="1"/>
    <w:p w14:paraId="5BC0075B" w14:textId="5451AE7C" w:rsidR="000A7622" w:rsidRDefault="000A7622" w:rsidP="000A7622">
      <w:pPr>
        <w:rPr>
          <w:rFonts w:cstheme="minorHAnsi"/>
        </w:rPr>
      </w:pPr>
    </w:p>
    <w:p w14:paraId="1D97840D" w14:textId="1A370EEA" w:rsidR="00F82BFF" w:rsidRDefault="00F82BFF" w:rsidP="004575F0">
      <w:r>
        <w:t>In </w:t>
      </w:r>
      <w:r>
        <w:rPr>
          <w:rStyle w:val="Emphasis"/>
          <w:rFonts w:ascii="Arial" w:eastAsiaTheme="majorEastAsia" w:hAnsi="Arial" w:cs="Arial"/>
          <w:color w:val="0A0A0A"/>
        </w:rPr>
        <w:t>Philo of Alexandria: An Intellectual Biography</w:t>
      </w:r>
      <w:r>
        <w:t xml:space="preserve">, Maren </w:t>
      </w:r>
      <w:proofErr w:type="spellStart"/>
      <w:r>
        <w:t>Niehoff</w:t>
      </w:r>
      <w:proofErr w:type="spellEnd"/>
      <w:r>
        <w:t xml:space="preserve"> constructs an itinerary for Philo’s thought that follows roughly the map of his political career. The central thesis of this study is that Philo’s participation in the Jewish embassy to the Emperor Gaius in Rome caused him to abandon his youthful commitment to transcendental Platonism and take up the mantle of the Roman Stoics (“Part One: Philo as Ambassador and Author in Rome”). The Allegorical Commentary, hailed by some scholars as Philo’s </w:t>
      </w:r>
      <w:r>
        <w:rPr>
          <w:rStyle w:val="Emphasis"/>
          <w:rFonts w:ascii="Arial" w:eastAsiaTheme="majorEastAsia" w:hAnsi="Arial" w:cs="Arial"/>
          <w:color w:val="0A0A0A"/>
        </w:rPr>
        <w:t>magnum opus</w:t>
      </w:r>
      <w:r>
        <w:t xml:space="preserve">, becomes an immature work of the “young Philo,” still under the spell of </w:t>
      </w:r>
      <w:proofErr w:type="spellStart"/>
      <w:r>
        <w:t>Eudorus</w:t>
      </w:r>
      <w:proofErr w:type="spellEnd"/>
      <w:r>
        <w:t xml:space="preserve"> (“Part Three: Young Philo among Alexandrian Jews”). Philo’s philosophical works and his “most well-designed series” (93), the Exposition of the Law, stem from the mind of the post-embassy Alexandrian and represent his mature thought (“Part Two: Philo’s </w:t>
      </w:r>
      <w:r>
        <w:rPr>
          <w:rStyle w:val="Emphasis"/>
          <w:rFonts w:ascii="Arial" w:eastAsiaTheme="majorEastAsia" w:hAnsi="Arial" w:cs="Arial"/>
          <w:color w:val="0A0A0A"/>
        </w:rPr>
        <w:t>Exposition</w:t>
      </w:r>
      <w:r>
        <w:t> in A Roman Context”). </w:t>
      </w:r>
      <w:r>
        <w:rPr>
          <w:rStyle w:val="Emphasis"/>
          <w:rFonts w:ascii="Arial" w:eastAsiaTheme="majorEastAsia" w:hAnsi="Arial" w:cs="Arial"/>
          <w:color w:val="0A0A0A"/>
        </w:rPr>
        <w:t>The Questions and Answers</w:t>
      </w:r>
      <w:r>
        <w:t xml:space="preserve"> form something of a bridge, foreshadowing Philo’s turn to dogmatic theology in the Exposition. According to </w:t>
      </w:r>
      <w:proofErr w:type="spellStart"/>
      <w:r>
        <w:t>Niehoff</w:t>
      </w:r>
      <w:proofErr w:type="spellEnd"/>
      <w:r>
        <w:t>, Philo’s adoption of a Stoic “creation theology” and Roman imperial </w:t>
      </w:r>
      <w:r>
        <w:rPr>
          <w:rStyle w:val="Emphasis"/>
          <w:rFonts w:ascii="Arial" w:eastAsiaTheme="majorEastAsia" w:hAnsi="Arial" w:cs="Arial"/>
          <w:color w:val="0A0A0A"/>
        </w:rPr>
        <w:t>mores</w:t>
      </w:r>
      <w:r>
        <w:t xml:space="preserve"> represents a “watershed in Western civilization” (104). Whereas the young Philo sets the course for later transcendental “Gnostic” Christianity, the </w:t>
      </w:r>
      <w:proofErr w:type="spellStart"/>
      <w:r>
        <w:t>Stoicizing</w:t>
      </w:r>
      <w:proofErr w:type="spellEnd"/>
      <w:r>
        <w:t xml:space="preserve"> “Roman” Philo stands as the forerunner of rabbinic Judaism and “orthodox Christianity” (105).</w:t>
      </w:r>
    </w:p>
    <w:p w14:paraId="58B1B373" w14:textId="77777777" w:rsidR="00F82BFF" w:rsidRDefault="00F82BFF" w:rsidP="004575F0">
      <w:r>
        <w:t xml:space="preserve">Narratives of development in an ancient author’s thought that depend upon a hypothetical periodization of his works run the risk of critical acceptance or rejection in relatively equal measure. By making the embassy to </w:t>
      </w:r>
      <w:r>
        <w:lastRenderedPageBreak/>
        <w:t xml:space="preserve">Gaius the intellectual fulcrum for her biography, </w:t>
      </w:r>
      <w:proofErr w:type="spellStart"/>
      <w:r>
        <w:t>Niehoff</w:t>
      </w:r>
      <w:proofErr w:type="spellEnd"/>
      <w:r>
        <w:t xml:space="preserve"> has built on a sure historical foundation. Philo’s thought was profoundly impacted by the violence in Alexandria under </w:t>
      </w:r>
      <w:proofErr w:type="spellStart"/>
      <w:r>
        <w:t>Flaccus</w:t>
      </w:r>
      <w:proofErr w:type="spellEnd"/>
      <w:r>
        <w:t xml:space="preserve"> and his subsequent participation in the embassy, which took him away from the pleasures of teaching exegesis and philosophy (</w:t>
      </w:r>
      <w:r>
        <w:rPr>
          <w:rStyle w:val="Emphasis"/>
          <w:rFonts w:ascii="Arial" w:eastAsiaTheme="majorEastAsia" w:hAnsi="Arial" w:cs="Arial"/>
          <w:color w:val="0A0A0A"/>
        </w:rPr>
        <w:t>Spec. leg</w:t>
      </w:r>
      <w:r>
        <w:t xml:space="preserve">. 3.1). The relative chronology of Philo’s two best-known series, the Allegorical Commentary followed by the Exposition of the Law, makes good sense. </w:t>
      </w:r>
      <w:proofErr w:type="spellStart"/>
      <w:r>
        <w:t>Niehoff’s</w:t>
      </w:r>
      <w:proofErr w:type="spellEnd"/>
      <w:r>
        <w:t xml:space="preserve"> assessment of Stoic and Roman themes in Philo’s Exposition, as well as in the Allegorical Commentary (“Chapter Twelve: Stoicism: Rejected, Subverted, </w:t>
      </w:r>
      <w:proofErr w:type="gramStart"/>
      <w:r>
        <w:t>Advocated</w:t>
      </w:r>
      <w:proofErr w:type="gramEnd"/>
      <w:r>
        <w:t>”), emphasizes the importance of Stoicism in Philo’s thought. Her discussion of Philo’s “self-fashioning” and of his veiled critique of Claudius in the </w:t>
      </w:r>
      <w:r>
        <w:rPr>
          <w:rStyle w:val="Emphasis"/>
          <w:rFonts w:ascii="Arial" w:eastAsiaTheme="majorEastAsia" w:hAnsi="Arial" w:cs="Arial"/>
          <w:color w:val="0A0A0A"/>
        </w:rPr>
        <w:t>Embassy to Gaius</w:t>
      </w:r>
      <w:r>
        <w:t xml:space="preserve">, as well as her comparison of Philo’s and Seneca’s anti-imperial rhetoric are particularly well done (41–51). These contributions make </w:t>
      </w:r>
      <w:proofErr w:type="spellStart"/>
      <w:r>
        <w:t>Niehoff’s</w:t>
      </w:r>
      <w:proofErr w:type="spellEnd"/>
      <w:r>
        <w:t xml:space="preserve"> biography a touchstone for future attempts to trace the development of Philo’s thought.</w:t>
      </w:r>
    </w:p>
    <w:p w14:paraId="343E1C9E" w14:textId="77777777" w:rsidR="00F82BFF" w:rsidRDefault="00F82BFF" w:rsidP="004575F0">
      <w:r>
        <w:t xml:space="preserve">Despite these strengths, several problems remain with key details of </w:t>
      </w:r>
      <w:proofErr w:type="spellStart"/>
      <w:r>
        <w:t>Niehoff’s</w:t>
      </w:r>
      <w:proofErr w:type="spellEnd"/>
      <w:r>
        <w:t xml:space="preserve"> narrative. First, whereas </w:t>
      </w:r>
      <w:proofErr w:type="spellStart"/>
      <w:r>
        <w:t>Niehoff</w:t>
      </w:r>
      <w:proofErr w:type="spellEnd"/>
      <w:r>
        <w:t xml:space="preserve"> plausibly argues for a “Roman turn” in Philo’s thought, the idea of a “Stoic turn” in the Exposition is less convincing. As </w:t>
      </w:r>
      <w:proofErr w:type="spellStart"/>
      <w:r>
        <w:t>Niehoff</w:t>
      </w:r>
      <w:proofErr w:type="spellEnd"/>
      <w:r>
        <w:t xml:space="preserve"> herself admits, the young Philo, as a middle Platonizing thinker, was already well acquainted with Stoicism. In an </w:t>
      </w:r>
      <w:proofErr w:type="spellStart"/>
      <w:r>
        <w:t>alle</w:t>
      </w:r>
      <w:proofErr w:type="spellEnd"/>
      <w:r>
        <w:t xml:space="preserve"> </w:t>
      </w:r>
      <w:proofErr w:type="spellStart"/>
      <w:r>
        <w:t>gorical</w:t>
      </w:r>
      <w:proofErr w:type="spellEnd"/>
      <w:r>
        <w:t xml:space="preserve"> treatise like </w:t>
      </w:r>
      <w:r>
        <w:rPr>
          <w:rStyle w:val="Emphasis"/>
          <w:rFonts w:ascii="Arial" w:eastAsiaTheme="majorEastAsia" w:hAnsi="Arial" w:cs="Arial"/>
          <w:color w:val="0A0A0A"/>
        </w:rPr>
        <w:t xml:space="preserve">De </w:t>
      </w:r>
      <w:proofErr w:type="spellStart"/>
      <w:r>
        <w:rPr>
          <w:rStyle w:val="Emphasis"/>
          <w:rFonts w:ascii="Arial" w:eastAsiaTheme="majorEastAsia" w:hAnsi="Arial" w:cs="Arial"/>
          <w:color w:val="0A0A0A"/>
        </w:rPr>
        <w:t>mutatione</w:t>
      </w:r>
      <w:proofErr w:type="spellEnd"/>
      <w:r>
        <w:rPr>
          <w:rStyle w:val="Emphasis"/>
          <w:rFonts w:ascii="Arial" w:eastAsiaTheme="majorEastAsia" w:hAnsi="Arial" w:cs="Arial"/>
          <w:color w:val="0A0A0A"/>
        </w:rPr>
        <w:t xml:space="preserve"> </w:t>
      </w:r>
      <w:proofErr w:type="spellStart"/>
      <w:r>
        <w:rPr>
          <w:rStyle w:val="Emphasis"/>
          <w:rFonts w:ascii="Arial" w:eastAsiaTheme="majorEastAsia" w:hAnsi="Arial" w:cs="Arial"/>
          <w:color w:val="0A0A0A"/>
        </w:rPr>
        <w:t>nominum</w:t>
      </w:r>
      <w:proofErr w:type="spellEnd"/>
      <w:r>
        <w:t>, for example, Philo constructively redeploys the Stoic eight-part soul as a central feature of his psychology (</w:t>
      </w:r>
      <w:r>
        <w:rPr>
          <w:rStyle w:val="Emphasis"/>
          <w:rFonts w:ascii="Arial" w:eastAsiaTheme="majorEastAsia" w:hAnsi="Arial" w:cs="Arial"/>
          <w:color w:val="0A0A0A"/>
        </w:rPr>
        <w:t>Mut</w:t>
      </w:r>
      <w:r>
        <w:t>. 110; cf. </w:t>
      </w:r>
      <w:r>
        <w:rPr>
          <w:rStyle w:val="Emphasis"/>
          <w:rFonts w:ascii="Arial" w:eastAsiaTheme="majorEastAsia" w:hAnsi="Arial" w:cs="Arial"/>
          <w:color w:val="0A0A0A"/>
        </w:rPr>
        <w:t>SVF</w:t>
      </w:r>
      <w:r>
        <w:t> 2.836). In this and other passages in the Allegorical Commentary, Philo invokes Stoic anthropology for more than “educational value and emotional appeal” (237). Just as Stoicism animates aspects of Philo’s thought in the Allegorical Commentary, so also Philo’s Platonist vision is alive and well in the Exposition. As a case in point, consider </w:t>
      </w:r>
      <w:r>
        <w:rPr>
          <w:rStyle w:val="Emphasis"/>
          <w:rFonts w:ascii="Arial" w:eastAsiaTheme="majorEastAsia" w:hAnsi="Arial" w:cs="Arial"/>
          <w:color w:val="0A0A0A"/>
        </w:rPr>
        <w:t xml:space="preserve">De </w:t>
      </w:r>
      <w:proofErr w:type="spellStart"/>
      <w:r>
        <w:rPr>
          <w:rStyle w:val="Emphasis"/>
          <w:rFonts w:ascii="Arial" w:eastAsiaTheme="majorEastAsia" w:hAnsi="Arial" w:cs="Arial"/>
          <w:color w:val="0A0A0A"/>
        </w:rPr>
        <w:t>opificio</w:t>
      </w:r>
      <w:proofErr w:type="spellEnd"/>
      <w:r>
        <w:rPr>
          <w:rStyle w:val="Emphasis"/>
          <w:rFonts w:ascii="Arial" w:eastAsiaTheme="majorEastAsia" w:hAnsi="Arial" w:cs="Arial"/>
          <w:color w:val="0A0A0A"/>
        </w:rPr>
        <w:t xml:space="preserve"> mundi</w:t>
      </w:r>
      <w:r>
        <w:t xml:space="preserve">. According to </w:t>
      </w:r>
      <w:proofErr w:type="spellStart"/>
      <w:r>
        <w:t>Niehoff’s</w:t>
      </w:r>
      <w:proofErr w:type="spellEnd"/>
      <w:r>
        <w:t xml:space="preserve"> analysis, the early chapters of </w:t>
      </w:r>
      <w:r>
        <w:rPr>
          <w:rStyle w:val="Emphasis"/>
          <w:rFonts w:ascii="Arial" w:eastAsiaTheme="majorEastAsia" w:hAnsi="Arial" w:cs="Arial"/>
          <w:color w:val="0A0A0A"/>
        </w:rPr>
        <w:t xml:space="preserve">De </w:t>
      </w:r>
      <w:proofErr w:type="spellStart"/>
      <w:r>
        <w:rPr>
          <w:rStyle w:val="Emphasis"/>
          <w:rFonts w:ascii="Arial" w:eastAsiaTheme="majorEastAsia" w:hAnsi="Arial" w:cs="Arial"/>
          <w:color w:val="0A0A0A"/>
        </w:rPr>
        <w:t>opificio</w:t>
      </w:r>
      <w:proofErr w:type="spellEnd"/>
      <w:r>
        <w:rPr>
          <w:rStyle w:val="Emphasis"/>
          <w:rFonts w:ascii="Arial" w:eastAsiaTheme="majorEastAsia" w:hAnsi="Arial" w:cs="Arial"/>
          <w:color w:val="0A0A0A"/>
        </w:rPr>
        <w:t xml:space="preserve"> mundi</w:t>
      </w:r>
      <w:r>
        <w:t> provide evidence of Philo’s Stoic turn (96–97). However, as Thomas Tobin has argued, in this hodge-podge of a treatise, Philo’s primary concerns emerge only toward the end (</w:t>
      </w:r>
      <w:proofErr w:type="spellStart"/>
      <w:r>
        <w:rPr>
          <w:rStyle w:val="Emphasis"/>
          <w:rFonts w:ascii="Arial" w:eastAsiaTheme="majorEastAsia" w:hAnsi="Arial" w:cs="Arial"/>
          <w:color w:val="0A0A0A"/>
        </w:rPr>
        <w:t>Opif</w:t>
      </w:r>
      <w:proofErr w:type="spellEnd"/>
      <w:r>
        <w:t>. 151–170), where Philo elaborates his allegory of the soul—the same trademark Platonist project that occupied him in the Allegorical Commentary.</w:t>
      </w:r>
    </w:p>
    <w:p w14:paraId="4DDCAB12" w14:textId="4D43D8E9" w:rsidR="00F82BFF" w:rsidRDefault="00F82BFF" w:rsidP="004575F0">
      <w:r>
        <w:t xml:space="preserve">Second, </w:t>
      </w:r>
      <w:proofErr w:type="spellStart"/>
      <w:r>
        <w:t>Niehoff’s</w:t>
      </w:r>
      <w:proofErr w:type="spellEnd"/>
      <w:r>
        <w:t xml:space="preserve"> construal of a clean break between the Allegorical Commentary and the Exposition does not directly address alternative </w:t>
      </w:r>
      <w:proofErr w:type="spellStart"/>
      <w:r>
        <w:t>periodizations</w:t>
      </w:r>
      <w:proofErr w:type="spellEnd"/>
      <w:r>
        <w:t xml:space="preserve"> of his </w:t>
      </w:r>
      <w:r>
        <w:rPr>
          <w:rStyle w:val="Emphasis"/>
          <w:rFonts w:ascii="Arial" w:eastAsiaTheme="majorEastAsia" w:hAnsi="Arial" w:cs="Arial"/>
          <w:color w:val="0A0A0A"/>
        </w:rPr>
        <w:t>corpus</w:t>
      </w:r>
      <w:r>
        <w:t xml:space="preserve">. For example, in a study from the turn of the twentieth century, Louis </w:t>
      </w:r>
      <w:proofErr w:type="spellStart"/>
      <w:r>
        <w:t>Massebieau</w:t>
      </w:r>
      <w:proofErr w:type="spellEnd"/>
      <w:r>
        <w:t xml:space="preserve"> argued that Philo’s experience of Roman politics was already reflected in the Allegorical Commentary itself.</w:t>
      </w:r>
      <w:bookmarkStart w:id="3" w:name="f1-text"/>
      <w:r>
        <w:rPr>
          <w:sz w:val="18"/>
          <w:szCs w:val="18"/>
          <w:vertAlign w:val="superscript"/>
        </w:rPr>
        <w:fldChar w:fldCharType="begin"/>
      </w:r>
      <w:r>
        <w:rPr>
          <w:sz w:val="18"/>
          <w:szCs w:val="18"/>
          <w:vertAlign w:val="superscript"/>
        </w:rPr>
        <w:instrText xml:space="preserve"> HYPERLINK "https://0-muse-jhu-edu.libus.csd.mu.edu/article/709842" \l "f1" </w:instrText>
      </w:r>
      <w:r>
        <w:rPr>
          <w:sz w:val="18"/>
          <w:szCs w:val="18"/>
          <w:vertAlign w:val="superscript"/>
        </w:rPr>
        <w:fldChar w:fldCharType="separate"/>
      </w:r>
      <w:r>
        <w:rPr>
          <w:rStyle w:val="Hyperlink"/>
          <w:rFonts w:ascii="Arial" w:eastAsiaTheme="majorEastAsia" w:hAnsi="Arial" w:cs="Arial"/>
          <w:color w:val="284F84"/>
          <w:sz w:val="18"/>
          <w:szCs w:val="18"/>
          <w:vertAlign w:val="superscript"/>
        </w:rPr>
        <w:t>1</w:t>
      </w:r>
      <w:r>
        <w:rPr>
          <w:sz w:val="18"/>
          <w:szCs w:val="18"/>
          <w:vertAlign w:val="superscript"/>
        </w:rPr>
        <w:fldChar w:fldCharType="end"/>
      </w:r>
      <w:bookmarkEnd w:id="3"/>
      <w:r>
        <w:t xml:space="preserve"> While few have followed </w:t>
      </w:r>
      <w:proofErr w:type="spellStart"/>
      <w:r>
        <w:t>Massebieau’s</w:t>
      </w:r>
      <w:proofErr w:type="spellEnd"/>
      <w:r>
        <w:t xml:space="preserve"> precise schema, greater attention to his and other alternative chronologies could have strengthened </w:t>
      </w:r>
      <w:proofErr w:type="spellStart"/>
      <w:r>
        <w:t>Niehoff’s</w:t>
      </w:r>
      <w:proofErr w:type="spellEnd"/>
      <w:r>
        <w:t xml:space="preserve"> argument. </w:t>
      </w:r>
      <w:proofErr w:type="spellStart"/>
      <w:r>
        <w:t>Niehoff’s</w:t>
      </w:r>
      <w:proofErr w:type="spellEnd"/>
      <w:r>
        <w:t xml:space="preserve"> dating of Philo’s philosophical treatises and the </w:t>
      </w:r>
      <w:r>
        <w:rPr>
          <w:rStyle w:val="Emphasis"/>
          <w:rFonts w:ascii="Arial" w:eastAsiaTheme="majorEastAsia" w:hAnsi="Arial" w:cs="Arial"/>
          <w:color w:val="0A0A0A"/>
        </w:rPr>
        <w:t>Questions and Answers</w:t>
      </w:r>
      <w:r>
        <w:t xml:space="preserve">—both of which do substantial work in the Stoic turn narrative—likewise does not adequately consider alternative relative chronologies. </w:t>
      </w:r>
      <w:proofErr w:type="spellStart"/>
      <w:r>
        <w:t>Niehoff</w:t>
      </w:r>
      <w:proofErr w:type="spellEnd"/>
      <w:r>
        <w:t xml:space="preserve"> asserts the late dating of all of Philo’s philosophical treatises, without addressing the alternative </w:t>
      </w:r>
      <w:proofErr w:type="spellStart"/>
      <w:r>
        <w:rPr>
          <w:rStyle w:val="Emphasis"/>
          <w:rFonts w:ascii="Arial" w:eastAsiaTheme="majorEastAsia" w:hAnsi="Arial" w:cs="Arial"/>
          <w:color w:val="0A0A0A"/>
        </w:rPr>
        <w:t>Jugendschrift</w:t>
      </w:r>
      <w:proofErr w:type="spellEnd"/>
      <w:r>
        <w:t xml:space="preserve"> hypothesis championed by F. </w:t>
      </w:r>
      <w:proofErr w:type="spellStart"/>
      <w:r>
        <w:t>Cumont</w:t>
      </w:r>
      <w:proofErr w:type="spellEnd"/>
      <w:r>
        <w:t xml:space="preserve">, W. </w:t>
      </w:r>
      <w:proofErr w:type="spellStart"/>
      <w:r>
        <w:t>Bousset</w:t>
      </w:r>
      <w:proofErr w:type="spellEnd"/>
      <w:r>
        <w:t>, and V. Nikiprowetzsky.</w:t>
      </w:r>
      <w:bookmarkStart w:id="4" w:name="f2-text"/>
      <w:r>
        <w:rPr>
          <w:sz w:val="18"/>
          <w:szCs w:val="18"/>
          <w:vertAlign w:val="superscript"/>
        </w:rPr>
        <w:fldChar w:fldCharType="begin"/>
      </w:r>
      <w:r>
        <w:rPr>
          <w:sz w:val="18"/>
          <w:szCs w:val="18"/>
          <w:vertAlign w:val="superscript"/>
        </w:rPr>
        <w:instrText xml:space="preserve"> HYPERLINK "https://0-muse-jhu-edu.libus.csd.mu.edu/article/709842" \l "f2" </w:instrText>
      </w:r>
      <w:r>
        <w:rPr>
          <w:sz w:val="18"/>
          <w:szCs w:val="18"/>
          <w:vertAlign w:val="superscript"/>
        </w:rPr>
        <w:fldChar w:fldCharType="separate"/>
      </w:r>
      <w:r>
        <w:rPr>
          <w:rStyle w:val="Hyperlink"/>
          <w:rFonts w:ascii="Arial" w:eastAsiaTheme="majorEastAsia" w:hAnsi="Arial" w:cs="Arial"/>
          <w:color w:val="284F84"/>
          <w:sz w:val="18"/>
          <w:szCs w:val="18"/>
          <w:vertAlign w:val="superscript"/>
        </w:rPr>
        <w:t>2</w:t>
      </w:r>
      <w:r>
        <w:rPr>
          <w:sz w:val="18"/>
          <w:szCs w:val="18"/>
          <w:vertAlign w:val="superscript"/>
        </w:rPr>
        <w:fldChar w:fldCharType="end"/>
      </w:r>
      <w:bookmarkEnd w:id="4"/>
      <w:r>
        <w:t> While the Alexander dialogues are probably late, </w:t>
      </w:r>
      <w:r>
        <w:rPr>
          <w:rStyle w:val="Emphasis"/>
          <w:rFonts w:ascii="Arial" w:eastAsiaTheme="majorEastAsia" w:hAnsi="Arial" w:cs="Arial"/>
          <w:color w:val="0A0A0A"/>
        </w:rPr>
        <w:t>Probus</w:t>
      </w:r>
      <w:r>
        <w:t> and </w:t>
      </w:r>
      <w:r>
        <w:rPr>
          <w:rStyle w:val="Emphasis"/>
          <w:rFonts w:ascii="Arial" w:eastAsiaTheme="majorEastAsia" w:hAnsi="Arial" w:cs="Arial"/>
          <w:color w:val="0A0A0A"/>
        </w:rPr>
        <w:t xml:space="preserve">De </w:t>
      </w:r>
      <w:proofErr w:type="spellStart"/>
      <w:r>
        <w:rPr>
          <w:rStyle w:val="Emphasis"/>
          <w:rFonts w:ascii="Arial" w:eastAsiaTheme="majorEastAsia" w:hAnsi="Arial" w:cs="Arial"/>
          <w:color w:val="0A0A0A"/>
        </w:rPr>
        <w:t>aeternitate</w:t>
      </w:r>
      <w:proofErr w:type="spellEnd"/>
      <w:r>
        <w:rPr>
          <w:rStyle w:val="Emphasis"/>
          <w:rFonts w:ascii="Arial" w:eastAsiaTheme="majorEastAsia" w:hAnsi="Arial" w:cs="Arial"/>
          <w:color w:val="0A0A0A"/>
        </w:rPr>
        <w:t xml:space="preserve"> mundi</w:t>
      </w:r>
      <w:r>
        <w:t> may be early. Even if </w:t>
      </w:r>
      <w:r>
        <w:rPr>
          <w:rStyle w:val="Emphasis"/>
          <w:rFonts w:ascii="Arial" w:eastAsiaTheme="majorEastAsia" w:hAnsi="Arial" w:cs="Arial"/>
          <w:color w:val="0A0A0A"/>
        </w:rPr>
        <w:t xml:space="preserve">De </w:t>
      </w:r>
      <w:proofErr w:type="spellStart"/>
      <w:r>
        <w:rPr>
          <w:rStyle w:val="Emphasis"/>
          <w:rFonts w:ascii="Arial" w:eastAsiaTheme="majorEastAsia" w:hAnsi="Arial" w:cs="Arial"/>
          <w:color w:val="0A0A0A"/>
        </w:rPr>
        <w:t>aeternitate</w:t>
      </w:r>
      <w:proofErr w:type="spellEnd"/>
      <w:r>
        <w:rPr>
          <w:rStyle w:val="Emphasis"/>
          <w:rFonts w:ascii="Arial" w:eastAsiaTheme="majorEastAsia" w:hAnsi="Arial" w:cs="Arial"/>
          <w:color w:val="0A0A0A"/>
        </w:rPr>
        <w:t xml:space="preserve"> mundi</w:t>
      </w:r>
      <w:r>
        <w:t> is late, </w:t>
      </w:r>
      <w:proofErr w:type="spellStart"/>
      <w:r>
        <w:rPr>
          <w:rStyle w:val="Emphasis"/>
          <w:rFonts w:ascii="Arial" w:eastAsiaTheme="majorEastAsia" w:hAnsi="Arial" w:cs="Arial"/>
          <w:color w:val="0A0A0A"/>
        </w:rPr>
        <w:t>Aet</w:t>
      </w:r>
      <w:proofErr w:type="spellEnd"/>
      <w:r>
        <w:t>. 20–149—particularly </w:t>
      </w:r>
      <w:proofErr w:type="spellStart"/>
      <w:r>
        <w:rPr>
          <w:rStyle w:val="Emphasis"/>
          <w:rFonts w:ascii="Arial" w:eastAsiaTheme="majorEastAsia" w:hAnsi="Arial" w:cs="Arial"/>
          <w:color w:val="0A0A0A"/>
        </w:rPr>
        <w:t>Aet</w:t>
      </w:r>
      <w:proofErr w:type="spellEnd"/>
      <w:r>
        <w:t xml:space="preserve">. 76–77, which </w:t>
      </w:r>
      <w:proofErr w:type="spellStart"/>
      <w:r>
        <w:t>Niehoff</w:t>
      </w:r>
      <w:proofErr w:type="spellEnd"/>
      <w:r>
        <w:t xml:space="preserve"> draws upon as evidence for her grand narrative (80)—may, as F. H. Colson suggested, represent the opinion Philo plans to argue against in this fragmentary treatise.</w:t>
      </w:r>
      <w:bookmarkStart w:id="5" w:name="f3-text"/>
      <w:r>
        <w:rPr>
          <w:sz w:val="18"/>
          <w:szCs w:val="18"/>
          <w:vertAlign w:val="superscript"/>
        </w:rPr>
        <w:fldChar w:fldCharType="begin"/>
      </w:r>
      <w:r>
        <w:rPr>
          <w:sz w:val="18"/>
          <w:szCs w:val="18"/>
          <w:vertAlign w:val="superscript"/>
        </w:rPr>
        <w:instrText xml:space="preserve"> HYPERLINK "https://0-muse-jhu-edu.libus.csd.mu.edu/article/709842" \l "f3" </w:instrText>
      </w:r>
      <w:r>
        <w:rPr>
          <w:sz w:val="18"/>
          <w:szCs w:val="18"/>
          <w:vertAlign w:val="superscript"/>
        </w:rPr>
        <w:fldChar w:fldCharType="separate"/>
      </w:r>
      <w:r>
        <w:rPr>
          <w:rStyle w:val="Hyperlink"/>
          <w:rFonts w:ascii="Arial" w:eastAsiaTheme="majorEastAsia" w:hAnsi="Arial" w:cs="Arial"/>
          <w:color w:val="284F84"/>
          <w:sz w:val="18"/>
          <w:szCs w:val="18"/>
          <w:vertAlign w:val="superscript"/>
        </w:rPr>
        <w:t>3</w:t>
      </w:r>
      <w:r>
        <w:rPr>
          <w:sz w:val="18"/>
          <w:szCs w:val="18"/>
          <w:vertAlign w:val="superscript"/>
        </w:rPr>
        <w:fldChar w:fldCharType="end"/>
      </w:r>
      <w:bookmarkEnd w:id="5"/>
      <w:r>
        <w:t> Locating the </w:t>
      </w:r>
      <w:r>
        <w:rPr>
          <w:rStyle w:val="Emphasis"/>
          <w:rFonts w:ascii="Arial" w:eastAsiaTheme="majorEastAsia" w:hAnsi="Arial" w:cs="Arial"/>
          <w:color w:val="0A0A0A"/>
        </w:rPr>
        <w:t>Questions and Answers</w:t>
      </w:r>
      <w:r>
        <w:t xml:space="preserve"> after the Allegorical Commentary is likewise a weighty decision that does not wrestle with alternative critical judgments that place it earlier. While not uncomplicated, </w:t>
      </w:r>
      <w:proofErr w:type="spellStart"/>
      <w:r>
        <w:t>Niehoff’s</w:t>
      </w:r>
      <w:proofErr w:type="spellEnd"/>
      <w:r>
        <w:t xml:space="preserve"> biography remains a major work with a bold new thesis that reopens many old questions; it deserves a wide readership.</w:t>
      </w:r>
    </w:p>
    <w:p w14:paraId="45C12371" w14:textId="77777777" w:rsidR="002123EF" w:rsidRPr="002123EF" w:rsidRDefault="002123EF" w:rsidP="002123EF">
      <w:pPr>
        <w:pStyle w:val="Heading1"/>
      </w:pPr>
      <w:r w:rsidRPr="002123EF">
        <w:t>Footnotes</w:t>
      </w:r>
    </w:p>
    <w:bookmarkStart w:id="6" w:name="f1"/>
    <w:p w14:paraId="1D798A15" w14:textId="77777777" w:rsidR="002123EF" w:rsidRPr="002123EF" w:rsidRDefault="002123EF" w:rsidP="002123EF">
      <w:pPr>
        <w:pStyle w:val="NoSpacing"/>
        <w:ind w:left="720" w:hanging="720"/>
      </w:pPr>
      <w:r w:rsidRPr="002123EF">
        <w:fldChar w:fldCharType="begin"/>
      </w:r>
      <w:r w:rsidRPr="002123EF">
        <w:instrText xml:space="preserve"> HYPERLINK "https://muse.jhu.edu/article/709842" \l "f1-text" </w:instrText>
      </w:r>
      <w:r w:rsidRPr="002123EF">
        <w:fldChar w:fldCharType="separate"/>
      </w:r>
      <w:r w:rsidRPr="002123EF">
        <w:rPr>
          <w:rStyle w:val="Hyperlink"/>
          <w:rFonts w:cstheme="minorHAnsi"/>
        </w:rPr>
        <w:t>1.</w:t>
      </w:r>
      <w:r w:rsidRPr="002123EF">
        <w:fldChar w:fldCharType="end"/>
      </w:r>
      <w:bookmarkEnd w:id="6"/>
      <w:r w:rsidRPr="002123EF">
        <w:t xml:space="preserve"> See L. </w:t>
      </w:r>
      <w:proofErr w:type="spellStart"/>
      <w:r w:rsidRPr="002123EF">
        <w:t>Massebieau</w:t>
      </w:r>
      <w:proofErr w:type="spellEnd"/>
      <w:r w:rsidRPr="002123EF">
        <w:t xml:space="preserve"> and É. </w:t>
      </w:r>
      <w:proofErr w:type="spellStart"/>
      <w:r w:rsidRPr="002123EF">
        <w:t>Bréhier</w:t>
      </w:r>
      <w:proofErr w:type="spellEnd"/>
      <w:r w:rsidRPr="002123EF">
        <w:t>, “</w:t>
      </w:r>
      <w:proofErr w:type="spellStart"/>
      <w:r w:rsidRPr="002123EF">
        <w:t>Essai</w:t>
      </w:r>
      <w:proofErr w:type="spellEnd"/>
      <w:r w:rsidRPr="002123EF">
        <w:t xml:space="preserve"> sur la </w:t>
      </w:r>
      <w:proofErr w:type="spellStart"/>
      <w:r w:rsidRPr="002123EF">
        <w:t>chronologie</w:t>
      </w:r>
      <w:proofErr w:type="spellEnd"/>
      <w:r w:rsidRPr="002123EF">
        <w:t xml:space="preserve"> de la vie et des oeuvres de Philon,” </w:t>
      </w:r>
      <w:r w:rsidRPr="002123EF">
        <w:rPr>
          <w:i/>
          <w:iCs/>
        </w:rPr>
        <w:t xml:space="preserve">Revue de </w:t>
      </w:r>
      <w:proofErr w:type="spellStart"/>
      <w:r w:rsidRPr="002123EF">
        <w:rPr>
          <w:i/>
          <w:iCs/>
        </w:rPr>
        <w:t>l’histoire</w:t>
      </w:r>
      <w:proofErr w:type="spellEnd"/>
      <w:r w:rsidRPr="002123EF">
        <w:rPr>
          <w:i/>
          <w:iCs/>
        </w:rPr>
        <w:t xml:space="preserve"> des religions</w:t>
      </w:r>
      <w:r w:rsidRPr="002123EF">
        <w:t xml:space="preserve"> 53 (1906): 25–64, 164–185, 267–289; and L. </w:t>
      </w:r>
      <w:proofErr w:type="spellStart"/>
      <w:r w:rsidRPr="002123EF">
        <w:t>Massebieau</w:t>
      </w:r>
      <w:proofErr w:type="spellEnd"/>
      <w:r w:rsidRPr="002123EF">
        <w:t>, </w:t>
      </w:r>
      <w:r w:rsidRPr="002123EF">
        <w:rPr>
          <w:i/>
          <w:iCs/>
        </w:rPr>
        <w:t xml:space="preserve">Le </w:t>
      </w:r>
      <w:proofErr w:type="spellStart"/>
      <w:r w:rsidRPr="002123EF">
        <w:rPr>
          <w:i/>
          <w:iCs/>
        </w:rPr>
        <w:t>classement</w:t>
      </w:r>
      <w:proofErr w:type="spellEnd"/>
      <w:r w:rsidRPr="002123EF">
        <w:rPr>
          <w:i/>
          <w:iCs/>
        </w:rPr>
        <w:t xml:space="preserve"> des oeuvres de Philon</w:t>
      </w:r>
      <w:r w:rsidRPr="002123EF">
        <w:t> (Paris: Leroux, 1889).</w:t>
      </w:r>
    </w:p>
    <w:bookmarkStart w:id="7" w:name="f2"/>
    <w:p w14:paraId="5AB30DE9" w14:textId="77777777" w:rsidR="002123EF" w:rsidRPr="002123EF" w:rsidRDefault="002123EF" w:rsidP="002123EF">
      <w:pPr>
        <w:pStyle w:val="NoSpacing"/>
        <w:ind w:left="720" w:hanging="720"/>
      </w:pPr>
      <w:r w:rsidRPr="002123EF">
        <w:fldChar w:fldCharType="begin"/>
      </w:r>
      <w:r w:rsidRPr="002123EF">
        <w:instrText xml:space="preserve"> HYPERLINK "https://muse.jhu.edu/article/709842" \l "f2-text" </w:instrText>
      </w:r>
      <w:r w:rsidRPr="002123EF">
        <w:fldChar w:fldCharType="separate"/>
      </w:r>
      <w:r w:rsidRPr="002123EF">
        <w:rPr>
          <w:rStyle w:val="Hyperlink"/>
          <w:rFonts w:cstheme="minorHAnsi"/>
        </w:rPr>
        <w:t>2.</w:t>
      </w:r>
      <w:r w:rsidRPr="002123EF">
        <w:fldChar w:fldCharType="end"/>
      </w:r>
      <w:bookmarkEnd w:id="7"/>
      <w:r w:rsidRPr="002123EF">
        <w:t xml:space="preserve"> For an overview of various positions on this philosophical treatise, see D. T. </w:t>
      </w:r>
      <w:proofErr w:type="spellStart"/>
      <w:r w:rsidRPr="002123EF">
        <w:t>Runia</w:t>
      </w:r>
      <w:proofErr w:type="spellEnd"/>
      <w:r w:rsidRPr="002123EF">
        <w:t>, “Philo’s </w:t>
      </w:r>
      <w:r w:rsidRPr="002123EF">
        <w:rPr>
          <w:i/>
          <w:iCs/>
        </w:rPr>
        <w:t xml:space="preserve">De </w:t>
      </w:r>
      <w:proofErr w:type="spellStart"/>
      <w:r w:rsidRPr="002123EF">
        <w:rPr>
          <w:i/>
          <w:iCs/>
        </w:rPr>
        <w:t>aeternitate</w:t>
      </w:r>
      <w:proofErr w:type="spellEnd"/>
      <w:r w:rsidRPr="002123EF">
        <w:rPr>
          <w:i/>
          <w:iCs/>
        </w:rPr>
        <w:t xml:space="preserve"> mundi</w:t>
      </w:r>
      <w:r w:rsidRPr="002123EF">
        <w:t xml:space="preserve">: </w:t>
      </w:r>
      <w:proofErr w:type="gramStart"/>
      <w:r w:rsidRPr="002123EF">
        <w:t>the</w:t>
      </w:r>
      <w:proofErr w:type="gramEnd"/>
      <w:r w:rsidRPr="002123EF">
        <w:t xml:space="preserve"> Problem of Its Interpretation,” </w:t>
      </w:r>
      <w:proofErr w:type="spellStart"/>
      <w:r w:rsidRPr="002123EF">
        <w:rPr>
          <w:i/>
          <w:iCs/>
        </w:rPr>
        <w:t>Vigiliae</w:t>
      </w:r>
      <w:proofErr w:type="spellEnd"/>
      <w:r w:rsidRPr="002123EF">
        <w:rPr>
          <w:i/>
          <w:iCs/>
        </w:rPr>
        <w:t xml:space="preserve"> </w:t>
      </w:r>
      <w:proofErr w:type="spellStart"/>
      <w:r w:rsidRPr="002123EF">
        <w:rPr>
          <w:i/>
          <w:iCs/>
        </w:rPr>
        <w:t>Christianae</w:t>
      </w:r>
      <w:proofErr w:type="spellEnd"/>
      <w:r w:rsidRPr="002123EF">
        <w:t> 35 (1981): 105–151.</w:t>
      </w:r>
    </w:p>
    <w:bookmarkStart w:id="8" w:name="f3"/>
    <w:p w14:paraId="22298C06" w14:textId="77777777" w:rsidR="002123EF" w:rsidRPr="002123EF" w:rsidRDefault="002123EF" w:rsidP="002123EF">
      <w:pPr>
        <w:pStyle w:val="NoSpacing"/>
        <w:ind w:left="720" w:hanging="720"/>
      </w:pPr>
      <w:r w:rsidRPr="002123EF">
        <w:fldChar w:fldCharType="begin"/>
      </w:r>
      <w:r w:rsidRPr="002123EF">
        <w:instrText xml:space="preserve"> HYPERLINK "https://muse.jhu.edu/article/709842" \l "f3-text" </w:instrText>
      </w:r>
      <w:r w:rsidRPr="002123EF">
        <w:fldChar w:fldCharType="separate"/>
      </w:r>
      <w:r w:rsidRPr="002123EF">
        <w:rPr>
          <w:rStyle w:val="Hyperlink"/>
          <w:rFonts w:cstheme="minorHAnsi"/>
        </w:rPr>
        <w:t>3.</w:t>
      </w:r>
      <w:r w:rsidRPr="002123EF">
        <w:fldChar w:fldCharType="end"/>
      </w:r>
      <w:bookmarkEnd w:id="8"/>
      <w:r w:rsidRPr="002123EF">
        <w:t> F. H. Colson, </w:t>
      </w:r>
      <w:r w:rsidRPr="002123EF">
        <w:rPr>
          <w:i/>
          <w:iCs/>
        </w:rPr>
        <w:t>Philo</w:t>
      </w:r>
      <w:r w:rsidRPr="002123EF">
        <w:t>, Loeb Classical Library (Cambridge, MA: Harvard University Press, 1929–62), 9.172–178.</w:t>
      </w:r>
    </w:p>
    <w:p w14:paraId="5C9FA21D" w14:textId="77777777" w:rsidR="00617C12" w:rsidRPr="006F33A4" w:rsidRDefault="00617C12" w:rsidP="004575F0">
      <w:pPr>
        <w:rPr>
          <w:rFonts w:cstheme="minorHAnsi"/>
        </w:rPr>
      </w:pPr>
    </w:p>
    <w:sectPr w:rsidR="00617C12" w:rsidRPr="006F33A4"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BC52AD"/>
    <w:multiLevelType w:val="multilevel"/>
    <w:tmpl w:val="0486C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proofState w:spelling="clean" w:grammar="clean"/>
  <w:documentProtection w:edit="readOnly" w:formatting="1" w:enforcement="1" w:cryptProviderType="rsaAES" w:cryptAlgorithmClass="hash" w:cryptAlgorithmType="typeAny" w:cryptAlgorithmSid="14" w:cryptSpinCount="100000" w:hash="cicEcKccLesYVr2e620bW32dW1Z5c5zHKvCsMEVpGFO/nduW+y/Y3Hv8UUENDYwOHvyY7pNJ2I7Rq3F+vrbPLQ==" w:salt="ncvS4YMNsSsntT6/OECmD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123EF"/>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575F0"/>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17C12"/>
    <w:rsid w:val="00620EA0"/>
    <w:rsid w:val="00623E47"/>
    <w:rsid w:val="00624CD2"/>
    <w:rsid w:val="0062795C"/>
    <w:rsid w:val="00631A06"/>
    <w:rsid w:val="00633D28"/>
    <w:rsid w:val="00633F1B"/>
    <w:rsid w:val="00634D07"/>
    <w:rsid w:val="00635799"/>
    <w:rsid w:val="00636A77"/>
    <w:rsid w:val="0064051B"/>
    <w:rsid w:val="00645D2C"/>
    <w:rsid w:val="00646044"/>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E3C57"/>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59C4"/>
    <w:rsid w:val="00BF6ECD"/>
    <w:rsid w:val="00BF790B"/>
    <w:rsid w:val="00C01E67"/>
    <w:rsid w:val="00C05302"/>
    <w:rsid w:val="00C06B6B"/>
    <w:rsid w:val="00C06F37"/>
    <w:rsid w:val="00C0799A"/>
    <w:rsid w:val="00C12836"/>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0AD4"/>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075"/>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6AB7"/>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2BFF"/>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17C1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617C12"/>
    <w:rPr>
      <w:color w:val="0000FF"/>
      <w:u w:val="single"/>
    </w:rPr>
  </w:style>
  <w:style w:type="character" w:customStyle="1" w:styleId="inline-equationlabel">
    <w:name w:val="inline-equation__label"/>
    <w:basedOn w:val="DefaultParagraphFont"/>
    <w:rsid w:val="00617C12"/>
  </w:style>
  <w:style w:type="character" w:customStyle="1" w:styleId="number">
    <w:name w:val="number"/>
    <w:basedOn w:val="DefaultParagraphFont"/>
    <w:rsid w:val="00617C12"/>
  </w:style>
  <w:style w:type="character" w:customStyle="1" w:styleId="figurelink">
    <w:name w:val="figurelink"/>
    <w:basedOn w:val="DefaultParagraphFont"/>
    <w:rsid w:val="00617C12"/>
  </w:style>
  <w:style w:type="character" w:styleId="UnresolvedMention">
    <w:name w:val="Unresolved Mention"/>
    <w:basedOn w:val="DefaultParagraphFont"/>
    <w:uiPriority w:val="99"/>
    <w:semiHidden/>
    <w:unhideWhenUsed/>
    <w:rsid w:val="002123E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759734">
      <w:bodyDiv w:val="1"/>
      <w:marLeft w:val="0"/>
      <w:marRight w:val="0"/>
      <w:marTop w:val="0"/>
      <w:marBottom w:val="0"/>
      <w:divBdr>
        <w:top w:val="none" w:sz="0" w:space="0" w:color="auto"/>
        <w:left w:val="none" w:sz="0" w:space="0" w:color="auto"/>
        <w:bottom w:val="none" w:sz="0" w:space="0" w:color="auto"/>
        <w:right w:val="none" w:sz="0" w:space="0" w:color="auto"/>
      </w:divBdr>
      <w:divsChild>
        <w:div w:id="1927766919">
          <w:marLeft w:val="0"/>
          <w:marRight w:val="0"/>
          <w:marTop w:val="0"/>
          <w:marBottom w:val="0"/>
          <w:divBdr>
            <w:top w:val="none" w:sz="0" w:space="0" w:color="auto"/>
            <w:left w:val="none" w:sz="0" w:space="0" w:color="auto"/>
            <w:bottom w:val="none" w:sz="0" w:space="0" w:color="auto"/>
            <w:right w:val="none" w:sz="0" w:space="0" w:color="auto"/>
          </w:divBdr>
          <w:divsChild>
            <w:div w:id="456526511">
              <w:marLeft w:val="0"/>
              <w:marRight w:val="0"/>
              <w:marTop w:val="0"/>
              <w:marBottom w:val="0"/>
              <w:divBdr>
                <w:top w:val="none" w:sz="0" w:space="0" w:color="auto"/>
                <w:left w:val="none" w:sz="0" w:space="0" w:color="auto"/>
                <w:bottom w:val="none" w:sz="0" w:space="0" w:color="auto"/>
                <w:right w:val="none" w:sz="0" w:space="0" w:color="auto"/>
              </w:divBdr>
              <w:divsChild>
                <w:div w:id="2045474182">
                  <w:marLeft w:val="0"/>
                  <w:marRight w:val="0"/>
                  <w:marTop w:val="0"/>
                  <w:marBottom w:val="0"/>
                  <w:divBdr>
                    <w:top w:val="none" w:sz="0" w:space="0" w:color="auto"/>
                    <w:left w:val="none" w:sz="0" w:space="0" w:color="auto"/>
                    <w:bottom w:val="none" w:sz="0" w:space="0" w:color="auto"/>
                    <w:right w:val="none" w:sz="0" w:space="0" w:color="auto"/>
                  </w:divBdr>
                </w:div>
                <w:div w:id="1307934437">
                  <w:marLeft w:val="0"/>
                  <w:marRight w:val="0"/>
                  <w:marTop w:val="0"/>
                  <w:marBottom w:val="0"/>
                  <w:divBdr>
                    <w:top w:val="none" w:sz="0" w:space="0" w:color="auto"/>
                    <w:left w:val="none" w:sz="0" w:space="0" w:color="auto"/>
                    <w:bottom w:val="none" w:sz="0" w:space="0" w:color="auto"/>
                    <w:right w:val="none" w:sz="0" w:space="0" w:color="auto"/>
                  </w:divBdr>
                </w:div>
                <w:div w:id="929045835">
                  <w:marLeft w:val="0"/>
                  <w:marRight w:val="0"/>
                  <w:marTop w:val="0"/>
                  <w:marBottom w:val="0"/>
                  <w:divBdr>
                    <w:top w:val="none" w:sz="0" w:space="0" w:color="auto"/>
                    <w:left w:val="none" w:sz="0" w:space="0" w:color="auto"/>
                    <w:bottom w:val="none" w:sz="0" w:space="0" w:color="auto"/>
                    <w:right w:val="none" w:sz="0" w:space="0" w:color="auto"/>
                  </w:divBdr>
                </w:div>
                <w:div w:id="15640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261084">
          <w:marLeft w:val="0"/>
          <w:marRight w:val="0"/>
          <w:marTop w:val="0"/>
          <w:marBottom w:val="0"/>
          <w:divBdr>
            <w:top w:val="none" w:sz="0" w:space="0" w:color="auto"/>
            <w:left w:val="none" w:sz="0" w:space="0" w:color="auto"/>
            <w:bottom w:val="none" w:sz="0" w:space="0" w:color="auto"/>
            <w:right w:val="none" w:sz="0" w:space="0" w:color="auto"/>
          </w:divBdr>
        </w:div>
        <w:div w:id="692734124">
          <w:marLeft w:val="0"/>
          <w:marRight w:val="0"/>
          <w:marTop w:val="0"/>
          <w:marBottom w:val="0"/>
          <w:divBdr>
            <w:top w:val="none" w:sz="0" w:space="0" w:color="auto"/>
            <w:left w:val="none" w:sz="0" w:space="0" w:color="auto"/>
            <w:bottom w:val="none" w:sz="0" w:space="0" w:color="auto"/>
            <w:right w:val="none" w:sz="0" w:space="0" w:color="auto"/>
          </w:divBdr>
          <w:divsChild>
            <w:div w:id="1704864529">
              <w:marLeft w:val="0"/>
              <w:marRight w:val="0"/>
              <w:marTop w:val="150"/>
              <w:marBottom w:val="270"/>
              <w:divBdr>
                <w:top w:val="none" w:sz="0" w:space="0" w:color="auto"/>
                <w:left w:val="none" w:sz="0" w:space="0" w:color="auto"/>
                <w:bottom w:val="none" w:sz="0" w:space="0" w:color="auto"/>
                <w:right w:val="none" w:sz="0" w:space="0" w:color="auto"/>
              </w:divBdr>
              <w:divsChild>
                <w:div w:id="199824739">
                  <w:marLeft w:val="0"/>
                  <w:marRight w:val="0"/>
                  <w:marTop w:val="270"/>
                  <w:marBottom w:val="270"/>
                  <w:divBdr>
                    <w:top w:val="none" w:sz="0" w:space="0" w:color="auto"/>
                    <w:left w:val="none" w:sz="0" w:space="0" w:color="auto"/>
                    <w:bottom w:val="none" w:sz="0" w:space="0" w:color="auto"/>
                    <w:right w:val="none" w:sz="0" w:space="0" w:color="auto"/>
                  </w:divBdr>
                </w:div>
                <w:div w:id="1729525207">
                  <w:marLeft w:val="0"/>
                  <w:marRight w:val="0"/>
                  <w:marTop w:val="270"/>
                  <w:marBottom w:val="270"/>
                  <w:divBdr>
                    <w:top w:val="none" w:sz="0" w:space="0" w:color="auto"/>
                    <w:left w:val="none" w:sz="0" w:space="0" w:color="auto"/>
                    <w:bottom w:val="none" w:sz="0" w:space="0" w:color="auto"/>
                    <w:right w:val="none" w:sz="0" w:space="0" w:color="auto"/>
                  </w:divBdr>
                </w:div>
                <w:div w:id="1574045881">
                  <w:marLeft w:val="0"/>
                  <w:marRight w:val="0"/>
                  <w:marTop w:val="270"/>
                  <w:marBottom w:val="270"/>
                  <w:divBdr>
                    <w:top w:val="none" w:sz="0" w:space="0" w:color="auto"/>
                    <w:left w:val="none" w:sz="0" w:space="0" w:color="auto"/>
                    <w:bottom w:val="none" w:sz="0" w:space="0" w:color="auto"/>
                    <w:right w:val="none" w:sz="0" w:space="0" w:color="auto"/>
                  </w:divBdr>
                </w:div>
                <w:div w:id="264582843">
                  <w:marLeft w:val="0"/>
                  <w:marRight w:val="0"/>
                  <w:marTop w:val="0"/>
                  <w:marBottom w:val="0"/>
                  <w:divBdr>
                    <w:top w:val="none" w:sz="0" w:space="0" w:color="auto"/>
                    <w:left w:val="none" w:sz="0" w:space="0" w:color="auto"/>
                    <w:bottom w:val="none" w:sz="0" w:space="0" w:color="auto"/>
                    <w:right w:val="none" w:sz="0" w:space="0" w:color="auto"/>
                  </w:divBdr>
                  <w:divsChild>
                    <w:div w:id="450592634">
                      <w:marLeft w:val="0"/>
                      <w:marRight w:val="0"/>
                      <w:marTop w:val="0"/>
                      <w:marBottom w:val="0"/>
                      <w:divBdr>
                        <w:top w:val="none" w:sz="0" w:space="0" w:color="auto"/>
                        <w:left w:val="none" w:sz="0" w:space="0" w:color="auto"/>
                        <w:bottom w:val="none" w:sz="0" w:space="0" w:color="auto"/>
                        <w:right w:val="none" w:sz="0" w:space="0" w:color="auto"/>
                      </w:divBdr>
                    </w:div>
                  </w:divsChild>
                </w:div>
                <w:div w:id="1161777427">
                  <w:marLeft w:val="0"/>
                  <w:marRight w:val="0"/>
                  <w:marTop w:val="0"/>
                  <w:marBottom w:val="0"/>
                  <w:divBdr>
                    <w:top w:val="none" w:sz="0" w:space="0" w:color="auto"/>
                    <w:left w:val="none" w:sz="0" w:space="0" w:color="auto"/>
                    <w:bottom w:val="none" w:sz="0" w:space="0" w:color="auto"/>
                    <w:right w:val="none" w:sz="0" w:space="0" w:color="auto"/>
                  </w:divBdr>
                </w:div>
              </w:divsChild>
            </w:div>
            <w:div w:id="116072464">
              <w:marLeft w:val="0"/>
              <w:marRight w:val="0"/>
              <w:marTop w:val="150"/>
              <w:marBottom w:val="270"/>
              <w:divBdr>
                <w:top w:val="none" w:sz="0" w:space="0" w:color="auto"/>
                <w:left w:val="none" w:sz="0" w:space="0" w:color="auto"/>
                <w:bottom w:val="none" w:sz="0" w:space="0" w:color="auto"/>
                <w:right w:val="none" w:sz="0" w:space="0" w:color="auto"/>
              </w:divBdr>
              <w:divsChild>
                <w:div w:id="483666377">
                  <w:marLeft w:val="0"/>
                  <w:marRight w:val="0"/>
                  <w:marTop w:val="0"/>
                  <w:marBottom w:val="0"/>
                  <w:divBdr>
                    <w:top w:val="none" w:sz="0" w:space="0" w:color="auto"/>
                    <w:left w:val="none" w:sz="0" w:space="0" w:color="auto"/>
                    <w:bottom w:val="none" w:sz="0" w:space="0" w:color="auto"/>
                    <w:right w:val="none" w:sz="0" w:space="0" w:color="auto"/>
                  </w:divBdr>
                  <w:divsChild>
                    <w:div w:id="1124882395">
                      <w:marLeft w:val="0"/>
                      <w:marRight w:val="0"/>
                      <w:marTop w:val="0"/>
                      <w:marBottom w:val="0"/>
                      <w:divBdr>
                        <w:top w:val="none" w:sz="0" w:space="0" w:color="auto"/>
                        <w:left w:val="none" w:sz="0" w:space="0" w:color="auto"/>
                        <w:bottom w:val="none" w:sz="0" w:space="0" w:color="auto"/>
                        <w:right w:val="none" w:sz="0" w:space="0" w:color="auto"/>
                      </w:divBdr>
                    </w:div>
                  </w:divsChild>
                </w:div>
                <w:div w:id="227964401">
                  <w:marLeft w:val="0"/>
                  <w:marRight w:val="0"/>
                  <w:marTop w:val="0"/>
                  <w:marBottom w:val="0"/>
                  <w:divBdr>
                    <w:top w:val="none" w:sz="0" w:space="0" w:color="auto"/>
                    <w:left w:val="none" w:sz="0" w:space="0" w:color="auto"/>
                    <w:bottom w:val="none" w:sz="0" w:space="0" w:color="auto"/>
                    <w:right w:val="none" w:sz="0" w:space="0" w:color="auto"/>
                  </w:divBdr>
                </w:div>
                <w:div w:id="979458640">
                  <w:marLeft w:val="0"/>
                  <w:marRight w:val="0"/>
                  <w:marTop w:val="150"/>
                  <w:marBottom w:val="270"/>
                  <w:divBdr>
                    <w:top w:val="none" w:sz="0" w:space="0" w:color="auto"/>
                    <w:left w:val="none" w:sz="0" w:space="0" w:color="auto"/>
                    <w:bottom w:val="none" w:sz="0" w:space="0" w:color="auto"/>
                    <w:right w:val="none" w:sz="0" w:space="0" w:color="auto"/>
                  </w:divBdr>
                </w:div>
                <w:div w:id="1175192109">
                  <w:marLeft w:val="0"/>
                  <w:marRight w:val="0"/>
                  <w:marTop w:val="150"/>
                  <w:marBottom w:val="270"/>
                  <w:divBdr>
                    <w:top w:val="none" w:sz="0" w:space="0" w:color="auto"/>
                    <w:left w:val="none" w:sz="0" w:space="0" w:color="auto"/>
                    <w:bottom w:val="none" w:sz="0" w:space="0" w:color="auto"/>
                    <w:right w:val="none" w:sz="0" w:space="0" w:color="auto"/>
                  </w:divBdr>
                </w:div>
                <w:div w:id="2141417999">
                  <w:marLeft w:val="0"/>
                  <w:marRight w:val="0"/>
                  <w:marTop w:val="150"/>
                  <w:marBottom w:val="270"/>
                  <w:divBdr>
                    <w:top w:val="none" w:sz="0" w:space="0" w:color="auto"/>
                    <w:left w:val="none" w:sz="0" w:space="0" w:color="auto"/>
                    <w:bottom w:val="none" w:sz="0" w:space="0" w:color="auto"/>
                    <w:right w:val="none" w:sz="0" w:space="0" w:color="auto"/>
                  </w:divBdr>
                </w:div>
                <w:div w:id="1221985907">
                  <w:marLeft w:val="0"/>
                  <w:marRight w:val="0"/>
                  <w:marTop w:val="150"/>
                  <w:marBottom w:val="270"/>
                  <w:divBdr>
                    <w:top w:val="none" w:sz="0" w:space="0" w:color="auto"/>
                    <w:left w:val="none" w:sz="0" w:space="0" w:color="auto"/>
                    <w:bottom w:val="none" w:sz="0" w:space="0" w:color="auto"/>
                    <w:right w:val="none" w:sz="0" w:space="0" w:color="auto"/>
                  </w:divBdr>
                </w:div>
                <w:div w:id="2083142450">
                  <w:marLeft w:val="0"/>
                  <w:marRight w:val="0"/>
                  <w:marTop w:val="150"/>
                  <w:marBottom w:val="270"/>
                  <w:divBdr>
                    <w:top w:val="none" w:sz="0" w:space="0" w:color="auto"/>
                    <w:left w:val="none" w:sz="0" w:space="0" w:color="auto"/>
                    <w:bottom w:val="none" w:sz="0" w:space="0" w:color="auto"/>
                    <w:right w:val="none" w:sz="0" w:space="0" w:color="auto"/>
                  </w:divBdr>
                </w:div>
              </w:divsChild>
            </w:div>
          </w:divsChild>
        </w:div>
        <w:div w:id="1410032953">
          <w:marLeft w:val="0"/>
          <w:marRight w:val="0"/>
          <w:marTop w:val="0"/>
          <w:marBottom w:val="0"/>
          <w:divBdr>
            <w:top w:val="none" w:sz="0" w:space="0" w:color="auto"/>
            <w:left w:val="none" w:sz="0" w:space="0" w:color="auto"/>
            <w:bottom w:val="none" w:sz="0" w:space="0" w:color="auto"/>
            <w:right w:val="none" w:sz="0" w:space="0" w:color="auto"/>
          </w:divBdr>
          <w:divsChild>
            <w:div w:id="1499225871">
              <w:marLeft w:val="0"/>
              <w:marRight w:val="0"/>
              <w:marTop w:val="150"/>
              <w:marBottom w:val="270"/>
              <w:divBdr>
                <w:top w:val="none" w:sz="0" w:space="0" w:color="auto"/>
                <w:left w:val="none" w:sz="0" w:space="0" w:color="auto"/>
                <w:bottom w:val="none" w:sz="0" w:space="0" w:color="auto"/>
                <w:right w:val="none" w:sz="0" w:space="0" w:color="auto"/>
              </w:divBdr>
              <w:divsChild>
                <w:div w:id="2024165723">
                  <w:marLeft w:val="0"/>
                  <w:marRight w:val="0"/>
                  <w:marTop w:val="0"/>
                  <w:marBottom w:val="0"/>
                  <w:divBdr>
                    <w:top w:val="none" w:sz="0" w:space="0" w:color="auto"/>
                    <w:left w:val="none" w:sz="0" w:space="0" w:color="auto"/>
                    <w:bottom w:val="none" w:sz="0" w:space="0" w:color="auto"/>
                    <w:right w:val="none" w:sz="0" w:space="0" w:color="auto"/>
                  </w:divBdr>
                  <w:divsChild>
                    <w:div w:id="258564653">
                      <w:marLeft w:val="0"/>
                      <w:marRight w:val="0"/>
                      <w:marTop w:val="0"/>
                      <w:marBottom w:val="0"/>
                      <w:divBdr>
                        <w:top w:val="none" w:sz="0" w:space="0" w:color="auto"/>
                        <w:left w:val="none" w:sz="0" w:space="0" w:color="auto"/>
                        <w:bottom w:val="none" w:sz="0" w:space="0" w:color="auto"/>
                        <w:right w:val="none" w:sz="0" w:space="0" w:color="auto"/>
                      </w:divBdr>
                    </w:div>
                  </w:divsChild>
                </w:div>
                <w:div w:id="939293834">
                  <w:marLeft w:val="0"/>
                  <w:marRight w:val="0"/>
                  <w:marTop w:val="0"/>
                  <w:marBottom w:val="0"/>
                  <w:divBdr>
                    <w:top w:val="none" w:sz="0" w:space="0" w:color="auto"/>
                    <w:left w:val="none" w:sz="0" w:space="0" w:color="auto"/>
                    <w:bottom w:val="none" w:sz="0" w:space="0" w:color="auto"/>
                    <w:right w:val="none" w:sz="0" w:space="0" w:color="auto"/>
                  </w:divBdr>
                </w:div>
                <w:div w:id="2081366291">
                  <w:marLeft w:val="0"/>
                  <w:marRight w:val="0"/>
                  <w:marTop w:val="0"/>
                  <w:marBottom w:val="0"/>
                  <w:divBdr>
                    <w:top w:val="none" w:sz="0" w:space="0" w:color="auto"/>
                    <w:left w:val="none" w:sz="0" w:space="0" w:color="auto"/>
                    <w:bottom w:val="none" w:sz="0" w:space="0" w:color="auto"/>
                    <w:right w:val="none" w:sz="0" w:space="0" w:color="auto"/>
                  </w:divBdr>
                  <w:divsChild>
                    <w:div w:id="1532257373">
                      <w:marLeft w:val="0"/>
                      <w:marRight w:val="0"/>
                      <w:marTop w:val="0"/>
                      <w:marBottom w:val="0"/>
                      <w:divBdr>
                        <w:top w:val="none" w:sz="0" w:space="0" w:color="auto"/>
                        <w:left w:val="none" w:sz="0" w:space="0" w:color="auto"/>
                        <w:bottom w:val="none" w:sz="0" w:space="0" w:color="auto"/>
                        <w:right w:val="none" w:sz="0" w:space="0" w:color="auto"/>
                      </w:divBdr>
                    </w:div>
                  </w:divsChild>
                </w:div>
                <w:div w:id="1690133200">
                  <w:marLeft w:val="0"/>
                  <w:marRight w:val="0"/>
                  <w:marTop w:val="0"/>
                  <w:marBottom w:val="0"/>
                  <w:divBdr>
                    <w:top w:val="none" w:sz="0" w:space="0" w:color="auto"/>
                    <w:left w:val="none" w:sz="0" w:space="0" w:color="auto"/>
                    <w:bottom w:val="none" w:sz="0" w:space="0" w:color="auto"/>
                    <w:right w:val="none" w:sz="0" w:space="0" w:color="auto"/>
                  </w:divBdr>
                </w:div>
              </w:divsChild>
            </w:div>
            <w:div w:id="10911081">
              <w:marLeft w:val="0"/>
              <w:marRight w:val="0"/>
              <w:marTop w:val="150"/>
              <w:marBottom w:val="270"/>
              <w:divBdr>
                <w:top w:val="none" w:sz="0" w:space="0" w:color="auto"/>
                <w:left w:val="none" w:sz="0" w:space="0" w:color="auto"/>
                <w:bottom w:val="none" w:sz="0" w:space="0" w:color="auto"/>
                <w:right w:val="none" w:sz="0" w:space="0" w:color="auto"/>
              </w:divBdr>
              <w:divsChild>
                <w:div w:id="1403718597">
                  <w:marLeft w:val="0"/>
                  <w:marRight w:val="0"/>
                  <w:marTop w:val="0"/>
                  <w:marBottom w:val="0"/>
                  <w:divBdr>
                    <w:top w:val="none" w:sz="0" w:space="0" w:color="auto"/>
                    <w:left w:val="none" w:sz="0" w:space="0" w:color="auto"/>
                    <w:bottom w:val="none" w:sz="0" w:space="0" w:color="auto"/>
                    <w:right w:val="none" w:sz="0" w:space="0" w:color="auto"/>
                  </w:divBdr>
                  <w:divsChild>
                    <w:div w:id="1790737849">
                      <w:marLeft w:val="0"/>
                      <w:marRight w:val="0"/>
                      <w:marTop w:val="0"/>
                      <w:marBottom w:val="0"/>
                      <w:divBdr>
                        <w:top w:val="none" w:sz="0" w:space="0" w:color="auto"/>
                        <w:left w:val="none" w:sz="0" w:space="0" w:color="auto"/>
                        <w:bottom w:val="none" w:sz="0" w:space="0" w:color="auto"/>
                        <w:right w:val="none" w:sz="0" w:space="0" w:color="auto"/>
                      </w:divBdr>
                    </w:div>
                  </w:divsChild>
                </w:div>
                <w:div w:id="180706451">
                  <w:marLeft w:val="0"/>
                  <w:marRight w:val="0"/>
                  <w:marTop w:val="0"/>
                  <w:marBottom w:val="0"/>
                  <w:divBdr>
                    <w:top w:val="none" w:sz="0" w:space="0" w:color="auto"/>
                    <w:left w:val="none" w:sz="0" w:space="0" w:color="auto"/>
                    <w:bottom w:val="none" w:sz="0" w:space="0" w:color="auto"/>
                    <w:right w:val="none" w:sz="0" w:space="0" w:color="auto"/>
                  </w:divBdr>
                </w:div>
                <w:div w:id="2130082206">
                  <w:marLeft w:val="0"/>
                  <w:marRight w:val="0"/>
                  <w:marTop w:val="0"/>
                  <w:marBottom w:val="0"/>
                  <w:divBdr>
                    <w:top w:val="none" w:sz="0" w:space="0" w:color="auto"/>
                    <w:left w:val="none" w:sz="0" w:space="0" w:color="auto"/>
                    <w:bottom w:val="none" w:sz="0" w:space="0" w:color="auto"/>
                    <w:right w:val="none" w:sz="0" w:space="0" w:color="auto"/>
                  </w:divBdr>
                  <w:divsChild>
                    <w:div w:id="214853396">
                      <w:marLeft w:val="0"/>
                      <w:marRight w:val="0"/>
                      <w:marTop w:val="0"/>
                      <w:marBottom w:val="0"/>
                      <w:divBdr>
                        <w:top w:val="none" w:sz="0" w:space="0" w:color="auto"/>
                        <w:left w:val="none" w:sz="0" w:space="0" w:color="auto"/>
                        <w:bottom w:val="none" w:sz="0" w:space="0" w:color="auto"/>
                        <w:right w:val="none" w:sz="0" w:space="0" w:color="auto"/>
                      </w:divBdr>
                    </w:div>
                  </w:divsChild>
                </w:div>
                <w:div w:id="1364818814">
                  <w:marLeft w:val="0"/>
                  <w:marRight w:val="0"/>
                  <w:marTop w:val="0"/>
                  <w:marBottom w:val="0"/>
                  <w:divBdr>
                    <w:top w:val="none" w:sz="0" w:space="0" w:color="auto"/>
                    <w:left w:val="none" w:sz="0" w:space="0" w:color="auto"/>
                    <w:bottom w:val="none" w:sz="0" w:space="0" w:color="auto"/>
                    <w:right w:val="none" w:sz="0" w:space="0" w:color="auto"/>
                  </w:divBdr>
                </w:div>
                <w:div w:id="996616447">
                  <w:marLeft w:val="0"/>
                  <w:marRight w:val="0"/>
                  <w:marTop w:val="0"/>
                  <w:marBottom w:val="0"/>
                  <w:divBdr>
                    <w:top w:val="none" w:sz="0" w:space="0" w:color="auto"/>
                    <w:left w:val="none" w:sz="0" w:space="0" w:color="auto"/>
                    <w:bottom w:val="none" w:sz="0" w:space="0" w:color="auto"/>
                    <w:right w:val="none" w:sz="0" w:space="0" w:color="auto"/>
                  </w:divBdr>
                  <w:divsChild>
                    <w:div w:id="788860557">
                      <w:marLeft w:val="0"/>
                      <w:marRight w:val="0"/>
                      <w:marTop w:val="0"/>
                      <w:marBottom w:val="0"/>
                      <w:divBdr>
                        <w:top w:val="none" w:sz="0" w:space="0" w:color="auto"/>
                        <w:left w:val="none" w:sz="0" w:space="0" w:color="auto"/>
                        <w:bottom w:val="none" w:sz="0" w:space="0" w:color="auto"/>
                        <w:right w:val="none" w:sz="0" w:space="0" w:color="auto"/>
                      </w:divBdr>
                    </w:div>
                  </w:divsChild>
                </w:div>
                <w:div w:id="1377318926">
                  <w:marLeft w:val="0"/>
                  <w:marRight w:val="0"/>
                  <w:marTop w:val="0"/>
                  <w:marBottom w:val="0"/>
                  <w:divBdr>
                    <w:top w:val="none" w:sz="0" w:space="0" w:color="auto"/>
                    <w:left w:val="none" w:sz="0" w:space="0" w:color="auto"/>
                    <w:bottom w:val="none" w:sz="0" w:space="0" w:color="auto"/>
                    <w:right w:val="none" w:sz="0" w:space="0" w:color="auto"/>
                  </w:divBdr>
                </w:div>
              </w:divsChild>
            </w:div>
            <w:div w:id="737362634">
              <w:marLeft w:val="0"/>
              <w:marRight w:val="0"/>
              <w:marTop w:val="150"/>
              <w:marBottom w:val="270"/>
              <w:divBdr>
                <w:top w:val="none" w:sz="0" w:space="0" w:color="auto"/>
                <w:left w:val="none" w:sz="0" w:space="0" w:color="auto"/>
                <w:bottom w:val="none" w:sz="0" w:space="0" w:color="auto"/>
                <w:right w:val="none" w:sz="0" w:space="0" w:color="auto"/>
              </w:divBdr>
              <w:divsChild>
                <w:div w:id="1409426719">
                  <w:marLeft w:val="0"/>
                  <w:marRight w:val="0"/>
                  <w:marTop w:val="0"/>
                  <w:marBottom w:val="0"/>
                  <w:divBdr>
                    <w:top w:val="none" w:sz="0" w:space="0" w:color="auto"/>
                    <w:left w:val="none" w:sz="0" w:space="0" w:color="auto"/>
                    <w:bottom w:val="none" w:sz="0" w:space="0" w:color="auto"/>
                    <w:right w:val="none" w:sz="0" w:space="0" w:color="auto"/>
                  </w:divBdr>
                  <w:divsChild>
                    <w:div w:id="1590238706">
                      <w:marLeft w:val="0"/>
                      <w:marRight w:val="0"/>
                      <w:marTop w:val="0"/>
                      <w:marBottom w:val="0"/>
                      <w:divBdr>
                        <w:top w:val="none" w:sz="0" w:space="0" w:color="auto"/>
                        <w:left w:val="none" w:sz="0" w:space="0" w:color="auto"/>
                        <w:bottom w:val="none" w:sz="0" w:space="0" w:color="auto"/>
                        <w:right w:val="none" w:sz="0" w:space="0" w:color="auto"/>
                      </w:divBdr>
                    </w:div>
                  </w:divsChild>
                </w:div>
                <w:div w:id="517155966">
                  <w:marLeft w:val="0"/>
                  <w:marRight w:val="0"/>
                  <w:marTop w:val="0"/>
                  <w:marBottom w:val="0"/>
                  <w:divBdr>
                    <w:top w:val="none" w:sz="0" w:space="0" w:color="auto"/>
                    <w:left w:val="none" w:sz="0" w:space="0" w:color="auto"/>
                    <w:bottom w:val="none" w:sz="0" w:space="0" w:color="auto"/>
                    <w:right w:val="none" w:sz="0" w:space="0" w:color="auto"/>
                  </w:divBdr>
                </w:div>
                <w:div w:id="382827521">
                  <w:marLeft w:val="0"/>
                  <w:marRight w:val="0"/>
                  <w:marTop w:val="0"/>
                  <w:marBottom w:val="0"/>
                  <w:divBdr>
                    <w:top w:val="none" w:sz="0" w:space="0" w:color="auto"/>
                    <w:left w:val="none" w:sz="0" w:space="0" w:color="auto"/>
                    <w:bottom w:val="none" w:sz="0" w:space="0" w:color="auto"/>
                    <w:right w:val="none" w:sz="0" w:space="0" w:color="auto"/>
                  </w:divBdr>
                  <w:divsChild>
                    <w:div w:id="71585948">
                      <w:marLeft w:val="0"/>
                      <w:marRight w:val="0"/>
                      <w:marTop w:val="0"/>
                      <w:marBottom w:val="0"/>
                      <w:divBdr>
                        <w:top w:val="none" w:sz="0" w:space="0" w:color="auto"/>
                        <w:left w:val="none" w:sz="0" w:space="0" w:color="auto"/>
                        <w:bottom w:val="none" w:sz="0" w:space="0" w:color="auto"/>
                        <w:right w:val="none" w:sz="0" w:space="0" w:color="auto"/>
                      </w:divBdr>
                    </w:div>
                  </w:divsChild>
                </w:div>
                <w:div w:id="171384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117197">
          <w:marLeft w:val="0"/>
          <w:marRight w:val="0"/>
          <w:marTop w:val="0"/>
          <w:marBottom w:val="0"/>
          <w:divBdr>
            <w:top w:val="none" w:sz="0" w:space="0" w:color="auto"/>
            <w:left w:val="none" w:sz="0" w:space="0" w:color="auto"/>
            <w:bottom w:val="none" w:sz="0" w:space="0" w:color="auto"/>
            <w:right w:val="none" w:sz="0" w:space="0" w:color="auto"/>
          </w:divBdr>
        </w:div>
        <w:div w:id="1489245521">
          <w:marLeft w:val="0"/>
          <w:marRight w:val="0"/>
          <w:marTop w:val="0"/>
          <w:marBottom w:val="0"/>
          <w:divBdr>
            <w:top w:val="none" w:sz="0" w:space="0" w:color="auto"/>
            <w:left w:val="none" w:sz="0" w:space="0" w:color="auto"/>
            <w:bottom w:val="none" w:sz="0" w:space="0" w:color="auto"/>
            <w:right w:val="none" w:sz="0" w:space="0" w:color="auto"/>
          </w:divBdr>
        </w:div>
        <w:div w:id="1680085564">
          <w:marLeft w:val="0"/>
          <w:marRight w:val="0"/>
          <w:marTop w:val="0"/>
          <w:marBottom w:val="0"/>
          <w:divBdr>
            <w:top w:val="none" w:sz="0" w:space="0" w:color="auto"/>
            <w:left w:val="none" w:sz="0" w:space="0" w:color="auto"/>
            <w:bottom w:val="none" w:sz="0" w:space="0" w:color="auto"/>
            <w:right w:val="none" w:sz="0" w:space="0" w:color="auto"/>
          </w:divBdr>
        </w:div>
      </w:divsChild>
    </w:div>
    <w:div w:id="1225261278">
      <w:bodyDiv w:val="1"/>
      <w:marLeft w:val="0"/>
      <w:marRight w:val="0"/>
      <w:marTop w:val="0"/>
      <w:marBottom w:val="0"/>
      <w:divBdr>
        <w:top w:val="none" w:sz="0" w:space="0" w:color="auto"/>
        <w:left w:val="none" w:sz="0" w:space="0" w:color="auto"/>
        <w:bottom w:val="none" w:sz="0" w:space="0" w:color="auto"/>
        <w:right w:val="none" w:sz="0" w:space="0" w:color="auto"/>
      </w:divBdr>
      <w:divsChild>
        <w:div w:id="1937785500">
          <w:marLeft w:val="0"/>
          <w:marRight w:val="0"/>
          <w:marTop w:val="0"/>
          <w:marBottom w:val="0"/>
          <w:divBdr>
            <w:top w:val="none" w:sz="0" w:space="0" w:color="auto"/>
            <w:left w:val="none" w:sz="0" w:space="0" w:color="auto"/>
            <w:bottom w:val="none" w:sz="0" w:space="0" w:color="auto"/>
            <w:right w:val="none" w:sz="0" w:space="0" w:color="auto"/>
          </w:divBdr>
        </w:div>
        <w:div w:id="1959406530">
          <w:marLeft w:val="0"/>
          <w:marRight w:val="0"/>
          <w:marTop w:val="0"/>
          <w:marBottom w:val="0"/>
          <w:divBdr>
            <w:top w:val="none" w:sz="0" w:space="0" w:color="auto"/>
            <w:left w:val="none" w:sz="0" w:space="0" w:color="auto"/>
            <w:bottom w:val="none" w:sz="0" w:space="0" w:color="auto"/>
            <w:right w:val="none" w:sz="0" w:space="0" w:color="auto"/>
          </w:divBdr>
        </w:div>
        <w:div w:id="1191533373">
          <w:marLeft w:val="0"/>
          <w:marRight w:val="0"/>
          <w:marTop w:val="0"/>
          <w:marBottom w:val="0"/>
          <w:divBdr>
            <w:top w:val="none" w:sz="0" w:space="0" w:color="auto"/>
            <w:left w:val="none" w:sz="0" w:space="0" w:color="auto"/>
            <w:bottom w:val="none" w:sz="0" w:space="0" w:color="auto"/>
            <w:right w:val="none" w:sz="0" w:space="0" w:color="auto"/>
          </w:divBdr>
        </w:div>
      </w:divsChild>
    </w:div>
    <w:div w:id="1832600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oi.org/10.1353/clw.2018.0074"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50727AF-50E4-45AF-B052-FC480D83B9C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43C5D4E-4AF6-454E-9093-46519068EECF}">
  <ds:schemaRefs>
    <ds:schemaRef ds:uri="http://schemas.microsoft.com/sharepoint/v3/contenttype/forms"/>
  </ds:schemaRefs>
</ds:datastoreItem>
</file>

<file path=customXml/itemProps3.xml><?xml version="1.0" encoding="utf-8"?>
<ds:datastoreItem xmlns:ds="http://schemas.openxmlformats.org/officeDocument/2006/customXml" ds:itemID="{719D56F7-519B-4D12-B17D-77A209D529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1112</Words>
  <Characters>6344</Characters>
  <Application>Microsoft Office Word</Application>
  <DocSecurity>8</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9</cp:revision>
  <dcterms:created xsi:type="dcterms:W3CDTF">2019-10-09T17:44:00Z</dcterms:created>
  <dcterms:modified xsi:type="dcterms:W3CDTF">2019-11-04T16:42:00Z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