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144F9" w14:textId="77777777" w:rsidR="00C56081" w:rsidRPr="000B250B" w:rsidRDefault="00C56081" w:rsidP="001D2A54">
      <w:pPr>
        <w:pStyle w:val="Title"/>
        <w:rPr>
          <w:color w:val="000000" w:themeColor="text1"/>
        </w:rPr>
      </w:pPr>
      <w:r w:rsidRPr="000B250B">
        <w:rPr>
          <w:color w:val="000000" w:themeColor="text1"/>
        </w:rPr>
        <w:t>Causality and Creati</w:t>
      </w:r>
      <w:bookmarkStart w:id="0" w:name="_GoBack"/>
      <w:bookmarkEnd w:id="0"/>
      <w:r w:rsidRPr="000B250B">
        <w:rPr>
          <w:color w:val="000000" w:themeColor="text1"/>
        </w:rPr>
        <w:t>on in C</w:t>
      </w:r>
      <w:r w:rsidR="001D2A54" w:rsidRPr="000B250B">
        <w:rPr>
          <w:color w:val="000000" w:themeColor="text1"/>
        </w:rPr>
        <w:t>h</w:t>
      </w:r>
      <w:r w:rsidRPr="000B250B">
        <w:rPr>
          <w:color w:val="000000" w:themeColor="text1"/>
        </w:rPr>
        <w:t xml:space="preserve">asidic </w:t>
      </w:r>
      <w:proofErr w:type="spellStart"/>
      <w:r w:rsidRPr="000B250B">
        <w:rPr>
          <w:color w:val="000000" w:themeColor="text1"/>
        </w:rPr>
        <w:t>Kabbalism</w:t>
      </w:r>
      <w:proofErr w:type="spellEnd"/>
    </w:p>
    <w:p w14:paraId="66300E06" w14:textId="77777777" w:rsidR="001D2A54" w:rsidRPr="000B250B" w:rsidRDefault="001D2A54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*Times New Roman-BoldItalic-808" w:hAnsi="*Times New Roman-BoldItalic-808" w:cs="*Times New Roman-BoldItalic-808"/>
          <w:b/>
          <w:bCs/>
          <w:i/>
          <w:iCs/>
          <w:color w:val="000000" w:themeColor="text1"/>
          <w:sz w:val="28"/>
          <w:szCs w:val="28"/>
        </w:rPr>
      </w:pPr>
    </w:p>
    <w:p w14:paraId="5C96E8E6" w14:textId="77777777" w:rsidR="00C56081" w:rsidRPr="000B250B" w:rsidRDefault="00C56081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*Times New Roman-BoldItalic-808" w:hAnsi="*Times New Roman-BoldItalic-808" w:cs="*Times New Roman-BoldItalic-808"/>
          <w:b/>
          <w:bCs/>
          <w:i/>
          <w:iCs/>
          <w:color w:val="000000" w:themeColor="text1"/>
          <w:sz w:val="28"/>
          <w:szCs w:val="28"/>
        </w:rPr>
      </w:pPr>
      <w:r w:rsidRPr="000B250B">
        <w:rPr>
          <w:rFonts w:ascii="*Times New Roman-BoldItalic-808" w:hAnsi="*Times New Roman-BoldItalic-808" w:cs="*Times New Roman-BoldItalic-808"/>
          <w:b/>
          <w:bCs/>
          <w:i/>
          <w:iCs/>
          <w:color w:val="000000" w:themeColor="text1"/>
          <w:sz w:val="28"/>
          <w:szCs w:val="28"/>
        </w:rPr>
        <w:t>Owen Goldin</w:t>
      </w:r>
    </w:p>
    <w:p w14:paraId="2471AEE6" w14:textId="77777777" w:rsidR="00C56081" w:rsidRPr="000B250B" w:rsidRDefault="00C56081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*Times New Roman-BoldItalic-808" w:hAnsi="*Times New Roman-BoldItalic-808" w:cs="*Times New Roman-BoldItalic-808"/>
          <w:b/>
          <w:bCs/>
          <w:i/>
          <w:iCs/>
          <w:color w:val="000000" w:themeColor="text1"/>
          <w:sz w:val="28"/>
          <w:szCs w:val="28"/>
        </w:rPr>
      </w:pPr>
    </w:p>
    <w:p w14:paraId="384F843F" w14:textId="77777777" w:rsidR="00000A01" w:rsidRPr="000B250B" w:rsidRDefault="00000A01" w:rsidP="001D2A5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b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A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n important strain of medieval Jewish thought, kabbala,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finds its most explicit and rationalistic exposition within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the Chasidic philosophical tradition. A key work is the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of R.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of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Liadi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("the Alter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Rebbe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,"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1745-1812) the founder of the Lubavitch or Chabad movement.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Kabbalistic interpretation, speculation, and practice had been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traditionally understood to be too dangerous for all but those who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had reached the highest levels of spiritual and intellectual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achievement. For R.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, on the other hand, all people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share the intellectual faculties by which the metaphysical structure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of the cosmos can to some extent be grasped. A straightforward,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philosophical exposition of these teachings could allow all who</w:t>
      </w:r>
    </w:p>
    <w:p w14:paraId="5D9144CB" w14:textId="77777777" w:rsidR="00000A01" w:rsidRPr="000B250B" w:rsidRDefault="00000A01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study it to understand as much as they are able, which, he thought,</w:t>
      </w:r>
      <w:r w:rsidR="001D2A54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could only be to the good.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</w:p>
    <w:p w14:paraId="29090CC5" w14:textId="77777777" w:rsidR="00FB3A37" w:rsidRPr="000B250B" w:rsidRDefault="00000A01" w:rsidP="009E105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b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The second book of the </w:t>
      </w:r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Tanya, </w:t>
      </w:r>
      <w:proofErr w:type="spellStart"/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Shaar</w:t>
      </w:r>
      <w:proofErr w:type="spellEnd"/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HaYichud</w:t>
      </w:r>
      <w:proofErr w:type="spellEnd"/>
      <w:r w:rsidR="001D2A54"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VehaEmunah</w:t>
      </w:r>
      <w:proofErr w:type="spellEnd"/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 (</w:t>
      </w:r>
      <w:r w:rsidR="009E1052"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T</w:t>
      </w:r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he Gate to [the Understanding of} G-d 's Unity and</w:t>
      </w:r>
      <w:r w:rsidR="009E1052"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the Faith)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deals with the relation between the existence of God and</w:t>
      </w:r>
      <w:r w:rsidR="009E1052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that of other things, most importantly, that of human beings. R.</w:t>
      </w:r>
      <w:r w:rsidR="009E1052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argues that, if God is the truly first cause, He must</w:t>
      </w:r>
      <w:r w:rsidR="009E1052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be self-suffici</w:t>
      </w:r>
      <w:r w:rsidR="009E1052" w:rsidRPr="000B250B">
        <w:rPr>
          <w:rFonts w:ascii="Times New Roman" w:hAnsi="Times New Roman" w:cs="Times New Roman"/>
          <w:bCs/>
          <w:color w:val="000000" w:themeColor="text1"/>
          <w:szCs w:val="24"/>
        </w:rPr>
        <w:t>e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nt, which in turn means that He lacks nothing </w:t>
      </w:r>
    </w:p>
    <w:p w14:paraId="5B3BA00E" w14:textId="77777777" w:rsidR="00000A01" w:rsidRPr="000B250B" w:rsidRDefault="00000A01" w:rsidP="009E1052">
      <w:pPr>
        <w:spacing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bCs/>
          <w:color w:val="000000" w:themeColor="text1"/>
          <w:szCs w:val="24"/>
        </w:rPr>
        <w:t>59</w:t>
      </w:r>
    </w:p>
    <w:p w14:paraId="197825A9" w14:textId="77777777" w:rsidR="00000A01" w:rsidRPr="000B250B" w:rsidRDefault="00000A01" w:rsidP="009E10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60 </w:t>
      </w:r>
      <w:r w:rsidRPr="000B250B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Owen Goldin</w:t>
      </w:r>
    </w:p>
    <w:p w14:paraId="31497F70" w14:textId="77777777" w:rsidR="00DA278C" w:rsidRPr="000B250B" w:rsidRDefault="00DA278C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BAACA9F" w14:textId="77777777" w:rsidR="00000A01" w:rsidRPr="000B250B" w:rsidRDefault="00000A01" w:rsidP="00DA278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required for the exercise of His causal power. Monism is the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logical consequence,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for if there were anything other than God, in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regard to which He exercises His power, such exercise would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depend on this external thing, and for this reason God would no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longer be self-sufficient and all-powerful.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3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Nonetheless, there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appears to be a multiplicity of objects; this multiplicity is consigned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to how things seem to us, in a manner that is reminiscent of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Parmenidean distinction between being and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doxa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(appearance).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Given that this multiplicity is, in reality (that is, from the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perspective of God) merely the one God, God is responsible for</w:t>
      </w:r>
      <w:r w:rsidR="009E105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every detail within the phenomenal world.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4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This is not to say that</w:t>
      </w:r>
      <w:r w:rsidR="00DA278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regularities that the phenomenal world exhibits have no ground</w:t>
      </w:r>
      <w:r w:rsidR="00DA278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at all other than their divine origin.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dovetails</w:t>
      </w:r>
      <w:r w:rsidR="00DA278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an essentialist account of things within his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occasionalistic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monistic</w:t>
      </w:r>
    </w:p>
    <w:p w14:paraId="122C14EC" w14:textId="77777777" w:rsidR="0018348E" w:rsidRPr="000B250B" w:rsidRDefault="0018348E" w:rsidP="00DA278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02B6F96" w14:textId="77777777" w:rsidR="00000A01" w:rsidRPr="000B250B" w:rsidRDefault="00000A01" w:rsidP="001834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>Causality and Creation 61</w:t>
      </w:r>
    </w:p>
    <w:p w14:paraId="5D649CC4" w14:textId="77777777" w:rsidR="0018348E" w:rsidRPr="000B250B" w:rsidRDefault="0018348E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7DEEBC8" w14:textId="77777777" w:rsidR="00000A01" w:rsidRPr="000B250B" w:rsidRDefault="00000A01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metaphysics.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5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The regularities within the world can be rendered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intelligible by showing how as a matter of logical necessity they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are entailed by these essences. But the existence of a thing with a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certain essence, and the set of the essences that there are, are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contingent, at every moment brought about through an act of divine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causation. (The essences of things are understood as resultant from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combination and arrangement of the letters that make up their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Hebrew names.)</w:t>
      </w:r>
    </w:p>
    <w:p w14:paraId="3E085D07" w14:textId="77777777" w:rsidR="001076D1" w:rsidRPr="000B250B" w:rsidRDefault="00000A01" w:rsidP="0018348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acknowledges that the existence of the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world cannot be really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explained;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nature of divine causality is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far beyond the grasp of the human mind. Nonetheless, he presents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 account of it, by developing the metaphors of light and speech.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61E5BBAB" w14:textId="77777777" w:rsidR="00000A01" w:rsidRPr="000B250B" w:rsidRDefault="00000A01" w:rsidP="0018348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lastRenderedPageBreak/>
        <w:t xml:space="preserve">The positive account developed within the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can be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best understood ·in contrast to the classical notions of causality that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would have been familiar to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through his</w:t>
      </w:r>
      <w:r w:rsidR="0018348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extensive reading in medieval Jewish philosophy.</w:t>
      </w:r>
    </w:p>
    <w:p w14:paraId="455D7F10" w14:textId="77777777" w:rsidR="00000A01" w:rsidRPr="000B250B" w:rsidRDefault="00000A01" w:rsidP="001076D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What sort of causal link between one event and another is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it that we can immediately understand? Consider what occurs when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someone, call him Michael, hands a letter to someone else, call him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Sam. What is the cause of Sam's having the letter? Clearly it is the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fact that Michael handed over the letter. This event explains Sam's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possession of the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letter, and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renders this fact intelligible. There is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 necessary link between being given a letter and possessing a</w:t>
      </w:r>
    </w:p>
    <w:p w14:paraId="2EE070E4" w14:textId="77777777" w:rsidR="001076D1" w:rsidRPr="000B250B" w:rsidRDefault="001076D1" w:rsidP="001076D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35799C4" w14:textId="77777777" w:rsidR="0054740C" w:rsidRPr="000B250B" w:rsidRDefault="0054740C" w:rsidP="001076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62 </w:t>
      </w:r>
      <w:r w:rsidRPr="000B250B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Owen Goldin</w:t>
      </w:r>
    </w:p>
    <w:p w14:paraId="02B2E43A" w14:textId="77777777" w:rsidR="001076D1" w:rsidRPr="000B250B" w:rsidRDefault="001076D1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3EA2777" w14:textId="77777777" w:rsidR="00000A01" w:rsidRPr="000B250B" w:rsidRDefault="0054740C" w:rsidP="001076D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  <w:vertAlign w:val="superscript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letter. Consider another case: fire warms the metal which is placed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near it. On a naive understanding of heat and physical objects, here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too something is being given over from one thing to another. The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heat of the fire is transmitted, as it were, to the metal. A third case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is that of the sun, and its light. The sun radiates its light, which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allows it to be seen, in such a way that it allows other things to be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seen. In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all of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these cases, the fact that B is C is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explained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by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showing how this is necessitated6 by the fact that C is given to B</w:t>
      </w:r>
      <w:r w:rsidR="001076D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by A.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7</w:t>
      </w:r>
    </w:p>
    <w:p w14:paraId="68F8C205" w14:textId="77777777" w:rsidR="001076D1" w:rsidRPr="000B250B" w:rsidRDefault="001076D1" w:rsidP="001076D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A3816BB" w14:textId="77777777" w:rsidR="0054740C" w:rsidRPr="000B250B" w:rsidRDefault="0054740C" w:rsidP="001076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>Causality and Creation 63</w:t>
      </w:r>
    </w:p>
    <w:p w14:paraId="44CCC067" w14:textId="77777777" w:rsidR="001076D1" w:rsidRPr="000B250B" w:rsidRDefault="001076D1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DFDF94B" w14:textId="77777777" w:rsidR="0054740C" w:rsidRPr="000B250B" w:rsidRDefault="0054740C" w:rsidP="0090327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Such explanations rely on what A. C. Lloyd has called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''The Transmission Model of Causality," pervasive in Western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philosophical thought.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8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Its most comprehensive and systematic use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was in the natural philosophy of Aristotle, to which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would have been exposed, in his reading of Maimonides.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Although within Aristotle's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Posterior Analytics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little is said of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explanation through the identification of the efficient cause, in his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physical and biological treatises, Aristotle identifies a great number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of links between efficient cause and effect which conform to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transmission model. Just as the fire imparts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it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own heat to the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object sitting near it, so an animal is thought to transmit its own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species-form to its offspring. The series of regular natural events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is to be understood as a series of basic stuffs or beings in the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process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ofbeing·transmitted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from source to recipient. In each case,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given appropriate contact, a thing which is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actually x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must transmit</w:t>
      </w:r>
      <w:r w:rsidR="0090327F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x to that which is only potentially x.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9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God's activity too, was</w:t>
      </w:r>
    </w:p>
    <w:p w14:paraId="1351B633" w14:textId="77777777" w:rsidR="007A7432" w:rsidRPr="000B250B" w:rsidRDefault="007A7432" w:rsidP="0090327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0C7710F" w14:textId="77777777" w:rsidR="0054740C" w:rsidRPr="000B250B" w:rsidRDefault="0054740C" w:rsidP="007A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64 </w:t>
      </w:r>
      <w:r w:rsidRPr="000B250B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Owen Goldin</w:t>
      </w:r>
    </w:p>
    <w:p w14:paraId="3E491E92" w14:textId="77777777" w:rsidR="007A7432" w:rsidRPr="000B250B" w:rsidRDefault="007A7432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</w:p>
    <w:p w14:paraId="1626A3E1" w14:textId="77777777" w:rsidR="0054740C" w:rsidRPr="000B250B" w:rsidRDefault="0054740C" w:rsidP="007A743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understood in this way, especially among the Greek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neoplatonists</w:t>
      </w:r>
      <w:proofErr w:type="spellEnd"/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and the Arab </w:t>
      </w:r>
      <w:proofErr w:type="spellStart"/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Aristote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)ians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>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10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God is thought to be the cause of the</w:t>
      </w:r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being of things by virtue of imparting the being that He has in</w:t>
      </w:r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Himself. The analogy is often made to the sun, which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iJluminates</w:t>
      </w:r>
      <w:proofErr w:type="spellEnd"/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all things by imparting its own light.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11</w:t>
      </w:r>
    </w:p>
    <w:p w14:paraId="6369A43C" w14:textId="77777777" w:rsidR="0054740C" w:rsidRPr="000B250B" w:rsidRDefault="0054740C" w:rsidP="007A7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Causality and Creation </w:t>
      </w:r>
      <w:r w:rsidRPr="000B250B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65</w:t>
      </w:r>
    </w:p>
    <w:p w14:paraId="66CE8629" w14:textId="77777777" w:rsidR="007A7432" w:rsidRPr="000B250B" w:rsidRDefault="007A7432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BFDB01C" w14:textId="77777777" w:rsidR="0054740C" w:rsidRPr="000B250B" w:rsidRDefault="0054740C" w:rsidP="007A743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But it would seem as though causality as transmission is</w:t>
      </w:r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incompatible with monism. Must not that which is imparted, and</w:t>
      </w:r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that which receives it, be truly different from that which is doing</w:t>
      </w:r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imparting?</w:t>
      </w:r>
    </w:p>
    <w:p w14:paraId="6E59D426" w14:textId="77777777" w:rsidR="0054740C" w:rsidRPr="000B250B" w:rsidRDefault="0054740C" w:rsidP="00DC039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Perhaps multiplicity itself is that which is being imparted</w:t>
      </w:r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to the world. But, in accordance with the Transmission Model, the</w:t>
      </w:r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source of the multiplicity would already have multiplicity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lastRenderedPageBreak/>
        <w:t>within</w:t>
      </w:r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it. But this is incompatible with monotheism and,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 fortiori,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with</w:t>
      </w:r>
      <w:r w:rsidR="007A743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monism which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takes to be fundamental to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Judaism.</w:t>
      </w:r>
    </w:p>
    <w:p w14:paraId="072C9591" w14:textId="77777777" w:rsidR="0054740C" w:rsidRPr="000B250B" w:rsidRDefault="0054740C" w:rsidP="00DC039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If, as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2.1 declares, love of God is to rest on knowledge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of God, the transmission model of causality, accepted as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furnishing a complete understanding of what it is to cause either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something to exist or an event to occur, would be dangerous to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Jewish life. But within the second book of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 alternative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account of causation is put forward, to the end of rendering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partially intelligible God's activity upon and in the world.</w:t>
      </w:r>
    </w:p>
    <w:p w14:paraId="5472948C" w14:textId="77777777" w:rsidR="00DC0391" w:rsidRPr="000B250B" w:rsidRDefault="00DC0391" w:rsidP="00DC039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AB99387" w14:textId="77777777" w:rsidR="0054740C" w:rsidRPr="000B250B" w:rsidRDefault="0054740C" w:rsidP="00DC0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***</w:t>
      </w:r>
    </w:p>
    <w:p w14:paraId="4C5D859F" w14:textId="77777777" w:rsidR="00DC0391" w:rsidRPr="000B250B" w:rsidRDefault="00DC0391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ADC0DF6" w14:textId="77777777" w:rsidR="0054740C" w:rsidRPr="000B250B" w:rsidRDefault="0054740C" w:rsidP="00DC039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In Chapter 2 of the second book of the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addresses the objection of those who question the philosophical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possibility of the miracle by which the Red Sea was parted. The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heretics object that such an irruption in the natural course of events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is unacceptable to reason. In response, the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sugges~s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that they are focusing on the sort of creation that occurs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when one created being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( such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as an artisan) works on another (such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as an artifact). But God's activity involves bringing about the vel)'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being of a thing, a mode of causation both higher and more</w:t>
      </w:r>
      <w:r w:rsidR="00DC039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fundamental than that involved in the miracle of the parting of the</w:t>
      </w:r>
    </w:p>
    <w:p w14:paraId="2710711B" w14:textId="77777777" w:rsidR="00DC0391" w:rsidRPr="000B250B" w:rsidRDefault="00DC0391" w:rsidP="00DC039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CCFF160" w14:textId="77777777" w:rsidR="002C0D4D" w:rsidRPr="000B250B" w:rsidRDefault="002C0D4D" w:rsidP="00B908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66 </w:t>
      </w:r>
      <w:r w:rsidRPr="000B250B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Owen Goldin</w:t>
      </w:r>
    </w:p>
    <w:p w14:paraId="106BBE2E" w14:textId="77777777" w:rsidR="00B90801" w:rsidRPr="000B250B" w:rsidRDefault="00B90801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06B9712" w14:textId="77777777" w:rsidR="002C0D4D" w:rsidRPr="000B250B" w:rsidRDefault="002C0D4D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Red Sea. In the latter case, an existing substance was simply given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 new characteristic.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calls it "[ making] one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existing thing out of [ another, already] existing thing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(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yesh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miyes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).</w:t>
      </w:r>
      <w:r w:rsidR="00B90801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greater miracle lies in the fact that a thing exists at all: the fact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that God has created a thing out of nothing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(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yesh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me '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ayin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)."12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In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providing this answer to the heretic,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makes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clear that the point he is making is not merely conceptual; it is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ethical. He asks the reader to consider the ethical consequences of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heretic's objection. If indeed it were impossible for the Red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Seas to part, if indeed this would be beyond the capacity of God,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or would constitute a compromise in God's unity, Torah would be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 compilation of falsehoods, and there would be no obligation to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perform or keep from performing any action, simply on account of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fact that it is commanded by Torah.</w:t>
      </w:r>
    </w:p>
    <w:p w14:paraId="0A8F5566" w14:textId="77777777" w:rsidR="009E4153" w:rsidRPr="000B250B" w:rsidRDefault="002C0D4D" w:rsidP="009E415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The model of causation that is presented to account for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yesh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m '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ayin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is the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(alternatively translated as "contraction"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or "concealment.")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13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The basic idea, which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adopts from Lurianic kabbala, is that creation does not</w:t>
      </w:r>
      <w:r w:rsidR="00B90801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involve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adding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anything to reality that was not already in the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source. For saying this imputes a deficiency to the source. If, in the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beginning, all there is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is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the source, and this source is lacking in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nothing, how could anything possibly be added to it? Yet creation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occurs. Since it is a causal activity,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it would seem that creation</w:t>
      </w:r>
      <w:proofErr w:type="gramEnd"/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somehow involves transmission of what is in the source.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Transmission to what? To something new? But if there is something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new, then in the process of creation something new has been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added to the source, and we have seen that, from the monistic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standpoint that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adopts, this is impossible.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37CBE4F3" w14:textId="77777777" w:rsidR="0054740C" w:rsidRPr="000B250B" w:rsidRDefault="002C0D4D" w:rsidP="009E415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So how can creation be a process by which something new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comes about? Creation must be a kind of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subtraction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from the</w:t>
      </w:r>
    </w:p>
    <w:p w14:paraId="241B0F47" w14:textId="77777777" w:rsidR="009E4153" w:rsidRPr="000B250B" w:rsidRDefault="009E4153" w:rsidP="009E415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D25D7D5" w14:textId="77777777" w:rsidR="002C0D4D" w:rsidRPr="000B250B" w:rsidRDefault="002C0D4D" w:rsidP="009E41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>Causality and Creation 67</w:t>
      </w:r>
    </w:p>
    <w:p w14:paraId="6FD5D354" w14:textId="77777777" w:rsidR="009E4153" w:rsidRPr="000B250B" w:rsidRDefault="009E4153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9192C42" w14:textId="77777777" w:rsidR="002C0D4D" w:rsidRPr="000B250B" w:rsidRDefault="002C0D4D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lastRenderedPageBreak/>
        <w:t>source. Nothing is present in the created that is not in the creator,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but there is much in the creator that is not in the created. Creation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is to be understood as a process by which God conceals and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restricts His own being.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14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Given the monistic assumptions that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underlie the account of creation, this concealment and restriction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cannot constitute a real withdrawal of God away from the world,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 point on which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and his successors insisted,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in opposition to those who interpreted the Lurianic teaching as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asserting that God is not present within the phenomenal world.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15</w:t>
      </w:r>
      <w:r w:rsidR="009E4153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furnishes the conditions under which such an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appearance can arise. The withdrawal of God is. the means by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which there comes about the limited perspective by which reality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is perceived in a manner different from how it is perceived by God.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God's causality, then, is jointly found in transmission and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withdrawal.</w:t>
      </w:r>
    </w:p>
    <w:p w14:paraId="55C3CBCC" w14:textId="77777777" w:rsidR="002C0D4D" w:rsidRPr="000B250B" w:rsidRDefault="002C0D4D" w:rsidP="004567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Although the true nature of the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is wholly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impenetrable to human reason, 16 two metaphors shed some light is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shed on this. The first is that of the relation between the sun and its</w:t>
      </w:r>
    </w:p>
    <w:p w14:paraId="536E39A2" w14:textId="77777777" w:rsidR="004567D4" w:rsidRPr="000B250B" w:rsidRDefault="004567D4" w:rsidP="004567D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6A5E49A" w14:textId="77777777" w:rsidR="002C0D4D" w:rsidRPr="000B250B" w:rsidRDefault="002C0D4D" w:rsidP="004567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68 </w:t>
      </w:r>
      <w:r w:rsidRPr="000B250B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Owen Goldin</w:t>
      </w:r>
    </w:p>
    <w:p w14:paraId="653FBF3C" w14:textId="77777777" w:rsidR="004567D4" w:rsidRPr="000B250B" w:rsidRDefault="004567D4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9985216" w14:textId="77777777" w:rsidR="002C0D4D" w:rsidRPr="000B250B" w:rsidRDefault="002C0D4D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light. We have noted that, among the Greeks, this served as a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prototypical example of a causal relationship of transmission.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Thus, according to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Republic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6 the sun transmits both wa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>rm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th, by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which physical things exist, as well as light, by which other</w:t>
      </w:r>
      <w:r w:rsidR="004567D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physical beings are aware of them (through sight). Likewise, the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Form of the Good transmits being to the Forms (which in tum are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responsible for whatever intelligible characteristics physical things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possess),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and also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imparts that which is required if they are to be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known. The Good performs this function by its own intelligibility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and being to the things for which it is responsible.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17</w:t>
      </w:r>
    </w:p>
    <w:p w14:paraId="43920868" w14:textId="77777777" w:rsidR="001E685C" w:rsidRPr="000B250B" w:rsidRDefault="002C0D4D" w:rsidP="00AF764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Neoplatonic thinkers found a new way to exploit Plato's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metaphorical description of the Form of the Good as a kind of sun.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ultimate cause of all things, the Good or the One, causes the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Forms to be through a kind of flowing out, or imparting of what is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already within it. Like the outpouring of the sun's radiance, this is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 kind of transmission of inner content that does not diminish that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which is present in the source, by which the source is never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exhausted. The model of emanation is likewise extended to other,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derivative causal processes. Divine causation is thus understood as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 kind of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transmission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of characteristics that God already possesses.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545965A2" w14:textId="77777777" w:rsidR="002C0D4D" w:rsidRPr="000B250B" w:rsidRDefault="002C0D4D" w:rsidP="001E68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The metaphor of the sun shining on the created world</w:t>
      </w:r>
      <w:r w:rsidR="00AF7645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maintains a real distinction between cause and caused, the agent</w:t>
      </w:r>
      <w:r w:rsidR="001E685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and the recipient of the transmission. This is incompatible with the</w:t>
      </w:r>
      <w:r w:rsidR="001E685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monistic metaphysics of the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Tanya.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deals with</w:t>
      </w:r>
      <w:r w:rsidR="001E685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this issue by finding a third way to exploit the metaphorical likening</w:t>
      </w:r>
      <w:r w:rsidR="001E685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of God to the sun.</w:t>
      </w:r>
    </w:p>
    <w:p w14:paraId="049CC841" w14:textId="77777777" w:rsidR="002C0D4D" w:rsidRPr="000B250B" w:rsidRDefault="002C0D4D" w:rsidP="001E68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According to the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neoplatonic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metaphor, the rays of the sun</w:t>
      </w:r>
      <w:r w:rsidR="001E685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represent Intellect, the second hypostasis, which is multiform and</w:t>
      </w:r>
      <w:r w:rsidR="001E685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different from the One, its source, which radiates as it remains</w:t>
      </w:r>
    </w:p>
    <w:p w14:paraId="0DBB1545" w14:textId="77777777" w:rsidR="001E685C" w:rsidRPr="000B250B" w:rsidRDefault="001E685C" w:rsidP="001E68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D2BBF9F" w14:textId="77777777" w:rsidR="002C0D4D" w:rsidRPr="000B250B" w:rsidRDefault="002C0D4D" w:rsidP="001E68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>Causality and Creation 69</w:t>
      </w:r>
    </w:p>
    <w:p w14:paraId="72632281" w14:textId="77777777" w:rsidR="001E685C" w:rsidRPr="000B250B" w:rsidRDefault="001E685C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02FB6B5" w14:textId="77777777" w:rsidR="002C0D4D" w:rsidRPr="000B250B" w:rsidRDefault="002C0D4D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unchanged.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18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As such it is an antecedent for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' s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use of the metaphor. But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alters the force of the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metaphor by taking it in a new direction. He considers the status of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unity and independence of the sun's rays, as regarded from the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vantage point of the sun itself. The sun is likened to God, that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which has the true perspective of the unity of all things, the sun's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rays to the things that God creates (which, from the outside, are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aware of a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p]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urality</w:t>
      </w:r>
      <w:proofErr w:type="spellEnd"/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>). When considered in relation to the sun itself,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rays have no separate existence, they are simply an aspect of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sun's activity, an aspect which, if properly understood, is not to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be distinguished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lastRenderedPageBreak/>
        <w:t>from the central activity of the core. However,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from a perspective distanced from the sun, a perspective from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which one is blind to the inner workings of the sun's radiance, each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ray spreads itself out independently from the sun, and appears to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have an existence unto itself.</w:t>
      </w:r>
    </w:p>
    <w:p w14:paraId="218123BC" w14:textId="77777777" w:rsidR="00450A47" w:rsidRPr="000B250B" w:rsidRDefault="00450A47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2449EF0" w14:textId="77777777" w:rsidR="002C0D4D" w:rsidRPr="000B250B" w:rsidRDefault="002C0D4D" w:rsidP="00450A47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There in its own place, this radiance is considered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naught and complete nothingness, for it is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absolutely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nonexistent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in relation to the body of the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sun-globe which is the source of this light and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radiance, inasmuch as this radiance and light is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merely the illumination which shines from the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body of the sun-globe itself. It is only in the space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of the universe, under the heavens and on the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earth, where the body of the sun-globe is not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present, that this light and radiance appears to the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eye to have actual existence . . . ln the same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manner the term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YESH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("existence" can be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applied to all created things only [as they appear]</w:t>
      </w:r>
    </w:p>
    <w:p w14:paraId="4D924D81" w14:textId="77777777" w:rsidR="002C0D4D" w:rsidRPr="000B250B" w:rsidRDefault="002C0D4D" w:rsidP="00450A47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to our corporeal eyes, for we do not see nor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comprehend at all the source, which is the spirit of</w:t>
      </w:r>
      <w:r w:rsidR="00450A47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G-d, that brings them into existence.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19</w:t>
      </w:r>
    </w:p>
    <w:p w14:paraId="00B4327F" w14:textId="77777777" w:rsidR="002C0D4D" w:rsidRPr="000B250B" w:rsidRDefault="002C0D4D" w:rsidP="00450A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70 </w:t>
      </w:r>
      <w:r w:rsidRPr="000B250B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Owen Goldin</w:t>
      </w:r>
    </w:p>
    <w:p w14:paraId="1C01E371" w14:textId="77777777" w:rsidR="00450A47" w:rsidRPr="000B250B" w:rsidRDefault="00450A47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F7F2D76" w14:textId="77777777" w:rsidR="002C0D4D" w:rsidRPr="000B250B" w:rsidRDefault="002C0D4D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must accept a kind of idealism, in order to</w:t>
      </w:r>
      <w:r w:rsidR="005E5FB0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grant some limited reality to the phenomenal world.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In reality,</w:t>
      </w:r>
      <w:r w:rsidR="005E5FB0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there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is only God, but there are many appearances of many other</w:t>
      </w:r>
      <w:r w:rsidR="005E5FB0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things. Creation is, in effect, the generation of a multiplicity of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perspectives. Only that perspective that comprehends the unity of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all things is true. Yet other perspectives exist. They themselves are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caused by a kind of transmission: they exist by virtue of that which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possesses the true perspective. In this way,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suggests that one can understand how it can be the case that all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objects other than God depend on God for their very being, and yet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show themselves to us as having an independent existence of their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own. From the point of view of God there is only God; yet, from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our point of view, distant from God and His workings, the results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of the divine activity (including ourselves) seem to have the status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of independent beings.</w:t>
      </w:r>
    </w:p>
    <w:p w14:paraId="1CFFCAD1" w14:textId="77777777" w:rsidR="002C0D4D" w:rsidRPr="000B250B" w:rsidRDefault="002C0D4D" w:rsidP="00F1004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We see that the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employs a Transmission Model of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Causality, with a difference. It is not only the being of the attribute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itself that is being transmitted. Rather, what is being transmitted is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primarily consciousness, by virtue of which there is a unique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perspective by which there can be awareness of such an attribute.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For such consciousness is the precondition of the phenomenal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existence of attributes. But is not the generation of even a new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perspective the adding of something new, which was not present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in the divine source?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denies this. The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generation of a new perspective is merely a subtraction, by virtue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of the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.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What is subtracted is the awareness of God as the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ultimate source and the ·ultimate reality. It is this that makes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possible a separate consciousness, able to see itself and other</w:t>
      </w:r>
      <w:r w:rsidR="00F1004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objects as independent beings.20 The sun metaphor is intended to</w:t>
      </w:r>
    </w:p>
    <w:p w14:paraId="1C1485F0" w14:textId="77777777" w:rsidR="00F10044" w:rsidRPr="000B250B" w:rsidRDefault="00F10044" w:rsidP="00F1004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A630763" w14:textId="77777777" w:rsidR="002C0D4D" w:rsidRPr="000B250B" w:rsidRDefault="002C0D4D" w:rsidP="00F100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>Causality and Creation 71</w:t>
      </w:r>
    </w:p>
    <w:p w14:paraId="241F5631" w14:textId="77777777" w:rsidR="00F10044" w:rsidRPr="000B250B" w:rsidRDefault="00F10044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13A6346" w14:textId="77777777" w:rsidR="00763466" w:rsidRPr="000B250B" w:rsidRDefault="002C0D4D" w:rsidP="0076346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provide some limited comprehension of how created beings are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mistakenly seen by themselves as separate, independent beings.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17FF6D97" w14:textId="77777777" w:rsidR="00763466" w:rsidRPr="000B250B" w:rsidRDefault="002C0D4D" w:rsidP="0076346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But </w:t>
      </w:r>
      <w:proofErr w:type="gramStart"/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>all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of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the rays of the sun are qualitatively alike. The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metaphor fails to account for how it can be the case that there is the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appearance of different things, from those perspectives that are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generated. We have already noted that such appearance could arise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only through the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. Two things appear different only because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that which they have in common is somehow suppressed or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canceled. But the metaphor of the sun and its rays, which lends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itself so well to the transmission model, and can be exploited to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illustrate how an effect can be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lastRenderedPageBreak/>
        <w:t>substantially one with its cause, is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unsuited for illustrating this aspect of Creation, as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conceives it. For in the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the cause withholds itself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from its effect. But what could be a negative transmission, or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 taking of the effect back into the cause? This cannot be illuminated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by appealing to how things are with the sun, for the sun's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radiance does not involve subtraction or taking anything away.</w:t>
      </w:r>
      <w:r w:rsidR="0076346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3D1C08AE" w14:textId="77777777" w:rsidR="002C0D4D" w:rsidRPr="000B250B" w:rsidRDefault="002C0D4D" w:rsidP="00EE02D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There is need of another, complementary metaphor, which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illustrates how it is possible for something "new" to come to be, by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virtue of a withholding or constriction of the cause. Such a metaphor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is provided by the Scriptural account of Creation. The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Zahar</w:t>
      </w:r>
      <w:proofErr w:type="spellEnd"/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(I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I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Sb) teaches that the divine utterances related at the beginning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of Genesis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are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actions by which God creates the world.21 R.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exploits this to develop the metaphor of creation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as speech, which complements the metaphor of creation as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radiance.</w:t>
      </w:r>
    </w:p>
    <w:p w14:paraId="7785D858" w14:textId="77777777" w:rsidR="002C0D4D" w:rsidRPr="000B250B" w:rsidRDefault="002C0D4D" w:rsidP="00EE02D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Even from a naive point of view, not attending to the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intricate cognitive processes that underlie communication, speech</w:t>
      </w:r>
    </w:p>
    <w:p w14:paraId="64C99FB4" w14:textId="77777777" w:rsidR="00EE02D6" w:rsidRPr="000B250B" w:rsidRDefault="00EE02D6" w:rsidP="00EE02D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600A06C" w14:textId="77777777" w:rsidR="00F2372F" w:rsidRPr="000B250B" w:rsidRDefault="00F2372F" w:rsidP="00EE02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72 </w:t>
      </w:r>
      <w:r w:rsidRPr="000B250B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Owen Goldin</w:t>
      </w:r>
    </w:p>
    <w:p w14:paraId="01171585" w14:textId="77777777" w:rsidR="00EE02D6" w:rsidRPr="000B250B" w:rsidRDefault="00EE02D6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</w:p>
    <w:p w14:paraId="6DA15153" w14:textId="77777777" w:rsidR="00F2372F" w:rsidRPr="000B250B" w:rsidRDefault="00F2372F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cannot be adequately understood within the framework of the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Transmission Model of Causality. To be sure, any sort of communication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might be regarded as a transmission of meaning, from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one mind to another. But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( even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if one were to grant the possibility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of the sort of communication that telepathy or prophecy might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involve) what is internal to the cause of the communication is far</w:t>
      </w:r>
      <w:r w:rsidR="00EE02D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different from what is expressed. To say something is to select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what is expressed from the practically unlimited number of things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that might be expressed. Other thought is held back. Contrast the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sun, as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understands it. What is within the sun,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heat and light, is radiated. There is no kind or characteristic within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sun that is held back, and that which is radiated is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all of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a kind.</w:t>
      </w:r>
    </w:p>
    <w:p w14:paraId="60B9DE54" w14:textId="77777777" w:rsidR="00F2372F" w:rsidRPr="000B250B" w:rsidRDefault="00F2372F" w:rsidP="00BE658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Thus,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understands the speech metaphor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as conveying the teaching that creation is a kind of communication,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whereby only what is spoken is not concealed.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But</w:t>
      </w:r>
      <w:r w:rsidRPr="000B250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even as he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explains this point, he hastens to remind his readers of what the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sun metaphor makes clear,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tha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~ even following Creation, what is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created is not something different from what creates it:</w:t>
      </w:r>
    </w:p>
    <w:p w14:paraId="55932796" w14:textId="77777777" w:rsidR="00BE6582" w:rsidRPr="000B250B" w:rsidRDefault="00BE6582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96294FD" w14:textId="77777777" w:rsidR="00F2372F" w:rsidRPr="000B250B" w:rsidRDefault="00F2372F" w:rsidP="00BE6582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However, "The nature of the Divine order is not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like that of a creature of flesh and blood"</w:t>
      </w:r>
    </w:p>
    <w:p w14:paraId="25FA6C2D" w14:textId="77777777" w:rsidR="002C0D4D" w:rsidRPr="000B250B" w:rsidRDefault="00F2372F" w:rsidP="00BE6582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[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Berachot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40a]. When a man utters a word, the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breath emitted in speaking is something that can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be sensed and perceived as a thing apart,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separated from its source, namely, the ten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faculties of the soul itself.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22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But with the Holy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One, blessed be He, His speech is no~ Heaven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forfend, separated from His blessed Self, for there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is nothing outside of Him, and there is no place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devoid of Him.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Therefore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His blessed speech is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not like our speech, G-d forbid, Gust as His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thought is not like our thought ... His blessed</w:t>
      </w:r>
      <w:r w:rsidR="00BE658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speech is called "speech" only by way of an</w:t>
      </w:r>
    </w:p>
    <w:p w14:paraId="1314D204" w14:textId="77777777" w:rsidR="00547028" w:rsidRPr="000B250B" w:rsidRDefault="00547028" w:rsidP="00BE6582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0C9AADD" w14:textId="77777777" w:rsidR="00F2372F" w:rsidRPr="000B250B" w:rsidRDefault="00F2372F" w:rsidP="00BE65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>Causality and Creation</w:t>
      </w:r>
      <w:r w:rsidR="00BE6582"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 73</w:t>
      </w:r>
    </w:p>
    <w:p w14:paraId="73AC97BB" w14:textId="77777777" w:rsidR="00547028" w:rsidRPr="000B250B" w:rsidRDefault="00547028" w:rsidP="00547028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F45CAA8" w14:textId="77777777" w:rsidR="00F2372F" w:rsidRPr="000B250B" w:rsidRDefault="00F2372F" w:rsidP="00547028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anthropomorphic illustration, in the sense that, as</w:t>
      </w:r>
      <w:r w:rsidR="0054702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in the case of man below, whose speech reveals to</w:t>
      </w:r>
      <w:r w:rsidR="0054702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his audience what was hidden and concealed in</w:t>
      </w:r>
      <w:r w:rsidR="0054702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his thoughts, so, too, is it on high with the blessed</w:t>
      </w:r>
      <w:r w:rsidR="0054702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En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Sof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23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Whose emitted light and life-force-as</w:t>
      </w:r>
      <w:r w:rsidR="0054702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it emerges from Him, from concealment into</w:t>
      </w:r>
      <w:r w:rsidR="0054702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revelation- is called "speech."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24</w:t>
      </w:r>
    </w:p>
    <w:p w14:paraId="737C7442" w14:textId="77777777" w:rsidR="00BE6582" w:rsidRPr="000B250B" w:rsidRDefault="00BE6582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884F108" w14:textId="77777777" w:rsidR="00F2372F" w:rsidRPr="000B250B" w:rsidRDefault="00F2372F" w:rsidP="00DF1A4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Just as a sage can only express his wisdom by means of the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expression of words, which are vastly more limited that the things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that remain unsaid, so God expresses His being only by means of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understood along the model of speech.</w:t>
      </w:r>
    </w:p>
    <w:p w14:paraId="6F1F667E" w14:textId="77777777" w:rsidR="00547028" w:rsidRPr="000B250B" w:rsidRDefault="00547028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2ABDE85" w14:textId="77777777" w:rsidR="00F2372F" w:rsidRPr="000B250B" w:rsidRDefault="00F2372F" w:rsidP="00DF1A42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Now, with terrestrial man, for example, when one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who is so great a sage as to comprehend the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wonders of wisdom contracts his intellect and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thought to a single letter of his speech, this is an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immense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and a great descent for his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wondrous wisdom. Metaphorically speaking,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precisely so, and infinitely more so, there was an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immensely great and mighty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when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during the six days of creation "The heavens were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made by the word of the Lord, and all their hosts</w:t>
      </w:r>
      <w:r w:rsidR="00DF1A42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by the breath of their mouth."</w:t>
      </w: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25</w:t>
      </w:r>
    </w:p>
    <w:p w14:paraId="368459C7" w14:textId="77777777" w:rsidR="00DF1A42" w:rsidRPr="000B250B" w:rsidRDefault="00DF1A42" w:rsidP="00DF1A42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E74E962" w14:textId="77777777" w:rsidR="00F2372F" w:rsidRPr="000B250B" w:rsidRDefault="00F2372F" w:rsidP="00DF1A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b/>
          <w:color w:val="000000" w:themeColor="text1"/>
          <w:szCs w:val="24"/>
        </w:rPr>
        <w:t xml:space="preserve">74 </w:t>
      </w:r>
      <w:r w:rsidRPr="000B250B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Owen Goldin</w:t>
      </w:r>
    </w:p>
    <w:p w14:paraId="362A1005" w14:textId="77777777" w:rsidR="00DF1A42" w:rsidRPr="000B250B" w:rsidRDefault="00DF1A42" w:rsidP="00C5608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6B56B3C" w14:textId="77777777" w:rsidR="00F2372F" w:rsidRPr="000B250B" w:rsidRDefault="00F2372F" w:rsidP="00A42D0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Only by virtue of such "speech" is the wisdom of the sage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articulated into discreet elements. Likewise, only through the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divine "speech" does there arise the phenomenal multiplicity, by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virtue of which each thing that appears to be an independent entity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manifests distinct characteristics. These characteristics are all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present in the source; as such the metaphysics of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follows the Transmission Model. But the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especially as illustrated by the metaphor of voice, points to a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crucial respect in which </w:t>
      </w:r>
      <w:proofErr w:type="spellStart"/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effe.ct</w:t>
      </w:r>
      <w:proofErr w:type="spellEnd"/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does not simply flow from the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source. The characteristics of things that are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derived .from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God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reveal themselves to us as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limited,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and they do not immediately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reveal to us their ultimate source within the divine unity. These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limitations do not themselves exist in the effect by virtue of being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transmitted by the source. Rather they exist because what has been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transmitted is itself 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>l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imited.</w:t>
      </w:r>
    </w:p>
    <w:p w14:paraId="78DF80FC" w14:textId="77777777" w:rsidR="007E7CEE" w:rsidRPr="000B250B" w:rsidRDefault="00F2372F" w:rsidP="00A42D0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</w:rPr>
        <w:t>The great virtue of the Transmission Model of Causality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is that it renders intelligible the relation between cause and effect.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Humean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theory of causation, on the other hand, denies that the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world presents such intelligible connections; for Hume there are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only regular sequences of like perceptions. Neither the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Transmission Model nor the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Humean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theory, however, serves to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illuminate the relationship between God as cause and Creation, as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required by a religious monism. The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as illustrated by the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dual metaphor of sun and voice, goes a long way to fill the gap.</w:t>
      </w:r>
      <w:r w:rsidR="00A42D0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3164397C" w14:textId="77777777" w:rsidR="007E7CEE" w:rsidRPr="000B250B" w:rsidRDefault="007E7CEE" w:rsidP="00A42D0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CFE2049" w14:textId="77777777" w:rsidR="00F2372F" w:rsidRPr="000B250B" w:rsidRDefault="00F2372F" w:rsidP="007E7CE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I am grateful for the suggestions and advice offered by R</w:t>
      </w:r>
      <w:r w:rsidR="007E7CE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.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·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Yoseph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Samuels, R Zelig Rivkin, Irving Block, and Chad Meister</w:t>
      </w:r>
      <w:r w:rsidR="007E7CE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concerning earlier versions of this paper.</w:t>
      </w:r>
    </w:p>
    <w:p w14:paraId="6C299358" w14:textId="77777777" w:rsidR="007E7CEE" w:rsidRPr="000B250B" w:rsidRDefault="007E7CEE" w:rsidP="007E7CE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</w:p>
    <w:p w14:paraId="12067681" w14:textId="77777777" w:rsidR="00F2372F" w:rsidRPr="000B250B" w:rsidRDefault="00F2372F" w:rsidP="007E7C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Marquette University</w:t>
      </w:r>
    </w:p>
    <w:p w14:paraId="1CFCFD1F" w14:textId="77777777" w:rsidR="007E7CEE" w:rsidRPr="000B250B" w:rsidRDefault="007E7CEE" w:rsidP="00C56081">
      <w:pPr>
        <w:spacing w:line="240" w:lineRule="auto"/>
        <w:rPr>
          <w:rFonts w:ascii="Times New Roman" w:hAnsi="Times New Roman" w:cs="Times New Roman"/>
          <w:color w:val="000000" w:themeColor="text1"/>
          <w:szCs w:val="24"/>
        </w:rPr>
      </w:pPr>
    </w:p>
    <w:p w14:paraId="308741F7" w14:textId="77777777" w:rsidR="00F2372F" w:rsidRPr="000B250B" w:rsidRDefault="00F2372F" w:rsidP="007E7CEE">
      <w:pPr>
        <w:pStyle w:val="Heading1"/>
        <w:rPr>
          <w:color w:val="000000" w:themeColor="text1"/>
        </w:rPr>
      </w:pPr>
      <w:r w:rsidRPr="000B250B">
        <w:rPr>
          <w:color w:val="000000" w:themeColor="text1"/>
        </w:rPr>
        <w:t>Notes</w:t>
      </w:r>
    </w:p>
    <w:p w14:paraId="4FFA60F2" w14:textId="77777777" w:rsidR="00F2372F" w:rsidRPr="000B250B" w:rsidRDefault="00F2372F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b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0n the historical circumstances of R.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Zalman's</w:t>
      </w:r>
      <w:proofErr w:type="spellEnd"/>
      <w:r w:rsidR="006E5596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strategy of communicating hitherto concealed teachings, and the</w:t>
      </w:r>
      <w:r w:rsidR="006E5596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opposition it encountered, see N. </w:t>
      </w:r>
      <w:proofErr w:type="spellStart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Loewenthal</w:t>
      </w:r>
      <w:proofErr w:type="spellEnd"/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Communicating the</w:t>
      </w:r>
      <w:r w:rsidR="006E5596"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Infinite: The Emergence of the </w:t>
      </w:r>
      <w:proofErr w:type="spellStart"/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Habad</w:t>
      </w:r>
      <w:proofErr w:type="spellEnd"/>
      <w:r w:rsidRPr="000B250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 xml:space="preserve"> School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(Chicago: University</w:t>
      </w:r>
      <w:r w:rsidR="006E5596" w:rsidRPr="000B250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of Chicago Press, 1990), pp. 29-98.</w:t>
      </w:r>
    </w:p>
    <w:p w14:paraId="5365F0F1" w14:textId="77777777" w:rsidR="0042052B" w:rsidRPr="000B250B" w:rsidRDefault="0042052B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view that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takes things other than</w:t>
      </w:r>
      <w:r w:rsidR="006E559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God to be illusions is argued by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Elior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The Paradoxical Ascent</w:t>
      </w:r>
      <w:r w:rsidR="006E5596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to God: The Kabbalistic Theosophy of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Habad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Hasidism,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tr.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J. M.</w:t>
      </w:r>
      <w:r w:rsidR="006E5596" w:rsidRPr="000B250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Green (Albany: State University of New York Press, 1993), pp.</w:t>
      </w:r>
      <w:r w:rsidR="006E559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49- 57; see also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lastRenderedPageBreak/>
        <w:t xml:space="preserve">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Foxbrunner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Habad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: The Chasidism of R</w:t>
      </w:r>
      <w:r w:rsidR="006E5596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of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Lyady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(Northvale, N.J.: J. Aronson, 1992), pp.</w:t>
      </w:r>
      <w:r w:rsidR="006E559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110- 11. N.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Gurary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Chasidism: It Development, Theology. </w:t>
      </w:r>
      <w:r w:rsidR="006E5596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nd</w:t>
      </w:r>
      <w:r w:rsidR="006E5596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gram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Practice(</w:t>
      </w:r>
      <w:proofErr w:type="gram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Northvale,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NJ.: J. Aronson, 1997),pp. 120-21, 134-37,</w:t>
      </w:r>
      <w:r w:rsidR="006E559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points to the importance of creation to argue that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="006E559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Zalman's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meaning is not that the world is an illusion. Rather, he</w:t>
      </w:r>
      <w:r w:rsidR="006E559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argues, his teaching is merely that the world is contingent. He does</w:t>
      </w:r>
      <w:r w:rsidR="006E559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not explain why an illusion cannot be something of importance</w:t>
      </w:r>
      <w:r w:rsidR="006E5596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arising through the divine will.</w:t>
      </w:r>
    </w:p>
    <w:p w14:paraId="08D91CE7" w14:textId="77777777" w:rsidR="0042052B" w:rsidRPr="000B250B" w:rsidRDefault="0042052B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iCs/>
          <w:color w:val="000000" w:themeColor="text1"/>
          <w:szCs w:val="24"/>
          <w:vertAlign w:val="superscript"/>
        </w:rPr>
        <w:t>3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1.20-22.</w:t>
      </w:r>
    </w:p>
    <w:p w14:paraId="0C368B1C" w14:textId="77777777" w:rsidR="0042052B" w:rsidRPr="000B250B" w:rsidRDefault="0042052B" w:rsidP="0048761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4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2.7. This view derives from the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Ba'al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Shem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Tov, the founder of Chasidism. See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Gurary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139- 142, who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compares this teaching to that of Maimonides.</w:t>
      </w:r>
    </w:p>
    <w:p w14:paraId="238365B3" w14:textId="77777777" w:rsidR="0042052B" w:rsidRPr="000B250B" w:rsidRDefault="0042052B" w:rsidP="0048761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5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Thus in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2.2, accidental change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(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yesh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miyesh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)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is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distinguished from the coming into existence of a new substance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(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yesh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me '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ayin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).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 the exposition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ofY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Wineberg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in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Lessons in</w:t>
      </w:r>
      <w:r w:rsidR="00487618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vol. 3 (Brooklyn: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Kehot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1989), pp. 846-47. As in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Aristotelian physics, these two varieties of change are distinguished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depending on whether there is persistence of an essential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attribute. But for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substantial and accidental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change, as Aristotle understands them, would both fall under the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class of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yesh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proofErr w:type="gram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miyesh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,,</w:t>
      </w:r>
      <w:proofErr w:type="gram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for even substantial generation involves the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actualization of a potentiality inherent within already existing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matter. So even here some substrate with some essential attribute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persists through the change.</w:t>
      </w:r>
    </w:p>
    <w:p w14:paraId="02E1442C" w14:textId="77777777" w:rsidR="0042052B" w:rsidRPr="000B250B" w:rsidRDefault="0042052B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6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If the effect does not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necessarily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result from the cause, the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whole cause has not been identified, and the effect has not been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thoroughly explained. One could still ask why the effect that did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not have to come about did in fact occur. These considerations lie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behind the great appeal of a foundationalist account of scientific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explanation, like that of Aristotle's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Posterior Analytics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and its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descendants. Insofar as one rejects the view that explanations rest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on principles or facts that do not demand explanation, what one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accepts as an explanation will depart from the ideal of rendering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world intelligible.</w:t>
      </w:r>
    </w:p>
    <w:p w14:paraId="1700EBAF" w14:textId="77777777" w:rsidR="0042052B" w:rsidRPr="000B250B" w:rsidRDefault="0042052B" w:rsidP="009B0A6B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7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accounts of heat and light that are given by contemporary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science·greatly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complicate our understanding of the true</w:t>
      </w:r>
      <w:r w:rsidR="00487618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sequence of events involved in such cases. At the atomic level, the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transfers of energy involved are astonishingly complex, and again,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atthe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subatomic level, there are apparently gaps between cause and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effect, so that it is not immediately evident why a certain cause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must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result in a certain effect. This is because, according to recent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theories in physics, neither heat nor light tum out to be a kind of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stuff or thing, handed over from one place to another. (Indeed, on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one interpretation, the theory of general relativity calls into question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extent to which we are ultimately justified in considering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Michael, Sam, and the letter as substantial realities.) But I bring up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heat and light only as examples. If there really were cases in which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one thing is handed over from one place to another, we would have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 case of an intelligible, necessary causal connection.</w:t>
      </w:r>
    </w:p>
    <w:p w14:paraId="195E45B0" w14:textId="77777777" w:rsidR="0042052B" w:rsidRPr="000B250B" w:rsidRDefault="0042052B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8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See A. C. Lloyd, "The Principle that the Cause is Greater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than the Effect,"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Phronesis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21 (1976): 146-51 and </w:t>
      </w:r>
      <w:r w:rsidRPr="000B250B">
        <w:rPr>
          <w:rFonts w:ascii="Times New Roman" w:hAnsi="Times New Roman" w:cs="Times New Roman"/>
          <w:bCs/>
          <w:color w:val="000000" w:themeColor="text1"/>
          <w:szCs w:val="24"/>
        </w:rPr>
        <w:t>A. P.</w:t>
      </w:r>
      <w:r w:rsidRPr="000B250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D.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Mourelatos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" Aristotle's Rationalist Account of Qualitative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Interaction,"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Phronesis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29 (1984): 1-16.</w:t>
      </w:r>
    </w:p>
    <w:p w14:paraId="50A42264" w14:textId="77777777" w:rsidR="005B3A5E" w:rsidRPr="000B250B" w:rsidRDefault="0042052B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9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Aristotle's conception of efficient causation is to be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understood along the lines of the transmission model. Formal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causation follows this model only insofar as one is explaining the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efficient cause for the form's inherence of matter ( although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perhaps the attribution of a formal cause to a state of affairs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understood synchronically would follow this model, insofar as the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form is understood as something different from the composite</w:t>
      </w:r>
      <w:r w:rsidR="009B0A6B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substances whose .basic attributes and abilities are inherited from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form, imparting to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lastRenderedPageBreak/>
        <w:t>them its structure and attributes). In the case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of final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causation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we can hardly have a case of a future, planned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event, transmit something back to the present Nonetheless the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purpose in the mind of the agent can be transmitted 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>t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hrough action.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That is to say, that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which the agent has in mind, first exists in the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mind, and thereby is imparted to that which has the potentiality for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 xml:space="preserve"> being its substrate. Similarly, the final cause of the developing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>organism is found in the form of that organism which is transmitted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 xml:space="preserve">through the seed </w:t>
      </w:r>
      <w:r w:rsidR="00F84352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(Phys.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 xml:space="preserve">2.7 198a22-27, </w:t>
      </w:r>
      <w:r w:rsidR="00F84352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Meta.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>Z 7). The case of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>material causation may be hardest to subsume under the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>transmission mode). One can say, however, that pre-existent matter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>is responsible for certain attributes of a composite substance since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>it conveys some of its (lower-level) formal attributes to the composite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>of which is the substrate. (For example, the bottle is brittle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84352" w:rsidRPr="000B250B">
        <w:rPr>
          <w:rFonts w:ascii="Times New Roman" w:hAnsi="Times New Roman" w:cs="Times New Roman"/>
          <w:color w:val="000000" w:themeColor="text1"/>
          <w:szCs w:val="24"/>
        </w:rPr>
        <w:t>because it is made of glass, and glass is a brittle stuff.)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43C82BAC" w14:textId="77777777" w:rsidR="00F84352" w:rsidRPr="000B250B" w:rsidRDefault="00F84352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0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This is also how Maimonides understands Aristotle's</w:t>
      </w:r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account of God's activity.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See .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the discussion in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Guide of the</w:t>
      </w:r>
      <w:r w:rsidR="007776DC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Perplexed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2.12 of God's activity as an "overflow," a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neoplatonic</w:t>
      </w:r>
      <w:proofErr w:type="spellEnd"/>
      <w:r w:rsidR="007776DC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notion absent from the writings of Aristotle, for whom God, as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object of desire, is responsible for the motion of things, not their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existence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(Meta.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12. 7). Maimonides accepts the </w:t>
      </w:r>
      <w:proofErr w:type="spellStart"/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neop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)atonic</w:t>
      </w:r>
      <w:proofErr w:type="gramEnd"/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version of Aristotelian metaphysics put forward by the Arabic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Aristotelians, especially al-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Farabi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. See his praise of al-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Farabi's</w:t>
      </w:r>
      <w:proofErr w:type="spellEnd"/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works as "faultlessly excellent" in the letter to Samuel Ibn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Tibbon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quoted in the S. Pines, "Translator's Introduction'' in Maimonides,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The Guide of the Perplexed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(Chicago: University of Chicago Press,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1963).</w:t>
      </w:r>
    </w:p>
    <w:p w14:paraId="71403B0D" w14:textId="77777777" w:rsidR="0042052B" w:rsidRPr="000B250B" w:rsidRDefault="00F84352" w:rsidP="005B3A5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11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 Plato,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Republic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6 508b-509c, Plotinus,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Enneads</w:t>
      </w:r>
      <w:r w:rsidR="005B3A5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5.3.12.39-44and 5.l.6.26-30(on which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seeJ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Bussanich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The One</w:t>
      </w:r>
      <w:r w:rsidR="005B3A5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and Its Relation to Intellect in Plotinus: A Commentary on Selected</w:t>
      </w:r>
      <w:r w:rsidR="005B3A5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Texts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[Leiden and New York: E. J. Brill, 1988], pp. 134-35), from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which derives the pseudo-Aristotelian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Theology of Aristotle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8, by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which the metaphor was conveyed to Arabic Aristotelians and to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Jewish philosophers, including Jewish mystical thought; cf. G.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Scholem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Major Trends in Jewish Mysticism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(New York: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Schocken</w:t>
      </w:r>
      <w:proofErr w:type="spellEnd"/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Books, 1946), p. 203. J.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Schochet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outlines Jewish antecedents for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sun and light analogy in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Mystical </w:t>
      </w:r>
      <w:proofErr w:type="gram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Concepts .</w:t>
      </w:r>
      <w:proofErr w:type="gram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in Chasidism</w:t>
      </w:r>
      <w:r w:rsidR="005B3A5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(Brooklyn: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Kehot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1988), pp. 41-42 n. I 2; reprinted as an appendix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to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Likkutei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Amarim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- 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887, n. 12.</w:t>
      </w:r>
    </w:p>
    <w:p w14:paraId="48264C32" w14:textId="77777777" w:rsidR="005B3A5E" w:rsidRPr="000B250B" w:rsidRDefault="00F84352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12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Tanya2.2,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289- 91, and the commentary of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Wineberg</w:t>
      </w:r>
      <w:proofErr w:type="spellEnd"/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in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Lessons in Tanya,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vol. 3 (1991), pp. 843-47.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0045F85A" w14:textId="77777777" w:rsidR="00F84352" w:rsidRPr="000B250B" w:rsidRDefault="00F84352" w:rsidP="005B3A5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13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following remarks are confined to the first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,</w:t>
      </w:r>
      <w:r w:rsidR="005B3A5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the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harishon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by which creation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ex nihilo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is </w:t>
      </w:r>
      <w:proofErr w:type="spellStart"/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effected</w:t>
      </w:r>
      <w:proofErr w:type="spellEnd"/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17555489" w14:textId="77777777" w:rsidR="00F84352" w:rsidRPr="000B250B" w:rsidRDefault="00F84352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14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 the introductory accounts of the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in G.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Scholem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pp. 260-64; J.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Schochet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Mystical Concepts in</w:t>
      </w:r>
      <w:r w:rsidR="005B3A5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Chasidism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(Brooklyn: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Kehot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1988), pp. 47-57;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Elior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pp. 79- 8 l;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Gurary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pp. 95-102; R. Oakes, "Creation as Theology: In Defense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of a Kabbalistic Approach to Evil,"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Faith and Philosophy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14</w:t>
      </w:r>
      <w:r w:rsidR="005B3A5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( 1997): 510--22.</w:t>
      </w:r>
    </w:p>
    <w:p w14:paraId="3F98DC52" w14:textId="77777777" w:rsidR="00F84352" w:rsidRPr="000B250B" w:rsidRDefault="00F84352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15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2. 7, On the controversy, see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Elior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pp. 80--91,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Gurary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pp. 102-16.</w:t>
      </w:r>
    </w:p>
    <w:p w14:paraId="664901BF" w14:textId="77777777" w:rsidR="00F84352" w:rsidRPr="000B250B" w:rsidRDefault="00F84352" w:rsidP="00B86A54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16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See, for example,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2.4, 299: "And it is not within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scope of the intellect of any creature to comprehend the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essential nature of the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and concealment [ of the life-force]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and that nonetheless the body of the creature itself be created ex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nihilo--just as it is not within the capacity of any creature's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intellect to comprehend the essential nature of the creation of being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out of nothing."</w:t>
      </w:r>
    </w:p>
    <w:p w14:paraId="19D4E524" w14:textId="77777777" w:rsidR="00F84352" w:rsidRPr="000B250B" w:rsidRDefault="00F84352" w:rsidP="00B86A54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17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 G.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Santas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"The Form of the Good in Plato's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Republic"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in J. P. Anton, and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A: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Preus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eds.,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Essays in Ancient</w:t>
      </w:r>
      <w:r w:rsidR="00B86A54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Greek Philosophy,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vol. 2 (Albany: State University of New York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Press, 1983), pp. 232-63.</w:t>
      </w:r>
    </w:p>
    <w:p w14:paraId="17674702" w14:textId="77777777" w:rsidR="00C95368" w:rsidRPr="000B250B" w:rsidRDefault="00C95368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lastRenderedPageBreak/>
        <w:t>18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See the Plotinus references in n. 11.</w:t>
      </w:r>
    </w:p>
    <w:p w14:paraId="701BE2A7" w14:textId="77777777" w:rsidR="00F84352" w:rsidRPr="000B250B" w:rsidRDefault="00C95368" w:rsidP="00B86A54">
      <w:pPr>
        <w:spacing w:after="0" w:line="240" w:lineRule="auto"/>
        <w:ind w:left="720" w:hanging="720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iCs/>
          <w:color w:val="000000" w:themeColor="text1"/>
          <w:szCs w:val="24"/>
          <w:vertAlign w:val="superscript"/>
        </w:rPr>
        <w:t>19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2.3, 293- 95.</w:t>
      </w:r>
    </w:p>
    <w:p w14:paraId="78D31315" w14:textId="77777777" w:rsidR="00C95368" w:rsidRPr="000B250B" w:rsidRDefault="00C95368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20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"In reality, they [heaven and earth] are completely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nullified in relation to the 'Word of God' and the ' Breath of His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mouth,' may He be blessed, wh1ch are unified with His Essence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and Being, may He be blessed ... just as the light of the sun is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nullified in the sun. Yet these are his Restraining Powers, to hide and conceal, through the attribute of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Gevurah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[restraint] and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Tzimtzum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the life-force which flows into them, so that heaven and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earth and all their host should appear as if they were independently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existing entities"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(Tanya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2.6, 305-7).</w:t>
      </w:r>
    </w:p>
    <w:p w14:paraId="548FF48E" w14:textId="77777777" w:rsidR="00C95368" w:rsidRPr="000B250B" w:rsidRDefault="00C95368" w:rsidP="00B86A54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21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See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The Zohar,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tr. H. Sperling and M. Simon (London:</w:t>
      </w:r>
      <w:r w:rsidR="00B86A54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Soncino Press, 1933), pp. 68--69, cf. 381.</w:t>
      </w:r>
    </w:p>
    <w:p w14:paraId="31A5C307" w14:textId="77777777" w:rsidR="00C95368" w:rsidRPr="000B250B" w:rsidRDefault="00C95368" w:rsidP="00542EE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22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This is a reference to the ten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sephirot,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aspects of divine</w:t>
      </w:r>
      <w:r w:rsidR="00542EE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activity which have their analogues in human psychology</w:t>
      </w:r>
    </w:p>
    <w:p w14:paraId="3F37BC69" w14:textId="77777777" w:rsidR="00C95368" w:rsidRPr="000B250B" w:rsidRDefault="00C95368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23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This refers to God as the infinite, prior to any revelation.</w:t>
      </w:r>
    </w:p>
    <w:p w14:paraId="5843CBF4" w14:textId="77777777" w:rsidR="00C95368" w:rsidRPr="000B250B" w:rsidRDefault="00C95368" w:rsidP="006E5596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iCs/>
          <w:color w:val="000000" w:themeColor="text1"/>
          <w:szCs w:val="24"/>
          <w:vertAlign w:val="superscript"/>
        </w:rPr>
        <w:t>24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1.21 ,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87.</w:t>
      </w:r>
    </w:p>
    <w:p w14:paraId="3BF4383E" w14:textId="77777777" w:rsidR="00C95368" w:rsidRPr="000B250B" w:rsidRDefault="00C95368" w:rsidP="00542EE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bCs/>
          <w:color w:val="000000" w:themeColor="text1"/>
          <w:szCs w:val="24"/>
        </w:rPr>
      </w:pPr>
      <w:r w:rsidRPr="000B250B">
        <w:rPr>
          <w:rFonts w:ascii="Times New Roman" w:hAnsi="Times New Roman" w:cs="Times New Roman"/>
          <w:iCs/>
          <w:color w:val="000000" w:themeColor="text1"/>
          <w:szCs w:val="24"/>
          <w:vertAlign w:val="superscript"/>
        </w:rPr>
        <w:t>25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Tanya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4.5, 415. Here R.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Schneur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Zalman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seems to </w:t>
      </w:r>
      <w:proofErr w:type="gramStart"/>
      <w:r w:rsidRPr="000B250B">
        <w:rPr>
          <w:rFonts w:ascii="Times New Roman" w:hAnsi="Times New Roman" w:cs="Times New Roman"/>
          <w:color w:val="000000" w:themeColor="text1"/>
          <w:szCs w:val="24"/>
        </w:rPr>
        <w:t>have</w:t>
      </w:r>
      <w:r w:rsidR="00542EE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.</w:t>
      </w:r>
      <w:proofErr w:type="gram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in mind the contraction of a conceptual account into the physical</w:t>
      </w:r>
      <w:r w:rsidR="00542EE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fonn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 of articulate speech; in other works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(Ma '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amre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Admor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haZaken</w:t>
      </w:r>
      <w:proofErr w:type="spellEnd"/>
      <w:r w:rsidR="00542EE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5562 [Brooklyn: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Kehot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, 1964], p. 35; </w:t>
      </w:r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Ma '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amre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Admor</w:t>
      </w:r>
      <w:proofErr w:type="spellEnd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>haZaken</w:t>
      </w:r>
      <w:proofErr w:type="spellEnd"/>
      <w:r w:rsidR="00542EEE" w:rsidRPr="000B250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5568 [Brooklyn: </w:t>
      </w:r>
      <w:proofErr w:type="spellStart"/>
      <w:r w:rsidRPr="000B250B">
        <w:rPr>
          <w:rFonts w:ascii="Times New Roman" w:hAnsi="Times New Roman" w:cs="Times New Roman"/>
          <w:color w:val="000000" w:themeColor="text1"/>
          <w:szCs w:val="24"/>
        </w:rPr>
        <w:t>Kehot</w:t>
      </w:r>
      <w:proofErr w:type="spellEnd"/>
      <w:r w:rsidRPr="000B250B">
        <w:rPr>
          <w:rFonts w:ascii="Times New Roman" w:hAnsi="Times New Roman" w:cs="Times New Roman"/>
          <w:color w:val="000000" w:themeColor="text1"/>
          <w:szCs w:val="24"/>
        </w:rPr>
        <w:t>, 1982], pp. 484, 548) he makes clear</w:t>
      </w:r>
      <w:r w:rsidR="00542EE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>that the expression of an abstruse concept in simple terms commensurate</w:t>
      </w:r>
      <w:r w:rsidR="00542EEE" w:rsidRPr="000B250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0B250B">
        <w:rPr>
          <w:rFonts w:ascii="Times New Roman" w:hAnsi="Times New Roman" w:cs="Times New Roman"/>
          <w:color w:val="000000" w:themeColor="text1"/>
          <w:szCs w:val="24"/>
        </w:rPr>
        <w:t xml:space="preserve">with the student's level of understanding is similarly an </w:t>
      </w:r>
      <w:r w:rsidR="00C56081" w:rsidRPr="000B250B">
        <w:rPr>
          <w:rFonts w:ascii="Times New Roman" w:hAnsi="Times New Roman" w:cs="Times New Roman"/>
          <w:color w:val="000000" w:themeColor="text1"/>
          <w:szCs w:val="24"/>
        </w:rPr>
        <w:t>example of the contraction found in speech.</w:t>
      </w:r>
    </w:p>
    <w:p w14:paraId="231E6BE1" w14:textId="77777777" w:rsidR="00F2372F" w:rsidRPr="000B250B" w:rsidRDefault="00F2372F" w:rsidP="006E5596">
      <w:pPr>
        <w:spacing w:line="240" w:lineRule="auto"/>
        <w:ind w:left="720" w:hanging="720"/>
        <w:rPr>
          <w:rFonts w:ascii="Times New Roman" w:hAnsi="Times New Roman" w:cs="Times New Roman"/>
          <w:color w:val="000000" w:themeColor="text1"/>
          <w:szCs w:val="24"/>
        </w:rPr>
      </w:pPr>
    </w:p>
    <w:sectPr w:rsidR="00F2372F" w:rsidRPr="000B2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*Times New Roman-BoldItalic-808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MEKigE9F2EjbjlnOn31p3cmg12I1U2ki4JjJB/O9qUoOqjME4LasByv9txOzmZsV/kQdMRNukb3l0/SgXEoBVA==" w:salt="D/c6XWRQIsEiKYfUBdEqk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01"/>
    <w:rsid w:val="00000A01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50B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6D1"/>
    <w:rsid w:val="00107EA8"/>
    <w:rsid w:val="00110470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48E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2A54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685C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0D4D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52B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A47"/>
    <w:rsid w:val="00450DB8"/>
    <w:rsid w:val="00450FCC"/>
    <w:rsid w:val="0045279A"/>
    <w:rsid w:val="00453D2C"/>
    <w:rsid w:val="00454851"/>
    <w:rsid w:val="00455F99"/>
    <w:rsid w:val="00456070"/>
    <w:rsid w:val="004567D4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618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690"/>
    <w:rsid w:val="00542895"/>
    <w:rsid w:val="00542EEE"/>
    <w:rsid w:val="00543C22"/>
    <w:rsid w:val="0054405B"/>
    <w:rsid w:val="005444BD"/>
    <w:rsid w:val="00544FBC"/>
    <w:rsid w:val="0054567F"/>
    <w:rsid w:val="00545B01"/>
    <w:rsid w:val="00545F72"/>
    <w:rsid w:val="00546B44"/>
    <w:rsid w:val="00547028"/>
    <w:rsid w:val="005473D6"/>
    <w:rsid w:val="0054740C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3A5E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E5FB0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E5596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466"/>
    <w:rsid w:val="00763676"/>
    <w:rsid w:val="00765995"/>
    <w:rsid w:val="007710A6"/>
    <w:rsid w:val="00772738"/>
    <w:rsid w:val="00772776"/>
    <w:rsid w:val="00776E16"/>
    <w:rsid w:val="00776E56"/>
    <w:rsid w:val="007776DC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432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E7CE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27F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0A6B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052"/>
    <w:rsid w:val="009E19E2"/>
    <w:rsid w:val="009E2B1A"/>
    <w:rsid w:val="009E4153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2ADA"/>
    <w:rsid w:val="00A42D08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AF7645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86A54"/>
    <w:rsid w:val="00B90726"/>
    <w:rsid w:val="00B90801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E6582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608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5368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78C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391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1A42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02D6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0044"/>
    <w:rsid w:val="00F11E59"/>
    <w:rsid w:val="00F12233"/>
    <w:rsid w:val="00F12CE1"/>
    <w:rsid w:val="00F136AC"/>
    <w:rsid w:val="00F14096"/>
    <w:rsid w:val="00F14820"/>
    <w:rsid w:val="00F214AB"/>
    <w:rsid w:val="00F2372F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435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AC88A"/>
  <w15:chartTrackingRefBased/>
  <w15:docId w15:val="{E6F0B486-523F-4E7E-B420-FC0C2C0F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C6EFD9-0D0B-43C6-86B7-868980FA1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E19547-D1A1-48AB-938D-326BA6A632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D64D1-711F-4D16-B942-1094B94DB323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1dc5a16d-a9e1-4107-81af-b56e13c8526c"/>
    <ds:schemaRef ds:uri="455b151d-75b8-4438-a72d-e06b314124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4717</Words>
  <Characters>26890</Characters>
  <Application>Microsoft Office Word</Application>
  <DocSecurity>8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4</cp:revision>
  <dcterms:created xsi:type="dcterms:W3CDTF">2019-04-09T18:01:00Z</dcterms:created>
  <dcterms:modified xsi:type="dcterms:W3CDTF">2019-04-09T19:05:00Z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